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As filed with the Securities and Exchange Commission on July 29, 2024</w:t>
      </w:r>
    </w:p>
    <w:p>
      <w:pPr>
        <w:spacing w:after="0" w:line="5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333-257774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94615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5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47625</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5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POST-EFFECTIVE AMENDMENT NO. 4</w:t>
      </w:r>
    </w:p>
    <w:p>
      <w:pPr>
        <w:spacing w:after="0" w:line="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TO</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FORM S-3</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ON</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FORM S-1</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REGISTRATION STATEMENT</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UNDER</w:t>
      </w:r>
    </w:p>
    <w:p>
      <w:pPr>
        <w:jc w:val="center"/>
        <w:spacing w:after="0"/>
        <w:rPr>
          <w:sz w:val="20"/>
          <w:szCs w:val="20"/>
          <w:color w:val="auto"/>
        </w:rPr>
      </w:pPr>
      <w:r>
        <w:rPr>
          <w:rFonts w:ascii="Times New Roman" w:cs="Times New Roman" w:eastAsia="Times New Roman" w:hAnsi="Times New Roman"/>
          <w:sz w:val="20"/>
          <w:szCs w:val="20"/>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43180</wp:posOffset>
            </wp:positionV>
            <wp:extent cx="10972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4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7"/>
          <w:szCs w:val="27"/>
          <w:b w:val="1"/>
          <w:bCs w:val="1"/>
          <w:color w:val="auto"/>
        </w:rPr>
        <w:t>WM Technology,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28575</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7372</w:t>
            </w:r>
          </w:p>
        </w:tc>
        <w:tc>
          <w:tcPr>
            <w:tcW w:w="200" w:type="dxa"/>
            <w:vAlign w:val="bottom"/>
          </w:tcPr>
          <w:p>
            <w:pPr>
              <w:spacing w:after="0"/>
              <w:rPr>
                <w:sz w:val="16"/>
                <w:szCs w:val="16"/>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98-1605615</w:t>
            </w:r>
          </w:p>
        </w:tc>
      </w:tr>
      <w:tr>
        <w:trPr>
          <w:trHeight w:val="37"/>
        </w:trPr>
        <w:tc>
          <w:tcPr>
            <w:tcW w:w="31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120" w:type="dxa"/>
            <w:vAlign w:val="bottom"/>
            <w:tcBorders>
              <w:bottom w:val="single" w:sz="8" w:color="auto"/>
            </w:tcBorders>
          </w:tcPr>
          <w:p>
            <w:pPr>
              <w:spacing w:after="0"/>
              <w:rPr>
                <w:sz w:val="3"/>
                <w:szCs w:val="3"/>
                <w:color w:val="auto"/>
              </w:rPr>
            </w:pPr>
          </w:p>
        </w:tc>
      </w:tr>
      <w:tr>
        <w:trPr>
          <w:trHeight w:val="192"/>
        </w:trPr>
        <w:tc>
          <w:tcPr>
            <w:tcW w:w="33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rPr>
              <w:t>(State or Other Jurisdiction of</w:t>
            </w:r>
          </w:p>
        </w:tc>
        <w:tc>
          <w:tcPr>
            <w:tcW w:w="33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rPr>
              <w:t>(Primary Standard Industrial</w:t>
            </w:r>
          </w:p>
        </w:tc>
        <w:tc>
          <w:tcPr>
            <w:tcW w:w="3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(I.R.S. Employer</w:t>
            </w:r>
          </w:p>
        </w:tc>
      </w:tr>
      <w:tr>
        <w:trPr>
          <w:trHeight w:val="198"/>
        </w:trPr>
        <w:tc>
          <w:tcPr>
            <w:tcW w:w="33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color w:val="auto"/>
              </w:rPr>
              <w:t>Incorporation or Organization)</w:t>
            </w:r>
          </w:p>
        </w:tc>
        <w:tc>
          <w:tcPr>
            <w:tcW w:w="33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color w:val="auto"/>
              </w:rPr>
              <w:t>Classification Code No.)</w:t>
            </w:r>
          </w:p>
        </w:tc>
        <w:tc>
          <w:tcPr>
            <w:tcW w:w="31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Identification No.)</w:t>
            </w:r>
          </w:p>
        </w:tc>
      </w:tr>
    </w:tbl>
    <w:p>
      <w:pPr>
        <w:ind w:left="4620" w:hanging="193"/>
        <w:spacing w:after="0" w:line="234" w:lineRule="auto"/>
        <w:tabs>
          <w:tab w:leader="none" w:pos="4620" w:val="left"/>
        </w:tabs>
        <w:numPr>
          <w:ilvl w:val="0"/>
          <w:numId w:val="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Discovery</w:t>
      </w:r>
    </w:p>
    <w:p>
      <w:pPr>
        <w:ind w:left="4060"/>
        <w:spacing w:after="0" w:line="22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Irvine, California 92618</w:t>
      </w:r>
    </w:p>
    <w:p>
      <w:pPr>
        <w:ind w:left="4220"/>
        <w:spacing w:after="0" w:line="225"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Tel: (844) 933-3627</w:t>
      </w:r>
    </w:p>
    <w:p>
      <w:pPr>
        <w:jc w:val="center"/>
        <w:ind w:right="40"/>
        <w:spacing w:after="0"/>
        <w:rPr>
          <w:sz w:val="20"/>
          <w:szCs w:val="20"/>
          <w:color w:val="auto"/>
        </w:rPr>
      </w:pPr>
      <w:r>
        <w:rPr>
          <w:rFonts w:ascii="Times New Roman" w:cs="Times New Roman" w:eastAsia="Times New Roman" w:hAnsi="Times New Roman"/>
          <w:sz w:val="15"/>
          <w:szCs w:val="15"/>
          <w:b w:val="1"/>
          <w:bCs w:val="1"/>
          <w:i w:val="1"/>
          <w:iCs w:val="1"/>
          <w:color w:val="auto"/>
        </w:rPr>
        <w:t>(Address, Including Zip Code, and Telephone Number, Including Area Code, of Registrant’s Principal Executive Offices)</w:t>
      </w:r>
    </w:p>
    <w:p>
      <w:pPr>
        <w:spacing w:after="0" w:line="200" w:lineRule="exact"/>
        <w:rPr>
          <w:sz w:val="24"/>
          <w:szCs w:val="24"/>
          <w:color w:val="auto"/>
        </w:rPr>
      </w:pPr>
    </w:p>
    <w:p>
      <w:pPr>
        <w:spacing w:after="0" w:line="256" w:lineRule="exact"/>
        <w:rPr>
          <w:sz w:val="24"/>
          <w:szCs w:val="24"/>
          <w:color w:val="auto"/>
        </w:rPr>
      </w:pPr>
    </w:p>
    <w:p>
      <w:pPr>
        <w:ind w:left="4620" w:hanging="193"/>
        <w:spacing w:after="0"/>
        <w:tabs>
          <w:tab w:leader="none" w:pos="4620" w:val="left"/>
        </w:tabs>
        <w:numPr>
          <w:ilvl w:val="0"/>
          <w:numId w:val="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Discovery</w:t>
      </w:r>
    </w:p>
    <w:p>
      <w:pPr>
        <w:spacing w:after="0" w:line="9" w:lineRule="exact"/>
        <w:rPr>
          <w:rFonts w:ascii="Times New Roman" w:cs="Times New Roman" w:eastAsia="Times New Roman" w:hAnsi="Times New Roman"/>
          <w:sz w:val="15"/>
          <w:szCs w:val="15"/>
          <w:b w:val="1"/>
          <w:bCs w:val="1"/>
          <w:color w:val="auto"/>
        </w:rPr>
      </w:pPr>
    </w:p>
    <w:p>
      <w:pPr>
        <w:ind w:left="4240" w:right="4100" w:hanging="181"/>
        <w:spacing w:after="0" w:line="239"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Irvine, California 92618 Tel: (844) 933-3627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31115</wp:posOffset>
            </wp:positionV>
            <wp:extent cx="10972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41275</wp:posOffset>
            </wp:positionV>
            <wp:extent cx="1097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5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Copies to:</w:t>
      </w: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Dave Peinsipp</w:t>
      </w:r>
    </w:p>
    <w:p>
      <w:pPr>
        <w:jc w:val="center"/>
        <w:ind w:right="20"/>
        <w:spacing w:after="0" w:line="225" w:lineRule="auto"/>
        <w:rPr>
          <w:sz w:val="20"/>
          <w:szCs w:val="20"/>
          <w:color w:val="auto"/>
        </w:rPr>
      </w:pPr>
      <w:r>
        <w:rPr>
          <w:rFonts w:ascii="Times New Roman" w:cs="Times New Roman" w:eastAsia="Times New Roman" w:hAnsi="Times New Roman"/>
          <w:sz w:val="15"/>
          <w:szCs w:val="15"/>
          <w:b w:val="1"/>
          <w:bCs w:val="1"/>
          <w:color w:val="auto"/>
        </w:rPr>
        <w:t>Kristin VanderPas</w:t>
      </w:r>
    </w:p>
    <w:p>
      <w:pPr>
        <w:jc w:val="center"/>
        <w:ind w:right="40"/>
        <w:spacing w:after="0" w:line="225" w:lineRule="auto"/>
        <w:rPr>
          <w:sz w:val="20"/>
          <w:szCs w:val="20"/>
          <w:color w:val="auto"/>
        </w:rPr>
      </w:pPr>
      <w:r>
        <w:rPr>
          <w:rFonts w:ascii="Times New Roman" w:cs="Times New Roman" w:eastAsia="Times New Roman" w:hAnsi="Times New Roman"/>
          <w:sz w:val="15"/>
          <w:szCs w:val="15"/>
          <w:b w:val="1"/>
          <w:bCs w:val="1"/>
          <w:color w:val="auto"/>
        </w:rPr>
        <w:t>Peter Byrne</w:t>
      </w:r>
    </w:p>
    <w:p>
      <w:pPr>
        <w:jc w:val="center"/>
        <w:ind w:right="20"/>
        <w:spacing w:after="0" w:line="220" w:lineRule="auto"/>
        <w:rPr>
          <w:sz w:val="20"/>
          <w:szCs w:val="20"/>
          <w:color w:val="auto"/>
        </w:rPr>
      </w:pPr>
      <w:r>
        <w:rPr>
          <w:rFonts w:ascii="Times New Roman" w:cs="Times New Roman" w:eastAsia="Times New Roman" w:hAnsi="Times New Roman"/>
          <w:sz w:val="15"/>
          <w:szCs w:val="15"/>
          <w:b w:val="1"/>
          <w:bCs w:val="1"/>
          <w:color w:val="auto"/>
        </w:rPr>
        <w:t>Cooley LLP</w:t>
      </w:r>
    </w:p>
    <w:p>
      <w:pPr>
        <w:jc w:val="center"/>
        <w:ind w:right="40"/>
        <w:spacing w:after="0" w:line="183" w:lineRule="auto"/>
        <w:rPr>
          <w:sz w:val="20"/>
          <w:szCs w:val="20"/>
          <w:color w:val="auto"/>
        </w:rPr>
      </w:pPr>
      <w:r>
        <w:rPr>
          <w:rFonts w:ascii="Times New Roman" w:cs="Times New Roman" w:eastAsia="Times New Roman" w:hAnsi="Times New Roman"/>
          <w:sz w:val="14"/>
          <w:szCs w:val="14"/>
          <w:b w:val="1"/>
          <w:bCs w:val="1"/>
          <w:color w:val="auto"/>
        </w:rPr>
        <w:t>3 Embarcadero Center, 20</w:t>
      </w:r>
      <w:r>
        <w:rPr>
          <w:rFonts w:ascii="Times New Roman" w:cs="Times New Roman" w:eastAsia="Times New Roman" w:hAnsi="Times New Roman"/>
          <w:sz w:val="22"/>
          <w:szCs w:val="22"/>
          <w:b w:val="1"/>
          <w:bCs w:val="1"/>
          <w:color w:val="auto"/>
          <w:vertAlign w:val="superscript"/>
        </w:rPr>
        <w:t>th</w:t>
      </w:r>
      <w:r>
        <w:rPr>
          <w:rFonts w:ascii="Times New Roman" w:cs="Times New Roman" w:eastAsia="Times New Roman" w:hAnsi="Times New Roman"/>
          <w:sz w:val="14"/>
          <w:szCs w:val="14"/>
          <w:b w:val="1"/>
          <w:bCs w:val="1"/>
          <w:color w:val="auto"/>
        </w:rPr>
        <w:t xml:space="preserve"> Floor</w:t>
      </w:r>
    </w:p>
    <w:p>
      <w:pPr>
        <w:jc w:val="center"/>
        <w:ind w:right="40"/>
        <w:spacing w:after="0" w:line="226" w:lineRule="auto"/>
        <w:rPr>
          <w:sz w:val="20"/>
          <w:szCs w:val="20"/>
          <w:color w:val="auto"/>
        </w:rPr>
      </w:pPr>
      <w:r>
        <w:rPr>
          <w:rFonts w:ascii="Times New Roman" w:cs="Times New Roman" w:eastAsia="Times New Roman" w:hAnsi="Times New Roman"/>
          <w:sz w:val="15"/>
          <w:szCs w:val="15"/>
          <w:b w:val="1"/>
          <w:bCs w:val="1"/>
          <w:color w:val="auto"/>
        </w:rPr>
        <w:t>San Francisco, California 94111</w:t>
      </w:r>
    </w:p>
    <w:p>
      <w:pPr>
        <w:jc w:val="center"/>
        <w:spacing w:after="0"/>
        <w:rPr>
          <w:sz w:val="20"/>
          <w:szCs w:val="20"/>
          <w:color w:val="auto"/>
        </w:rPr>
      </w:pPr>
      <w:r>
        <w:rPr>
          <w:rFonts w:ascii="Times New Roman" w:cs="Times New Roman" w:eastAsia="Times New Roman" w:hAnsi="Times New Roman"/>
          <w:sz w:val="15"/>
          <w:szCs w:val="15"/>
          <w:b w:val="1"/>
          <w:bCs w:val="1"/>
          <w:color w:val="auto"/>
        </w:rPr>
        <w:t>Tel: (415) 693-2000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36830</wp:posOffset>
            </wp:positionV>
            <wp:extent cx="10972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12"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5"/>
          <w:szCs w:val="15"/>
          <w:b w:val="1"/>
          <w:bCs w:val="1"/>
          <w:color w:val="auto"/>
        </w:rPr>
        <w:t>Approximate date of commencement of proposed sale to the public: From time to time after the effective date of this registration statement.</w:t>
      </w:r>
    </w:p>
    <w:p>
      <w:pPr>
        <w:spacing w:after="0" w:line="34" w:lineRule="exact"/>
        <w:rPr>
          <w:sz w:val="24"/>
          <w:szCs w:val="24"/>
          <w:color w:val="auto"/>
        </w:rPr>
      </w:pPr>
    </w:p>
    <w:p>
      <w:pPr>
        <w:ind w:right="340" w:firstLine="360"/>
        <w:spacing w:after="0" w:line="199" w:lineRule="exact"/>
        <w:rPr>
          <w:sz w:val="20"/>
          <w:szCs w:val="20"/>
          <w:color w:val="auto"/>
        </w:rPr>
      </w:pPr>
      <w:r>
        <w:rPr>
          <w:rFonts w:ascii="Times New Roman" w:cs="Times New Roman" w:eastAsia="Times New Roman" w:hAnsi="Times New Roman"/>
          <w:sz w:val="15"/>
          <w:szCs w:val="15"/>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5"/>
          <w:szCs w:val="15"/>
          <w:color w:val="auto"/>
        </w:rPr>
        <w:t>☐</w:t>
      </w:r>
    </w:p>
    <w:p>
      <w:pPr>
        <w:spacing w:after="0" w:line="1" w:lineRule="exact"/>
        <w:rPr>
          <w:sz w:val="24"/>
          <w:szCs w:val="24"/>
          <w:color w:val="auto"/>
        </w:rPr>
      </w:pPr>
    </w:p>
    <w:p>
      <w:pPr>
        <w:jc w:val="both"/>
        <w:ind w:firstLine="360"/>
        <w:spacing w:after="0" w:line="194" w:lineRule="exact"/>
        <w:rPr>
          <w:sz w:val="20"/>
          <w:szCs w:val="20"/>
          <w:color w:val="auto"/>
        </w:rPr>
      </w:pPr>
      <w:r>
        <w:rPr>
          <w:rFonts w:ascii="Times New Roman" w:cs="Times New Roman" w:eastAsia="Times New Roman" w:hAnsi="Times New Roman"/>
          <w:sz w:val="15"/>
          <w:szCs w:val="15"/>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please check the following box. </w:t>
      </w:r>
      <w:r>
        <w:rPr>
          <w:rFonts w:ascii="MS PGothic" w:cs="MS PGothic" w:eastAsia="MS PGothic" w:hAnsi="MS PGothic"/>
          <w:sz w:val="15"/>
          <w:szCs w:val="15"/>
          <w:color w:val="auto"/>
        </w:rPr>
        <w:t>☒</w:t>
      </w:r>
    </w:p>
    <w:p>
      <w:pPr>
        <w:spacing w:after="0" w:line="1" w:lineRule="exact"/>
        <w:rPr>
          <w:sz w:val="24"/>
          <w:szCs w:val="24"/>
          <w:color w:val="auto"/>
        </w:rPr>
      </w:pPr>
    </w:p>
    <w:p>
      <w:pPr>
        <w:jc w:val="both"/>
        <w:ind w:firstLine="360"/>
        <w:spacing w:after="0" w:line="191" w:lineRule="exact"/>
        <w:rPr>
          <w:sz w:val="20"/>
          <w:szCs w:val="20"/>
          <w:color w:val="auto"/>
        </w:rPr>
      </w:pPr>
      <w:r>
        <w:rPr>
          <w:rFonts w:ascii="Times New Roman" w:cs="Times New Roman" w:eastAsia="Times New Roman" w:hAnsi="Times New Roman"/>
          <w:sz w:val="15"/>
          <w:szCs w:val="15"/>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 w:lineRule="exact"/>
        <w:rPr>
          <w:sz w:val="24"/>
          <w:szCs w:val="24"/>
          <w:color w:val="auto"/>
        </w:rPr>
      </w:pPr>
    </w:p>
    <w:p>
      <w:pPr>
        <w:jc w:val="both"/>
        <w:ind w:firstLine="360"/>
        <w:spacing w:after="0" w:line="194"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1" w:lineRule="exact"/>
        <w:rPr>
          <w:sz w:val="24"/>
          <w:szCs w:val="24"/>
          <w:color w:val="auto"/>
        </w:rPr>
      </w:pPr>
    </w:p>
    <w:p>
      <w:pPr>
        <w:jc w:val="both"/>
        <w:ind w:firstLine="360"/>
        <w:spacing w:after="0" w:line="191" w:lineRule="exact"/>
        <w:rPr>
          <w:sz w:val="20"/>
          <w:szCs w:val="20"/>
          <w:color w:val="auto"/>
        </w:rPr>
      </w:pPr>
      <w:r>
        <w:rPr>
          <w:rFonts w:ascii="Times New Roman" w:cs="Times New Roman" w:eastAsia="Times New Roman" w:hAnsi="Times New Roman"/>
          <w:sz w:val="15"/>
          <w:szCs w:val="15"/>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5"/>
          <w:szCs w:val="15"/>
          <w:color w:val="auto"/>
        </w:rPr>
        <w:t>☐</w:t>
      </w:r>
    </w:p>
    <w:p>
      <w:pPr>
        <w:spacing w:after="0" w:line="1" w:lineRule="exact"/>
        <w:rPr>
          <w:sz w:val="24"/>
          <w:szCs w:val="24"/>
          <w:color w:val="auto"/>
        </w:rPr>
      </w:pPr>
    </w:p>
    <w:p>
      <w:pPr>
        <w:jc w:val="both"/>
        <w:ind w:firstLine="360"/>
        <w:spacing w:after="0" w:line="196" w:lineRule="exact"/>
        <w:rPr>
          <w:sz w:val="20"/>
          <w:szCs w:val="20"/>
          <w:color w:val="auto"/>
        </w:rPr>
      </w:pPr>
      <w:r>
        <w:rPr>
          <w:rFonts w:ascii="Times New Roman" w:cs="Times New Roman" w:eastAsia="Times New Roman" w:hAnsi="Times New Roman"/>
          <w:sz w:val="15"/>
          <w:szCs w:val="15"/>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5"/>
          <w:szCs w:val="15"/>
          <w:color w:val="auto"/>
        </w:rPr>
        <w:t>☐</w:t>
      </w:r>
    </w:p>
    <w:p>
      <w:pPr>
        <w:spacing w:after="0" w:line="1" w:lineRule="exact"/>
        <w:rPr>
          <w:sz w:val="24"/>
          <w:szCs w:val="24"/>
          <w:color w:val="auto"/>
        </w:rPr>
      </w:pPr>
    </w:p>
    <w:p>
      <w:pPr>
        <w:jc w:val="both"/>
        <w:ind w:firstLine="360"/>
        <w:spacing w:after="0" w:line="239"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under the Securities Exchange Act of 1934:</w:t>
      </w: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29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1860" w:type="dxa"/>
            <w:vAlign w:val="bottom"/>
          </w:tcPr>
          <w:p>
            <w:pPr>
              <w:ind w:left="1600"/>
              <w:spacing w:after="0" w:line="151" w:lineRule="exact"/>
              <w:rPr>
                <w:sz w:val="20"/>
                <w:szCs w:val="20"/>
                <w:color w:val="auto"/>
              </w:rPr>
            </w:pPr>
            <w:r>
              <w:rPr>
                <w:rFonts w:ascii="MS PGothic" w:cs="MS PGothic" w:eastAsia="MS PGothic" w:hAnsi="MS PGothic"/>
                <w:sz w:val="15"/>
                <w:szCs w:val="15"/>
                <w:color w:val="auto"/>
              </w:rPr>
              <w:t>☐</w:t>
            </w:r>
          </w:p>
        </w:tc>
        <w:tc>
          <w:tcPr>
            <w:tcW w:w="32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Accelerated filer</w:t>
            </w:r>
          </w:p>
        </w:tc>
        <w:tc>
          <w:tcPr>
            <w:tcW w:w="1580" w:type="dxa"/>
            <w:vAlign w:val="bottom"/>
          </w:tcPr>
          <w:p>
            <w:pPr>
              <w:ind w:left="14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3"/>
        </w:trPr>
        <w:tc>
          <w:tcPr>
            <w:tcW w:w="29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1860" w:type="dxa"/>
            <w:vAlign w:val="bottom"/>
          </w:tcPr>
          <w:p>
            <w:pPr>
              <w:ind w:left="1600"/>
              <w:spacing w:after="0" w:line="151" w:lineRule="exact"/>
              <w:rPr>
                <w:sz w:val="20"/>
                <w:szCs w:val="20"/>
                <w:color w:val="auto"/>
              </w:rPr>
            </w:pPr>
            <w:r>
              <w:rPr>
                <w:rFonts w:ascii="MS PGothic" w:cs="MS PGothic" w:eastAsia="MS PGothic" w:hAnsi="MS PGothic"/>
                <w:sz w:val="15"/>
                <w:szCs w:val="15"/>
                <w:color w:val="auto"/>
              </w:rPr>
              <w:t>☐</w:t>
            </w:r>
          </w:p>
        </w:tc>
        <w:tc>
          <w:tcPr>
            <w:tcW w:w="32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1580" w:type="dxa"/>
            <w:vAlign w:val="bottom"/>
          </w:tcPr>
          <w:p>
            <w:pPr>
              <w:ind w:left="144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29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2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Emerging growth company</w:t>
            </w:r>
          </w:p>
        </w:tc>
        <w:tc>
          <w:tcPr>
            <w:tcW w:w="1580" w:type="dxa"/>
            <w:vAlign w:val="bottom"/>
          </w:tcPr>
          <w:p>
            <w:pPr>
              <w:ind w:left="144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48" w:lineRule="exact"/>
        <w:rPr>
          <w:sz w:val="24"/>
          <w:szCs w:val="24"/>
          <w:color w:val="auto"/>
        </w:rPr>
      </w:pPr>
    </w:p>
    <w:p>
      <w:pPr>
        <w:jc w:val="both"/>
        <w:ind w:firstLine="360"/>
        <w:spacing w:after="0" w:line="197"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jc w:val="both"/>
        <w:ind w:firstLine="360"/>
        <w:spacing w:after="0" w:line="232" w:lineRule="auto"/>
        <w:rPr>
          <w:sz w:val="20"/>
          <w:szCs w:val="20"/>
          <w:color w:val="auto"/>
        </w:rPr>
      </w:pPr>
      <w:r>
        <w:rPr>
          <w:rFonts w:ascii="Times New Roman" w:cs="Times New Roman" w:eastAsia="Times New Roman" w:hAnsi="Times New Roman"/>
          <w:sz w:val="15"/>
          <w:szCs w:val="15"/>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323215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134620</wp:posOffset>
            </wp:positionV>
            <wp:extent cx="6172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194310</wp:posOffset>
            </wp:positionV>
            <wp:extent cx="617220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720"/>
          </w:cols>
          <w:pgMar w:left="1080" w:top="223" w:right="1099"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WM Technology, Inc., a Delaware corporation (the “Company”), filed a Registration Statement on Form S-1 on July 8, 2021, which was declared effective on July 20, 2021, as amended by (i) Post-Effective Amendment No. 1 to Form S-1, which was filed on March 7, 2022, as further amended by (ii) Post-Effective Amendment No. 2 to Form S-1, which was filed on March 11, 2022, and subsequently declared effective by the Securities and Exchange Commission (the “SEC”) on March 15, 2022 (as amended and supplemented, the “Form S-1 Registration Statement”). On October 5, 2022, the Company filed Post-Effective Amendment No. 3 to the Form S-1 Registration Statement on Form S-3 to convert the Form S-1 Registration Statement into a registration statement on Form S-3, which was subsequently declared effective by the SEC on October 19, 2022 (the “Form S-3 Registration Statement”).</w:t>
      </w:r>
    </w:p>
    <w:p>
      <w:pPr>
        <w:spacing w:after="0" w:line="8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This Post-Effective Amendment No. 4 to the Form S-3 Registration Statement on Form S-1 is being filed by the Company to convert the Form S-3 Registration Statement into a registration statement on Form S-1 (“Post-Effective Amendment No. 4”).</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information included in this filing amends the Form S-3 Registration Statement and the prospectus contained therein. No additional securities are being registered under this Post-Effective Amendment No. 4. All applicable registration fees were paid at the time of the original filing of the Form S-1 Registration Statement.</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On May 24, 2024, the Company filed its Annual Report on Form 10-K for the fiscal year ended December 31, 2023 (the “Annual Report on Form 10-K”). Interested parties should refer to such Annual Report on Form 10-K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106045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400" w:right="439"/>
        <w:spacing w:after="0" w:line="246" w:lineRule="auto"/>
        <w:rPr>
          <w:sz w:val="20"/>
          <w:szCs w:val="20"/>
          <w:color w:val="auto"/>
        </w:rPr>
      </w:pPr>
      <w:r>
        <w:rPr>
          <w:rFonts w:ascii="Arial" w:cs="Arial" w:eastAsia="Arial" w:hAnsi="Arial"/>
          <w:sz w:val="18"/>
          <w:szCs w:val="18"/>
          <w:b w:val="1"/>
          <w:bCs w:val="1"/>
          <w:color w:val="FC0014"/>
        </w:rPr>
        <w:t>The information in this preliminary prospectus is not complete and may be changed. Neither we nor the selling securityholders may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272" w:lineRule="exact"/>
        <w:rPr>
          <w:sz w:val="20"/>
          <w:szCs w:val="20"/>
          <w:color w:val="auto"/>
        </w:rPr>
      </w:pPr>
    </w:p>
    <w:p>
      <w:pPr>
        <w:ind w:left="400"/>
        <w:spacing w:after="0"/>
        <w:tabs>
          <w:tab w:leader="none" w:pos="4120" w:val="left"/>
        </w:tabs>
        <w:rPr>
          <w:sz w:val="20"/>
          <w:szCs w:val="20"/>
          <w:color w:val="auto"/>
        </w:rPr>
      </w:pPr>
      <w:r>
        <w:rPr>
          <w:rFonts w:ascii="Times New Roman" w:cs="Times New Roman" w:eastAsia="Times New Roman" w:hAnsi="Times New Roman"/>
          <w:sz w:val="18"/>
          <w:szCs w:val="18"/>
          <w:b w:val="1"/>
          <w:bCs w:val="1"/>
          <w:color w:val="FC0014"/>
        </w:rPr>
        <w:t>PRELIMINARY PROSPECTUS</w:t>
      </w:r>
      <w:r>
        <w:rPr>
          <w:sz w:val="20"/>
          <w:szCs w:val="20"/>
          <w:color w:val="auto"/>
        </w:rPr>
        <w:tab/>
      </w:r>
      <w:r>
        <w:rPr>
          <w:rFonts w:ascii="Times New Roman" w:cs="Times New Roman" w:eastAsia="Times New Roman" w:hAnsi="Times New Roman"/>
          <w:sz w:val="17"/>
          <w:szCs w:val="17"/>
          <w:b w:val="1"/>
          <w:bCs w:val="1"/>
          <w:color w:val="FC0014"/>
        </w:rPr>
        <w:t>SUBJECT TO COMPLETION — DATED JULY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242570</wp:posOffset>
            </wp:positionV>
            <wp:extent cx="3429000" cy="10204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00"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Up to 110,898,382 Shares of Class A Common Stock</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Up to 105,014,011 Shares of Class A Common Stock</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Up to 7,000,000 Warrants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Offered by the Selling Securityholders</w:t>
      </w:r>
    </w:p>
    <w:p>
      <w:pPr>
        <w:spacing w:after="0" w:line="99" w:lineRule="exact"/>
        <w:rPr>
          <w:sz w:val="20"/>
          <w:szCs w:val="20"/>
          <w:color w:val="auto"/>
        </w:rPr>
      </w:pPr>
    </w:p>
    <w:p>
      <w:pPr>
        <w:jc w:val="both"/>
        <w:ind w:left="400" w:right="419"/>
        <w:spacing w:after="0" w:line="253" w:lineRule="auto"/>
        <w:rPr>
          <w:sz w:val="20"/>
          <w:szCs w:val="20"/>
          <w:color w:val="auto"/>
        </w:rPr>
      </w:pPr>
      <w:r>
        <w:rPr>
          <w:rFonts w:ascii="Times New Roman" w:cs="Times New Roman" w:eastAsia="Times New Roman" w:hAnsi="Times New Roman"/>
          <w:sz w:val="18"/>
          <w:szCs w:val="18"/>
          <w:color w:val="auto"/>
        </w:rPr>
        <w:t>This prospectus relates to the issuance by us of an aggregate of up to 110,898,382 shares of our Class A Common Stock, $0.0001 par value per share (“Class A Common Stock”), consisting of (i) 7,000,000 shares of Class A Common Stock issuable upon exercise of warrants originally issued in a private placement (the “Private Placement Warrants”) in connection with the initial public offering of Silver Spike Acquisition Corp. (“Silver Spike”) by the holders thereof, (ii) 12,499,993 shares of Class A Common Stock issuable upon exercise of the public warrants originally issued in the initial public offering of Silver Spike (the “Public Warrants” and together with the Private Placement Warrants, the “Warrants”) by the holders thereof, (iii) 65,502,347 shares of Class A Common Stock issuable upon exchange of Class A units representing limited liability company interests of WM Holding Company, LLC (“WMH LLC” and such units, the “Class A Units”) combined with an equivalent number of shares of Class V Common Stock, par value $0.0001 per share (together with the Class A Units, the “Paired Interests”) and (iv) 25,896,042 shares of Class A Common Stock issuable upon exchange of Class P units representing limited liability company interests WMH LLC (“Class P Units” and together with the Class A Units, the “Units”). We will receive the proceeds from any exercise of any Warrants for cash.</w:t>
      </w:r>
    </w:p>
    <w:p>
      <w:pPr>
        <w:spacing w:after="0" w:line="79" w:lineRule="exact"/>
        <w:rPr>
          <w:sz w:val="20"/>
          <w:szCs w:val="20"/>
          <w:color w:val="auto"/>
        </w:rPr>
      </w:pPr>
    </w:p>
    <w:p>
      <w:pPr>
        <w:jc w:val="both"/>
        <w:ind w:left="400" w:right="419"/>
        <w:spacing w:after="0" w:line="255" w:lineRule="auto"/>
        <w:rPr>
          <w:sz w:val="20"/>
          <w:szCs w:val="20"/>
          <w:color w:val="auto"/>
        </w:rPr>
      </w:pPr>
      <w:r>
        <w:rPr>
          <w:rFonts w:ascii="Times New Roman" w:cs="Times New Roman" w:eastAsia="Times New Roman" w:hAnsi="Times New Roman"/>
          <w:sz w:val="18"/>
          <w:szCs w:val="18"/>
          <w:color w:val="auto"/>
        </w:rPr>
        <w:t>This prospectus also relates to the offer and sale from time to time by the selling securityholders named in this prospectus (the “Selling Securityholders”) of up to (a) 105,014,011 shares of Class A Common Stock, consisting of (i) 38,750,000 issued and outstanding shares of Class A Common Stock, (ii) 59,264,011 shares of Class A Common Stock issuable upon exchange of such Selling Securityholder’s Paired Interests or Class P Units, and</w:t>
      </w:r>
    </w:p>
    <w:p>
      <w:pPr>
        <w:spacing w:after="0" w:line="3" w:lineRule="exact"/>
        <w:rPr>
          <w:sz w:val="20"/>
          <w:szCs w:val="20"/>
          <w:color w:val="auto"/>
        </w:rPr>
      </w:pPr>
    </w:p>
    <w:p>
      <w:pPr>
        <w:ind w:left="740" w:hanging="340"/>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7,000,000 shares of Class A Common Stock issuable upon exercise of the Private Placement Warrants and</w:t>
      </w:r>
    </w:p>
    <w:p>
      <w:pPr>
        <w:spacing w:after="0" w:line="9" w:lineRule="exact"/>
        <w:rPr>
          <w:rFonts w:ascii="Times New Roman" w:cs="Times New Roman" w:eastAsia="Times New Roman" w:hAnsi="Times New Roman"/>
          <w:sz w:val="18"/>
          <w:szCs w:val="18"/>
          <w:color w:val="auto"/>
        </w:rPr>
      </w:pPr>
    </w:p>
    <w:p>
      <w:pPr>
        <w:jc w:val="both"/>
        <w:ind w:left="400" w:right="419"/>
        <w:spacing w:after="0" w:line="253" w:lineRule="auto"/>
        <w:tabs>
          <w:tab w:leader="none" w:pos="6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7,000,000 Private Placement Warrants. We will not receive any proceeds from the sale of shares of Class A Common Stock or Warrants by the Selling Securityholders pursuant to this prospectus. However,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w:t>
      </w:r>
    </w:p>
    <w:p>
      <w:pPr>
        <w:spacing w:after="0" w:line="79" w:lineRule="exact"/>
        <w:rPr>
          <w:sz w:val="20"/>
          <w:szCs w:val="20"/>
          <w:color w:val="auto"/>
        </w:rPr>
      </w:pPr>
    </w:p>
    <w:p>
      <w:pPr>
        <w:jc w:val="both"/>
        <w:ind w:left="400" w:right="419"/>
        <w:spacing w:after="0" w:line="255" w:lineRule="auto"/>
        <w:rPr>
          <w:sz w:val="20"/>
          <w:szCs w:val="20"/>
          <w:color w:val="auto"/>
        </w:rPr>
      </w:pPr>
      <w:r>
        <w:rPr>
          <w:rFonts w:ascii="Times New Roman" w:cs="Times New Roman" w:eastAsia="Times New Roman" w:hAnsi="Times New Roman"/>
          <w:sz w:val="18"/>
          <w:szCs w:val="18"/>
          <w:color w:val="auto"/>
        </w:rPr>
        <w:t>Our registration of the securities covered by this prospectus does not mean that the Selling Securityholders will offer or sell any of the shares of Class A Common Stock or Warrants. The Selling Securityholders may offer, sell or distribute all or a portion of their shares of Class A Common Stock or Warrants publicly or through private transactions at prevailing market prices or at negotiated prices. We will not receive any proceeds from the sale of shares of Class A Common Stock or Warrants by the Selling Securityholders pursuant to this prospectus. We provide more information about how the Selling Securityholders may sell the shares or Warrants in the section entitled “Plan of Distribution.”</w:t>
      </w:r>
    </w:p>
    <w:p>
      <w:pPr>
        <w:spacing w:after="0" w:line="81" w:lineRule="exact"/>
        <w:rPr>
          <w:sz w:val="20"/>
          <w:szCs w:val="20"/>
          <w:color w:val="auto"/>
        </w:rPr>
      </w:pPr>
    </w:p>
    <w:p>
      <w:pPr>
        <w:jc w:val="both"/>
        <w:ind w:left="400" w:right="419"/>
        <w:spacing w:after="0" w:line="266" w:lineRule="auto"/>
        <w:rPr>
          <w:sz w:val="20"/>
          <w:szCs w:val="20"/>
          <w:color w:val="auto"/>
        </w:rPr>
      </w:pPr>
      <w:r>
        <w:rPr>
          <w:rFonts w:ascii="Times New Roman" w:cs="Times New Roman" w:eastAsia="Times New Roman" w:hAnsi="Times New Roman"/>
          <w:sz w:val="18"/>
          <w:szCs w:val="18"/>
          <w:color w:val="auto"/>
        </w:rPr>
        <w:t>Our Class A Common Stock and Public Warrants are listed on The Nasdaq Global Select Market (“Nasdaq”) under the symbols “MAPS” and “MAPSW,” respectively. On July 22 , 2024, the closing price of our Class A Common Stock was $1.03 and the closing price for our Public Warrants was $0.0499.</w:t>
      </w:r>
    </w:p>
    <w:p>
      <w:pPr>
        <w:spacing w:after="0" w:line="68" w:lineRule="exact"/>
        <w:rPr>
          <w:sz w:val="20"/>
          <w:szCs w:val="20"/>
          <w:color w:val="auto"/>
        </w:rPr>
      </w:pPr>
    </w:p>
    <w:p>
      <w:pPr>
        <w:jc w:val="both"/>
        <w:ind w:left="400" w:right="419"/>
        <w:spacing w:after="0" w:line="282" w:lineRule="auto"/>
        <w:rPr>
          <w:sz w:val="20"/>
          <w:szCs w:val="20"/>
          <w:color w:val="auto"/>
        </w:rPr>
      </w:pPr>
      <w:r>
        <w:rPr>
          <w:rFonts w:ascii="Times New Roman" w:cs="Times New Roman" w:eastAsia="Times New Roman" w:hAnsi="Times New Roman"/>
          <w:sz w:val="18"/>
          <w:szCs w:val="18"/>
          <w:color w:val="auto"/>
        </w:rPr>
        <w:t xml:space="preserve">See the section entitled “Risk Factors” beginning on page </w:t>
      </w:r>
      <w:r>
        <w:rPr>
          <w:rFonts w:ascii="Times New Roman" w:cs="Times New Roman" w:eastAsia="Times New Roman" w:hAnsi="Times New Roman"/>
          <w:sz w:val="18"/>
          <w:szCs w:val="18"/>
          <w:u w:val="single" w:color="auto"/>
          <w:color w:val="0000EE"/>
        </w:rPr>
        <w:t>5</w:t>
      </w:r>
      <w:r>
        <w:rPr>
          <w:rFonts w:ascii="Times New Roman" w:cs="Times New Roman" w:eastAsia="Times New Roman" w:hAnsi="Times New Roman"/>
          <w:sz w:val="18"/>
          <w:szCs w:val="18"/>
          <w:color w:val="auto"/>
        </w:rPr>
        <w:t xml:space="preserve"> of this prospectus to read about certain risks and uncertainties you should consider before investing in our securities.</w:t>
      </w:r>
    </w:p>
    <w:p>
      <w:pPr>
        <w:spacing w:after="0" w:line="54" w:lineRule="exact"/>
        <w:rPr>
          <w:sz w:val="20"/>
          <w:szCs w:val="20"/>
          <w:color w:val="auto"/>
        </w:rPr>
      </w:pPr>
    </w:p>
    <w:p>
      <w:pPr>
        <w:jc w:val="both"/>
        <w:ind w:left="400" w:right="419"/>
        <w:spacing w:after="0" w:line="266"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is July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139700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50"/>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104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7"/>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ii</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EE"/>
                <w:w w:val="92"/>
              </w:rPr>
              <w:t>iii</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THE OFFERING</w:t>
            </w:r>
          </w:p>
        </w:tc>
        <w:tc>
          <w:tcPr>
            <w:tcW w:w="2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5</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2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43</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MARKET INFORMATION FOR COMMON STOCK AND DIVIDEND POLICY</w:t>
            </w:r>
          </w:p>
        </w:tc>
        <w:tc>
          <w:tcPr>
            <w:tcW w:w="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44</w:t>
            </w:r>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776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79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OPERATIONS</w:t>
            </w:r>
          </w:p>
        </w:tc>
        <w:tc>
          <w:tcPr>
            <w:tcW w:w="280" w:type="dxa"/>
            <w:vAlign w:val="bottom"/>
            <w:gridSpan w:val="6"/>
          </w:tcPr>
          <w:p>
            <w:pPr>
              <w:jc w:val="right"/>
              <w:spacing w:after="0" w:line="196" w:lineRule="exact"/>
              <w:rPr>
                <w:sz w:val="20"/>
                <w:szCs w:val="20"/>
                <w:color w:val="auto"/>
              </w:rPr>
            </w:pPr>
            <w:r>
              <w:rPr>
                <w:rFonts w:ascii="Times New Roman" w:cs="Times New Roman" w:eastAsia="Times New Roman" w:hAnsi="Times New Roman"/>
                <w:sz w:val="18"/>
                <w:szCs w:val="18"/>
                <w:color w:val="0000EE"/>
              </w:rPr>
              <w:t>45</w:t>
            </w:r>
          </w:p>
        </w:tc>
        <w:tc>
          <w:tcPr>
            <w:tcW w:w="20" w:type="dxa"/>
            <w:vAlign w:val="bottom"/>
          </w:tcPr>
          <w:p>
            <w:pPr>
              <w:spacing w:after="0"/>
              <w:rPr>
                <w:sz w:val="17"/>
                <w:szCs w:val="17"/>
                <w:color w:val="auto"/>
              </w:rPr>
            </w:pPr>
          </w:p>
        </w:tc>
      </w:tr>
      <w:tr>
        <w:trPr>
          <w:trHeight w:val="75"/>
        </w:trPr>
        <w:tc>
          <w:tcPr>
            <w:tcW w:w="18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BUSINESS</w:t>
            </w:r>
          </w:p>
        </w:tc>
        <w:tc>
          <w:tcPr>
            <w:tcW w:w="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67</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MANAGEMENT</w:t>
            </w:r>
          </w:p>
        </w:tc>
        <w:tc>
          <w:tcPr>
            <w:tcW w:w="2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0000EE"/>
              </w:rPr>
              <w:t>79</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88</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3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0000EE"/>
                <w:w w:val="96"/>
              </w:rPr>
              <w:t>102</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30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6"/>
              </w:rPr>
              <w:t>107</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8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720" w:type="dxa"/>
            <w:vAlign w:val="bottom"/>
            <w:tcBorders>
              <w:top w:val="single" w:sz="8" w:color="0000EE"/>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SELLING SECURITYHOLDERS</w:t>
            </w:r>
          </w:p>
        </w:tc>
        <w:tc>
          <w:tcPr>
            <w:tcW w:w="3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0000EE"/>
                <w:w w:val="96"/>
              </w:rPr>
              <w:t>109</w:t>
            </w: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SECURITIES</w:t>
            </w:r>
          </w:p>
        </w:tc>
        <w:tc>
          <w:tcPr>
            <w:tcW w:w="2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6"/>
              </w:rPr>
              <w:t>116</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MATERIAL UNITED STATES FEDERAL INCOME TAX CONSEQUENCES</w:t>
            </w:r>
          </w:p>
        </w:tc>
        <w:tc>
          <w:tcPr>
            <w:tcW w:w="3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0000EE"/>
                <w:w w:val="96"/>
              </w:rPr>
              <w:t>124</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30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6"/>
              </w:rPr>
              <w:t>129</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3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0000EE"/>
                <w:w w:val="96"/>
              </w:rPr>
              <w:t>131</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EXPERTS</w:t>
            </w:r>
          </w:p>
        </w:tc>
        <w:tc>
          <w:tcPr>
            <w:tcW w:w="30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6"/>
              </w:rPr>
              <w:t>131</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3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0000EE"/>
                <w:w w:val="96"/>
              </w:rPr>
              <w:t>131</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INDEX TO FINANCIAL STATEMENTS</w:t>
            </w:r>
          </w:p>
        </w:tc>
        <w:tc>
          <w:tcPr>
            <w:tcW w:w="20" w:type="dxa"/>
            <w:vAlign w:val="bottom"/>
            <w:shd w:val="clear" w:color="auto" w:fill="CCEEFF"/>
          </w:tcPr>
          <w:p>
            <w:pPr>
              <w:spacing w:after="0"/>
              <w:rPr>
                <w:sz w:val="19"/>
                <w:szCs w:val="19"/>
                <w:color w:val="auto"/>
              </w:rPr>
            </w:pPr>
          </w:p>
        </w:tc>
        <w:tc>
          <w:tcPr>
            <w:tcW w:w="28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5"/>
              </w:rPr>
              <w:t>F-1</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PART II INFORMATION NOT REQUIRED IN PROSPECTUS</w:t>
            </w:r>
          </w:p>
        </w:tc>
        <w:tc>
          <w:tcPr>
            <w:tcW w:w="3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0000EE"/>
                <w:w w:val="96"/>
              </w:rPr>
              <w:t>II-1</w:t>
            </w: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300" w:type="dxa"/>
            <w:vAlign w:val="bottom"/>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96"/>
              </w:rPr>
              <w:t>II-7</w:t>
            </w: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720" w:type="dxa"/>
            <w:vAlign w:val="bottom"/>
            <w:tcBorders>
              <w:top w:val="single" w:sz="8" w:color="CCEEFF"/>
            </w:tcBorders>
            <w:shd w:val="clear" w:color="auto" w:fill="CCEEFF"/>
          </w:tcPr>
          <w:p>
            <w:pPr>
              <w:spacing w:after="0"/>
              <w:rPr>
                <w:sz w:val="6"/>
                <w:szCs w:val="6"/>
                <w:color w:val="auto"/>
              </w:rPr>
            </w:pPr>
          </w:p>
        </w:tc>
        <w:tc>
          <w:tcPr>
            <w:tcW w:w="10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-4885690</wp:posOffset>
            </wp:positionV>
            <wp:extent cx="1111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6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provided in this prospectus and any applicable prospectus supplement. Neither we nor the Selling Securityholders have authorized anyone to provide you with different information. Neither we nor the Selling Securityholders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our business, financial condition, results of operations and prospects may have changed.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 This prospectus also relates to the issuance by us of the shares of Class A Common Stock issuable upon exercise of any Warrants, Paired Interests and Class P Units. We will not receive any proceeds from the sale of shares of Class A Common Stock issuable upon exercise of the Warrants, or upon exchange of the Paired Interests or the Class P Units pursuant to this prospectus, except with respect to amounts received by us upon exercise of the Warrants for cash.</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or provide any assurance as to the reliability of, any other information that others may give you. Neither we nor the Selling Securityholders will make an offer to sell these securities in any jurisdiction where the offer or sale is not permitted.</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entitled “Where You Can Find More Information.”</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On June 16, 2021 (the “Closing Date”), Silver Spike, our predecessor company, consummated the Business Combination, which was previously announced, pursuant to that certain Agreement and Plan of Merger, dated December 10, 2020 (the “Merger Agreement”), by and among Silver Spike, Silver Spike Merger Sub LLC, a Delaware limited liability company and a wholly owned direct subsidiary of Silver Spike (“Merger Sub”), WM Holding Company, LLC, a Delaware limited liability company (when referred to in its pre-Business Combination (as defined below) capacity, “Legacy WMH”), and Ghost Media Group, LLC, a Nevada limited liability company, solely in its capacity as the initial holder representative (the “Holder Representative”). Pursuant to the Merger Agreement, Merger Sub merged with and into WMH, whereupon the separate limited liability company existence of Merger Sub ceased and WMH became the surviving company and continued in existence as a subsidiary of Silver Spike (the transactions contemplated by the Merger Agreement, the “Business Combination”). On the Closing Date, and in connection with the closing of the Business Combination (the “Closing”), Silver Spike changed its name to WM Technology, Inc.</w:t>
      </w:r>
    </w:p>
    <w:p>
      <w:pPr>
        <w:spacing w:after="0" w:line="8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Unless the context indicates otherwise, references in this prospectus to the “Company,” “WMH,” “we,” “us,” “our” and similar terms refer to WM Technology, Inc. (f/k/a Silver Spike Acquisition Corp.) and its consolidated subsidiaries (including Legacy WMH). References to “Silver Spike” refer to our predecessor company prior to the consummation of the Business Combination.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This prospectus contains forward-looking statements within the meaning of Section 27A of the Securities Act, and Section 21E of the Securities Exchange Act of 1934, as amended (the “Exchange Act.”). We have based these forward-looking statements on our current expectations and projections about future events. All statements, other than statements of present or historical fact included in this prospectus, our future financial performance, strategy, expansion plans, future operations, future operating results, estimated revenues, losses, projected costs, prospects, plans and objectives of management are forward-looking statements. Any statements that refer to projections, forecasts or other characterizations of future events or circumstances, including any underlying assumptions, are forward-looking statements. In some cases, you can identify forward-looking statements by terminology such as “anticipate,” “believe,” “continue,” “could,” “estimate,” “expect,” “intends,” “may,” “might,” “plan,” “possible,” “potential,” “predict,” “project,” “should,” “will,” “would” or the negative of such terms or other similar expressions.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prospectus. We caution you that these forward-looking statements are subject to numerous risks and uncertainties, most of which are difficult to predict and many of which are beyond our control.</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Forward-looking statements in this prospectus may include, for example, statements about:</w:t>
      </w:r>
    </w:p>
    <w:p>
      <w:pPr>
        <w:spacing w:after="0" w:line="117" w:lineRule="exact"/>
        <w:rPr>
          <w:sz w:val="20"/>
          <w:szCs w:val="20"/>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business performance, including key business metrics and any underlying assumptions thereunder;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our ability to acquire new clients and retain existing clients;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timing related to commercial product launches;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go-to-market strategy;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business and expand our offerings;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advantages and growth strategies;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future operations;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material weaknesses in our internal controls and our ability to remediate any such material weakness on the timing we anticipate, or at all;</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restatement on our reputation and investor confidence in us and the increased possibility of legal proceedings and regulatory inquiries;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macroeconomic conditions, including but not limited to inflation, uncertain credit and global financial markets, recent and potential future disruptions in access to bank deposits or lending commitments due to bank failures; recent and potential future geopolitical events, including the military conflicts between Russia and Ukraine and Israel and Hamas; and the occurrence of a catastrophic event, including but not limited to severe weather, war, or terrorist attack;</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global, regional or local economic and market conditions affecting the cannabis industry;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effects and enforcement of and changes to laws and regulations, including with respect to the cannabis industry;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capitalize on new and existing cannabis markets, including our ability to successfully monetize our solutions in those markets;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future growth;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anticipate and address changes in the end-user market in the cannabis industry;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29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solutions, bring them to market in a timely manner and make enhancements to our platform and our ability to maintain and grow our two-sided marketplace, including our ability to acquire and retain paying clients;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on our future business;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officers, key employees or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and security vulnerabilities;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or competitive factors.</w:t>
      </w:r>
    </w:p>
    <w:p>
      <w:pPr>
        <w:spacing w:after="0" w:line="11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Given these risks and uncertainties, you should not place undue reliance on these forward-looking statements. Additional cautionary statements or discussions of risks and uncertainties that could affect our results or the achievement of the expectations described in forward-looking statements may also be contained in any accompanying prospectus supplement.</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Should one or more of the risks or uncertainties described in this prospectus actually occur, or should underlying assumptions prove incorrect, actual results and plans could differ materially from those expressed in any 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You should read this prospectus and any accompanying prospectus supplement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1051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3405" cy="810514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21"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“Risk Factors,” “Management’s Discussion and Analysis of Financial Condition and Results of Operations,” “Business” and the consolidated financial statements and related notes included elsewhere in this prospectus before making an investment decision.</w:t>
      </w:r>
    </w:p>
    <w:p>
      <w:pPr>
        <w:spacing w:after="0" w:line="3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9"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On the Closing Date, and in connection with the closing of the Business Combination, Silver Spike was domesticated and continues as a Delaware corporation, and changed its name to WM Technology, Inc.</w:t>
      </w:r>
    </w:p>
    <w:p>
      <w:pPr>
        <w:spacing w:after="0" w:line="84"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Our business primarily consists of our commerce-driven marketplace (“Weedmaps”), and our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(“POS”) solutions, to provide consumers with the ability to browse by strain, price, cannabinoids and other information regarding locally available cannabis products, through our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We believe the size, loyalty and engagement of our user base and the frequency of consumption of cannabis by our user base makes the Weedmaps marketplace highly valuable to our clients.</w:t>
      </w:r>
    </w:p>
    <w:p>
      <w:pPr>
        <w:spacing w:after="0" w:line="3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121"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Our ability to implement our business strategy is subject to numerous risks that you should be aware of before making an investment decision. These risks are described more fully in the section entitled “Risk Factors,” immediately following this prospectus summary. These risks include the following, among others:</w:t>
      </w:r>
    </w:p>
    <w:p>
      <w:pPr>
        <w:spacing w:after="0" w:line="68" w:lineRule="exact"/>
        <w:rPr>
          <w:sz w:val="20"/>
          <w:szCs w:val="20"/>
          <w:color w:val="auto"/>
        </w:rPr>
      </w:pPr>
    </w:p>
    <w:p>
      <w:pPr>
        <w:ind w:left="1020" w:right="299" w:hanging="350"/>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our costs increase, we may not be able to generate sufficient revenue to achieve profitability in the future.</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retain our existing clients and consumers or to acquire new clients and consumers in a cost-effective manner, our revenue may decrease and our business may be harmed.</w:t>
      </w:r>
    </w:p>
    <w:p>
      <w:pPr>
        <w:spacing w:after="0" w:line="53"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offer the optimal pricing of our products and solutions.</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expand effectively into new markets, our revenue and business will be adversely affected.</w:t>
      </w:r>
    </w:p>
    <w:p>
      <w:pPr>
        <w:spacing w:after="0" w:line="11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the illicit cannabis market could impact our ability to succeed.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8562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3405" cy="785622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1020" w:right="299" w:hanging="350"/>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concentrated in California, and, as a result, our performance may be affected by factors unique to the California market.</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law enforcement may deem our clients to be in violation of U.S. federal law, and, in particular the Controlled Substances Act (“CSA”). A change in U.S. federal policy on cannabis enforcement and strict enforcement of federal cannabis laws against our clients would undermine our business model and materially affect our business and operations.</w:t>
      </w:r>
    </w:p>
    <w:p>
      <w:pPr>
        <w:spacing w:after="0" w:line="71" w:lineRule="exact"/>
        <w:rPr>
          <w:rFonts w:ascii="Times New Roman" w:cs="Times New Roman" w:eastAsia="Times New Roman" w:hAnsi="Times New Roman"/>
          <w:sz w:val="18"/>
          <w:szCs w:val="18"/>
          <w:color w:val="auto"/>
        </w:rPr>
      </w:pPr>
    </w:p>
    <w:p>
      <w:pPr>
        <w:jc w:val="both"/>
        <w:ind w:left="1020" w:right="299" w:hanging="350"/>
        <w:spacing w:after="0" w:line="255"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80" w:lineRule="exact"/>
        <w:rPr>
          <w:rFonts w:ascii="Times New Roman" w:cs="Times New Roman" w:eastAsia="Times New Roman" w:hAnsi="Times New Roman"/>
          <w:sz w:val="18"/>
          <w:szCs w:val="18"/>
          <w:color w:val="auto"/>
        </w:rPr>
      </w:pPr>
    </w:p>
    <w:p>
      <w:pPr>
        <w:jc w:val="both"/>
        <w:ind w:left="1020" w:right="299" w:hanging="350"/>
        <w:spacing w:after="0" w:line="255"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generally do not, and cannot, ensure that our clients will conduct their business activities in a manner compliant with such regulations and requirements, despite providing features to help support our clients’ compliance with the complex, disparate and constantly evolving regulations and other legal requirements applicable to the cannabis industry.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80"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U.S. state laws and regulations.</w:t>
      </w:r>
    </w:p>
    <w:p>
      <w:pPr>
        <w:spacing w:after="0" w:line="11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rapid changes in the cannabis industry and applicable laws and regulations make predicting and evaluating our future prospects difficult, and may increase the risk that we will not be successful.</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business is dependent, in part, upon continued market acceptance of cannabis by consumers, any negative trends could adversely affect our business operations.</w:t>
      </w:r>
    </w:p>
    <w:p>
      <w:pPr>
        <w:spacing w:after="0" w:line="53"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our business is dependent on the continued legalization of cannabis.</w:t>
      </w:r>
    </w:p>
    <w:p>
      <w:pPr>
        <w:spacing w:after="0" w:line="117"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clients face challenges unique to the cannabis industry that can impact their financial health and long-term viability. If our clients struggle financially or do not remain viable, it can negatively impact our ability to generate new revenue, maintain existing revenue or collect on outstanding receivables.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clients and consumers using our platform fail to provide high-quality content that attracts consumers, we may not be able to generate sufficient consumer traffic to remain competitive.</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highly dependent upon our brand recognition and reputation, and the erosion or degradation of our brand recognition or reputation would likely adversely affect our business and operating results.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face intense competition in the cannabis information market, and we expect competition to further intensify as the cannabis industry continues to evolve.</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employee operations and organization effectively, our brand, business and operating results could be harmed.</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recruit, train, retain and motivate key personnel, we may not achieve our business objectives.</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71"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current marketing model is not effective in attracting new clients, we may need to employ higher-cost sales and marketing methods to attract and retain clients, which could adversely affect our profitability.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3336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3405" cy="733361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1020" w:right="299" w:hanging="350"/>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67"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payment system and the payment systems of our clients depend on third-party providers and are subject to evolving laws and regulations.</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on our banking relations, and we may have difficulty accessing or consistently maintaining banking or other financial services due to our connection with the cannabis industry.</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drive engagement on our platform, as well as changes to our user engagement and advertising strategy and practices, pose risks to our business.</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incident, including a distributed denial of service attack, ransomware attack, security breach or unauthorized data access could impair or incapacitate our information technology systems and delay or interrupt service to our clients and consumers, harm our reputation, or subject us to significant liability.</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 of the internet continues to develop, and unfavorable changes could substantially harm our business and operating results.</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58"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as of December 31, 2023. If we are unable to remediate these material weaknesses or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75"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restatement of our prior quarterly financial statements may affect investor confidence and raise reputational issues and may subject us to additional risks and uncertainties, including increased professional costs and the increased possibility of legal proceedings and regulatory inquiries.</w:t>
      </w:r>
    </w:p>
    <w:p>
      <w:pPr>
        <w:spacing w:after="0" w:line="6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Class A Common Stock and certain of our Public Warrants have been, and may continue to be, volatile, and the value of our Class A Common Stock and such Warrants may decline.</w:t>
      </w:r>
    </w:p>
    <w:p>
      <w:pPr>
        <w:spacing w:after="0" w:line="3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Silver Spike, which was incorporated on June 7, 2019 as a Cayman Islands exempted company and formed for the purpose of effecting a merger, amalgamation, share exchange, asset acquisition, share purchase, reorganization or similar business combination with one or more businesses. Silver Spike completed its initial public offering in August 2019. In June 2021, Merger Sub merged with and into Legacy WMH, whereupon the separate limited liability company existence of Merger Sub ceased and Legacy WMH became the surviving company and continued in existence as a subsidiary of Silver Spike. Prior to the Closing Date, Silver Spike changed its jurisdiction of incorporation from the Cayman Islands to the State of Delaware by deregistering as an exempted company in the Cayman Islands and domesticating and continuing as a corporation formed under the laws of the State of Delaware (the “Domestication”). On the Closing Date, and in connection with the Closing, Silver Spike changed its name to WM Technology.</w:t>
      </w:r>
    </w:p>
    <w:p>
      <w:pPr>
        <w:spacing w:after="0" w:line="86" w:lineRule="exact"/>
        <w:rPr>
          <w:sz w:val="20"/>
          <w:szCs w:val="20"/>
          <w:color w:val="auto"/>
        </w:rPr>
      </w:pPr>
    </w:p>
    <w:p>
      <w:pPr>
        <w:jc w:val="both"/>
        <w:ind w:left="320" w:right="299"/>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41 Discovery, Irvine, California 92618. Our telephone number is (844) 933-3627.</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91440</wp:posOffset>
            </wp:positionV>
            <wp:extent cx="5653405" cy="86023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3405" cy="86023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11020"/>
          </w:cols>
          <w:pgMar w:left="440" w:top="263" w:right="439" w:bottom="1440" w:gutter="0" w:footer="0" w:header="0"/>
        </w:sectPr>
      </w:pP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333" w:lineRule="exact"/>
        <w:rPr>
          <w:sz w:val="20"/>
          <w:szCs w:val="20"/>
          <w:color w:val="auto"/>
        </w:rPr>
      </w:pPr>
    </w:p>
    <w:p>
      <w:pPr>
        <w:ind w:left="1480" w:right="6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Issuance of Class A Common Stock Shares of Class A Common Stock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48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Shares of Class A Common Stock Outstanding Prior to Exercise of All Warrants and Exchange of Paired Interests and Class P Units</w:t>
      </w:r>
    </w:p>
    <w:p>
      <w:pPr>
        <w:spacing w:after="0" w:line="103" w:lineRule="exact"/>
        <w:rPr>
          <w:sz w:val="20"/>
          <w:szCs w:val="20"/>
          <w:color w:val="auto"/>
        </w:rPr>
      </w:pPr>
    </w:p>
    <w:p>
      <w:pPr>
        <w:ind w:left="1480" w:right="14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Shares of Class A Common Stock Outstanding Assuming Exercise of All Warrants and Exchange of Paired Interests and Class P Units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both"/>
        <w:ind w:right="1280"/>
        <w:spacing w:after="0" w:line="282" w:lineRule="auto"/>
        <w:rPr>
          <w:sz w:val="20"/>
          <w:szCs w:val="20"/>
          <w:color w:val="auto"/>
        </w:rPr>
      </w:pPr>
      <w:r>
        <w:rPr>
          <w:rFonts w:ascii="Times New Roman" w:cs="Times New Roman" w:eastAsia="Times New Roman" w:hAnsi="Times New Roman"/>
          <w:sz w:val="18"/>
          <w:szCs w:val="18"/>
          <w:color w:val="auto"/>
        </w:rPr>
        <w:t>WM Technology, Inc. (f/k/a Silver Spike Acquisition Corp.).</w:t>
      </w:r>
    </w:p>
    <w:p>
      <w:pPr>
        <w:spacing w:after="0" w:line="270" w:lineRule="exact"/>
        <w:rPr>
          <w:sz w:val="20"/>
          <w:szCs w:val="20"/>
          <w:color w:val="auto"/>
        </w:rPr>
      </w:pPr>
    </w:p>
    <w:p>
      <w:pPr>
        <w:jc w:val="both"/>
        <w:ind w:right="1280"/>
        <w:spacing w:after="0" w:line="255" w:lineRule="auto"/>
        <w:rPr>
          <w:sz w:val="20"/>
          <w:szCs w:val="20"/>
          <w:color w:val="auto"/>
        </w:rPr>
      </w:pPr>
      <w:r>
        <w:rPr>
          <w:rFonts w:ascii="Times New Roman" w:cs="Times New Roman" w:eastAsia="Times New Roman" w:hAnsi="Times New Roman"/>
          <w:sz w:val="18"/>
          <w:szCs w:val="18"/>
          <w:color w:val="auto"/>
        </w:rPr>
        <w:t>Up to 110,898,382 shares of our Class A Common Stock consisting of (i) 7,000,000 shares of Class A Common Stock issuable upon exercise of the Private Placement Warrants by the holders thereof,</w:t>
      </w:r>
    </w:p>
    <w:p>
      <w:pPr>
        <w:spacing w:after="0" w:line="3" w:lineRule="exact"/>
        <w:rPr>
          <w:sz w:val="20"/>
          <w:szCs w:val="20"/>
          <w:color w:val="auto"/>
        </w:rPr>
      </w:pPr>
    </w:p>
    <w:p>
      <w:pPr>
        <w:jc w:val="both"/>
        <w:ind w:right="1280"/>
        <w:spacing w:after="0" w:line="252" w:lineRule="auto"/>
        <w:tabs>
          <w:tab w:leader="none" w:pos="33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12,499,993 shares of Class A Common Stock issuable upon exercise of the Public Warrants by the holders thereof, (iii) 65,502,347 shares of Class A Common Stock issuable upon exchange of Paired Interests and (iv) 25,896,042 shares of Class A Common Stock issuable upon exchange of Class P Units.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96,948,250 shares (as of July 22, 2024).</w:t>
      </w:r>
    </w:p>
    <w:p>
      <w:pPr>
        <w:spacing w:after="0" w:line="200" w:lineRule="exact"/>
        <w:rPr>
          <w:sz w:val="20"/>
          <w:szCs w:val="20"/>
          <w:color w:val="auto"/>
        </w:rPr>
      </w:pPr>
    </w:p>
    <w:p>
      <w:pPr>
        <w:spacing w:after="0" w:line="349" w:lineRule="exact"/>
        <w:rPr>
          <w:sz w:val="20"/>
          <w:szCs w:val="20"/>
          <w:color w:val="auto"/>
        </w:rPr>
      </w:pPr>
    </w:p>
    <w:p>
      <w:pPr>
        <w:ind w:right="1280"/>
        <w:spacing w:after="0" w:line="282" w:lineRule="auto"/>
        <w:rPr>
          <w:sz w:val="20"/>
          <w:szCs w:val="20"/>
          <w:color w:val="auto"/>
        </w:rPr>
      </w:pPr>
      <w:r>
        <w:rPr>
          <w:rFonts w:ascii="Times New Roman" w:cs="Times New Roman" w:eastAsia="Times New Roman" w:hAnsi="Times New Roman"/>
          <w:sz w:val="18"/>
          <w:szCs w:val="18"/>
          <w:color w:val="auto"/>
        </w:rPr>
        <w:t>186,614,091 shares (based on total shares outstanding as of July 22, 2024).</w:t>
      </w:r>
    </w:p>
    <w:p>
      <w:pPr>
        <w:spacing w:after="0" w:line="77" w:lineRule="exact"/>
        <w:rPr>
          <w:sz w:val="20"/>
          <w:szCs w:val="20"/>
          <w:color w:val="auto"/>
        </w:rPr>
      </w:pPr>
    </w:p>
    <w:p>
      <w:pPr>
        <w:sectPr>
          <w:pgSz w:w="11900" w:h="16838" w:orient="portrait"/>
          <w:cols w:equalWidth="0" w:num="2">
            <w:col w:w="5460" w:space="260"/>
            <w:col w:w="5300"/>
          </w:cols>
          <w:pgMar w:left="440" w:top="263" w:right="439" w:bottom="1440" w:gutter="0" w:footer="0" w:header="0"/>
          <w:type w:val="continuous"/>
        </w:sectPr>
      </w:pPr>
    </w:p>
    <w:p>
      <w:pPr>
        <w:ind w:left="1320"/>
        <w:spacing w:after="0"/>
        <w:tabs>
          <w:tab w:leader="none" w:pos="5700" w:val="left"/>
        </w:tabs>
        <w:rPr>
          <w:sz w:val="20"/>
          <w:szCs w:val="20"/>
          <w:color w:val="auto"/>
        </w:rPr>
      </w:pPr>
      <w:r>
        <w:rPr>
          <w:rFonts w:ascii="Times New Roman" w:cs="Times New Roman" w:eastAsia="Times New Roman" w:hAnsi="Times New Roman"/>
          <w:sz w:val="18"/>
          <w:szCs w:val="18"/>
          <w:b w:val="1"/>
          <w:bCs w:val="1"/>
          <w:color w:val="auto"/>
        </w:rPr>
        <w:t>Exercise Price of Warrants</w:t>
      </w:r>
      <w:r>
        <w:rPr>
          <w:sz w:val="20"/>
          <w:szCs w:val="20"/>
          <w:color w:val="auto"/>
        </w:rPr>
        <w:tab/>
      </w:r>
      <w:r>
        <w:rPr>
          <w:rFonts w:ascii="Times New Roman" w:cs="Times New Roman" w:eastAsia="Times New Roman" w:hAnsi="Times New Roman"/>
          <w:sz w:val="18"/>
          <w:szCs w:val="18"/>
          <w:color w:val="auto"/>
        </w:rPr>
        <w:t>$11.50 per share, subject to adjustment as described</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herein.</w:t>
      </w:r>
    </w:p>
    <w:p>
      <w:pPr>
        <w:sectPr>
          <w:pgSz w:w="11900" w:h="16838" w:orient="portrait"/>
          <w:cols w:equalWidth="0" w:num="1">
            <w:col w:w="11020"/>
          </w:cols>
          <w:pgMar w:left="440" w:top="263" w:right="439" w:bottom="1440" w:gutter="0" w:footer="0" w:header="0"/>
          <w:type w:val="continuous"/>
        </w:sectPr>
      </w:pPr>
    </w:p>
    <w:p>
      <w:pPr>
        <w:spacing w:after="0" w:line="1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48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Resale of Class A Common Stock and Warrants Shares of Class A Common Stock Offered by the Selling Securityholders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both"/>
        <w:ind w:right="1300"/>
        <w:spacing w:after="0" w:line="256" w:lineRule="auto"/>
        <w:rPr>
          <w:sz w:val="20"/>
          <w:szCs w:val="20"/>
          <w:color w:val="auto"/>
        </w:rPr>
      </w:pPr>
      <w:r>
        <w:rPr>
          <w:rFonts w:ascii="Times New Roman" w:cs="Times New Roman" w:eastAsia="Times New Roman" w:hAnsi="Times New Roman"/>
          <w:sz w:val="18"/>
          <w:szCs w:val="18"/>
          <w:color w:val="auto"/>
        </w:rPr>
        <w:t>We will receive up to an aggregate of approximately $224.3 million from the exercise of the Warrants, assuming the exercise in full of all of the Warrants for cash. We expect to use the net proceeds from the exercise of the Warrants for general corporate purposes. See the section entitled “Use of Proceeds.”</w:t>
      </w:r>
    </w:p>
    <w:p>
      <w:pPr>
        <w:spacing w:after="0" w:line="200" w:lineRule="exact"/>
        <w:rPr>
          <w:sz w:val="20"/>
          <w:szCs w:val="20"/>
          <w:color w:val="auto"/>
        </w:rPr>
      </w:pPr>
    </w:p>
    <w:p>
      <w:pPr>
        <w:spacing w:after="0" w:line="311" w:lineRule="exact"/>
        <w:rPr>
          <w:sz w:val="20"/>
          <w:szCs w:val="20"/>
          <w:color w:val="auto"/>
        </w:rPr>
      </w:pPr>
    </w:p>
    <w:p>
      <w:pPr>
        <w:jc w:val="both"/>
        <w:ind w:right="1300"/>
        <w:spacing w:after="0" w:line="257" w:lineRule="auto"/>
        <w:rPr>
          <w:sz w:val="20"/>
          <w:szCs w:val="20"/>
          <w:color w:val="auto"/>
        </w:rPr>
      </w:pPr>
      <w:r>
        <w:rPr>
          <w:rFonts w:ascii="Times New Roman" w:cs="Times New Roman" w:eastAsia="Times New Roman" w:hAnsi="Times New Roman"/>
          <w:sz w:val="18"/>
          <w:szCs w:val="18"/>
          <w:color w:val="auto"/>
        </w:rPr>
        <w:t>Up to (i) 105,014,011 shares of Class A Common Stock, consisting of (i) 38,750,000 issued and outstanding shares of Class A Common Stock,</w:t>
      </w:r>
    </w:p>
    <w:p>
      <w:pPr>
        <w:spacing w:after="0" w:line="1" w:lineRule="exact"/>
        <w:rPr>
          <w:sz w:val="20"/>
          <w:szCs w:val="20"/>
          <w:color w:val="auto"/>
        </w:rPr>
      </w:pPr>
    </w:p>
    <w:p>
      <w:pPr>
        <w:jc w:val="both"/>
        <w:ind w:right="1280"/>
        <w:spacing w:after="0" w:line="250"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59,264,011 shares of Class A Common Stock issuable upon exchange of such Selling Securityholder’s Paired Interests or Class P Units and</w:t>
      </w:r>
    </w:p>
    <w:p>
      <w:pPr>
        <w:spacing w:after="0" w:line="1" w:lineRule="exact"/>
        <w:rPr>
          <w:rFonts w:ascii="Times New Roman" w:cs="Times New Roman" w:eastAsia="Times New Roman" w:hAnsi="Times New Roman"/>
          <w:sz w:val="18"/>
          <w:szCs w:val="18"/>
          <w:color w:val="auto"/>
        </w:rPr>
      </w:pPr>
    </w:p>
    <w:p>
      <w:pPr>
        <w:jc w:val="both"/>
        <w:ind w:right="1300"/>
        <w:spacing w:after="0" w:line="255" w:lineRule="auto"/>
        <w:tabs>
          <w:tab w:leader="none" w:pos="38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7,000,000 shares of Class A Common Stock issuable upon exercise of the Private Placement Warrants.</w:t>
      </w:r>
    </w:p>
    <w:p>
      <w:pPr>
        <w:spacing w:after="0" w:line="114" w:lineRule="exact"/>
        <w:rPr>
          <w:sz w:val="20"/>
          <w:szCs w:val="20"/>
          <w:color w:val="auto"/>
        </w:rPr>
      </w:pPr>
    </w:p>
    <w:p>
      <w:pPr>
        <w:sectPr>
          <w:pgSz w:w="11900" w:h="16838" w:orient="portrait"/>
          <w:cols w:equalWidth="0" w:num="2">
            <w:col w:w="5220" w:space="500"/>
            <w:col w:w="5300"/>
          </w:cols>
          <w:pgMar w:left="440" w:top="263" w:right="439" w:bottom="1440" w:gutter="0" w:footer="0" w:header="0"/>
          <w:type w:val="continuous"/>
        </w:sectPr>
      </w:pPr>
    </w:p>
    <w:p>
      <w:pPr>
        <w:ind w:left="1320"/>
        <w:spacing w:after="0" w:line="490" w:lineRule="auto"/>
        <w:rPr>
          <w:sz w:val="20"/>
          <w:szCs w:val="20"/>
          <w:color w:val="auto"/>
        </w:rPr>
      </w:pPr>
      <w:r>
        <w:rPr>
          <w:rFonts w:ascii="Times New Roman" w:cs="Times New Roman" w:eastAsia="Times New Roman" w:hAnsi="Times New Roman"/>
          <w:sz w:val="18"/>
          <w:szCs w:val="18"/>
          <w:b w:val="1"/>
          <w:bCs w:val="1"/>
          <w:color w:val="auto"/>
        </w:rPr>
        <w:t>Warrants Offered by the Selling Securityholders Redemption</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7,000,000 Private Placement Warrants.</w:t>
      </w:r>
    </w:p>
    <w:p>
      <w:pPr>
        <w:spacing w:after="0" w:line="158" w:lineRule="exact"/>
        <w:rPr>
          <w:sz w:val="20"/>
          <w:szCs w:val="20"/>
          <w:color w:val="auto"/>
        </w:rPr>
      </w:pPr>
    </w:p>
    <w:p>
      <w:pPr>
        <w:jc w:val="both"/>
        <w:ind w:right="1280"/>
        <w:spacing w:after="0" w:line="266" w:lineRule="auto"/>
        <w:rPr>
          <w:sz w:val="20"/>
          <w:szCs w:val="20"/>
          <w:color w:val="auto"/>
        </w:rPr>
      </w:pPr>
      <w:r>
        <w:rPr>
          <w:rFonts w:ascii="Times New Roman" w:cs="Times New Roman" w:eastAsia="Times New Roman" w:hAnsi="Times New Roman"/>
          <w:sz w:val="18"/>
          <w:szCs w:val="18"/>
          <w:color w:val="auto"/>
        </w:rPr>
        <w:t>The Warrants are redeemable in certain circumstances. See the section entitled “Description of Securities— Warrants” for further discussion.</w:t>
      </w:r>
    </w:p>
    <w:p>
      <w:pPr>
        <w:spacing w:after="0" w:line="104" w:lineRule="exact"/>
        <w:rPr>
          <w:sz w:val="20"/>
          <w:szCs w:val="20"/>
          <w:color w:val="auto"/>
        </w:rPr>
      </w:pPr>
    </w:p>
    <w:p>
      <w:pPr>
        <w:sectPr>
          <w:pgSz w:w="11900" w:h="16838" w:orient="portrait"/>
          <w:cols w:equalWidth="0" w:num="2">
            <w:col w:w="5040" w:space="680"/>
            <w:col w:w="5300"/>
          </w:cols>
          <w:pgMar w:left="440" w:top="263" w:right="4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108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Market for Class A Common Stock and Warrants</w:t>
            </w:r>
          </w:p>
        </w:tc>
        <w:tc>
          <w:tcPr>
            <w:tcW w:w="57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Our Class A Common Stock and Public Warrants are</w:t>
            </w:r>
          </w:p>
        </w:tc>
      </w:tr>
      <w:tr>
        <w:trPr>
          <w:trHeight w:val="216"/>
        </w:trPr>
        <w:tc>
          <w:tcPr>
            <w:tcW w:w="10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57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currently traded on Nasdaq under the symbols “MAPS”</w:t>
            </w:r>
          </w:p>
        </w:tc>
      </w:tr>
      <w:tr>
        <w:trPr>
          <w:trHeight w:val="234"/>
        </w:trPr>
        <w:tc>
          <w:tcPr>
            <w:tcW w:w="10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7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and “MAPSW,” respectively.</w:t>
            </w:r>
          </w:p>
        </w:tc>
      </w:tr>
      <w:tr>
        <w:trPr>
          <w:trHeight w:val="333"/>
        </w:trPr>
        <w:tc>
          <w:tcPr>
            <w:tcW w:w="1080" w:type="dxa"/>
            <w:vAlign w:val="bottom"/>
          </w:tcPr>
          <w:p>
            <w:pPr>
              <w:spacing w:after="0"/>
              <w:rPr>
                <w:sz w:val="24"/>
                <w:szCs w:val="24"/>
                <w:color w:val="auto"/>
              </w:rPr>
            </w:pPr>
          </w:p>
        </w:tc>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57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See  the  section  entitled  “Risk  Factors”  and  other</w:t>
            </w:r>
          </w:p>
        </w:tc>
      </w:tr>
      <w:tr>
        <w:trPr>
          <w:trHeight w:val="216"/>
        </w:trPr>
        <w:tc>
          <w:tcPr>
            <w:tcW w:w="10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57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information included in this prospectus, and under</w:t>
            </w:r>
          </w:p>
        </w:tc>
      </w:tr>
      <w:tr>
        <w:trPr>
          <w:trHeight w:val="216"/>
        </w:trPr>
        <w:tc>
          <w:tcPr>
            <w:tcW w:w="10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57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similar headings in any amendments or supplements to</w:t>
            </w:r>
          </w:p>
        </w:tc>
      </w:tr>
      <w:tr>
        <w:trPr>
          <w:trHeight w:val="216"/>
        </w:trPr>
        <w:tc>
          <w:tcPr>
            <w:tcW w:w="10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57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this prospectus, for a discussion of factors you should</w:t>
            </w:r>
          </w:p>
        </w:tc>
      </w:tr>
      <w:tr>
        <w:trPr>
          <w:trHeight w:val="234"/>
        </w:trPr>
        <w:tc>
          <w:tcPr>
            <w:tcW w:w="10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7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consider before investing in our securities.</w:t>
            </w:r>
          </w:p>
        </w:tc>
      </w:tr>
      <w:tr>
        <w:trPr>
          <w:trHeight w:val="226"/>
        </w:trPr>
        <w:tc>
          <w:tcPr>
            <w:tcW w:w="1080" w:type="dxa"/>
            <w:vAlign w:val="bottom"/>
          </w:tcPr>
          <w:p>
            <w:pPr>
              <w:spacing w:after="0"/>
              <w:rPr>
                <w:sz w:val="19"/>
                <w:szCs w:val="19"/>
                <w:color w:val="auto"/>
              </w:rPr>
            </w:pPr>
          </w:p>
        </w:tc>
        <w:tc>
          <w:tcPr>
            <w:tcW w:w="4220" w:type="dxa"/>
            <w:vAlign w:val="bottom"/>
            <w:tcBorders>
              <w:bottom w:val="single" w:sz="8" w:color="auto"/>
            </w:tcBorders>
          </w:tcPr>
          <w:p>
            <w:pPr>
              <w:spacing w:after="0"/>
              <w:rPr>
                <w:sz w:val="19"/>
                <w:szCs w:val="19"/>
                <w:color w:val="auto"/>
              </w:rPr>
            </w:pPr>
          </w:p>
        </w:tc>
        <w:tc>
          <w:tcPr>
            <w:tcW w:w="468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r>
      <w:tr>
        <w:trPr>
          <w:trHeight w:val="429"/>
        </w:trPr>
        <w:tc>
          <w:tcPr>
            <w:tcW w:w="10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w:t>
            </w:r>
          </w:p>
        </w:tc>
        <w:tc>
          <w:tcPr>
            <w:tcW w:w="1040" w:type="dxa"/>
            <w:vAlign w:val="bottom"/>
          </w:tcPr>
          <w:p>
            <w:pPr>
              <w:spacing w:after="0"/>
              <w:rPr>
                <w:sz w:val="24"/>
                <w:szCs w:val="24"/>
                <w:color w:val="auto"/>
              </w:rPr>
            </w:pPr>
          </w:p>
        </w:tc>
      </w:tr>
      <w:tr>
        <w:trPr>
          <w:trHeight w:val="183"/>
        </w:trPr>
        <w:tc>
          <w:tcPr>
            <w:tcW w:w="1080" w:type="dxa"/>
            <w:vAlign w:val="bottom"/>
            <w:tcBorders>
              <w:bottom w:val="single" w:sz="8" w:color="auto"/>
            </w:tcBorders>
          </w:tcPr>
          <w:p>
            <w:pPr>
              <w:spacing w:after="0"/>
              <w:rPr>
                <w:sz w:val="15"/>
                <w:szCs w:val="15"/>
                <w:color w:val="auto"/>
              </w:rPr>
            </w:pPr>
          </w:p>
        </w:tc>
        <w:tc>
          <w:tcPr>
            <w:tcW w:w="4220" w:type="dxa"/>
            <w:vAlign w:val="bottom"/>
            <w:tcBorders>
              <w:bottom w:val="single" w:sz="8" w:color="auto"/>
            </w:tcBorders>
          </w:tcPr>
          <w:p>
            <w:pPr>
              <w:spacing w:after="0"/>
              <w:rPr>
                <w:sz w:val="15"/>
                <w:szCs w:val="15"/>
                <w:color w:val="auto"/>
              </w:rPr>
            </w:pPr>
          </w:p>
        </w:tc>
        <w:tc>
          <w:tcPr>
            <w:tcW w:w="46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type w:val="continuous"/>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As our costs increase, we may not be able to generate sufficient revenue to achieve profitability in the future.</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revenue declined in 2023 compared with 2022 and remained relatively flat when compared with 2021. Our revenue may continue to decline due to a number of factors including, but not limited to, slowdowns in the pace of issuance of new licenses to cannabis retailers and brands, and the decline in the number of new major geographic markets in which the sale of cannabis is permitted and to which we have not already expanded. Accordingly, we may not be able to generate sufficient revenue to offset potential cost increases and our ability to achieve and sustain profitability may be impacted. Additionally, we expect our costs to increase in future periods as we expend substantial financial and other resources on, among other things:</w:t>
      </w:r>
    </w:p>
    <w:p>
      <w:pPr>
        <w:spacing w:after="0" w:line="81" w:lineRule="exact"/>
        <w:rPr>
          <w:sz w:val="20"/>
          <w:szCs w:val="20"/>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including continued investment in our current marketing efforts and future marketing initiatives;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of additional employees, including in our product and engineering teams;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domestically and internationally in an effort to increase our consumer and client usage, client base and our sales to our clients;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products, and increased investment in the ongoing development of our existing products;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any acquired companies into our operations;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including continued compliance with various regulations applicable to public companies and cannabis industry businesses and other work arising from the growth and maturity of our company.</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These expenditures may not result in additional revenue or the growth of our business. If we fail to continue to grow revenue or to achieve profitability, the market price of our securities could decline, and our business, operating results and financial condition could be adversely affected.</w:t>
      </w:r>
    </w:p>
    <w:p>
      <w:pPr>
        <w:spacing w:after="0" w:line="172"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our existing clients and consumers or to acquire new clients and consumers in a cost-effective manner, our revenue may decrease and our business may be harmed.</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compete in a dynamic, innovative market, which we expect will continue to evolve rapidly. We believe that our success is dependent on our ability to continue identifying and anticipating the needs of our clients and consumers and growing our two-sided marketplace by retaining our existing clients and consumers and adding new clients and consumers. This two-sided marketplace may grow more slowly than we expect or than it has grown in the past. As we have become larger through organic growth, the number of paying clients and monthly revenue per client have at times slowed or declined and may similarly slow or decline in the future, even if we continue to add clients and consumers on an absolute basis. Although we expect that our growth rates will continue to slow during certain periods as our business increases in size, if we fail to retain either our existing clients or consumers, the value of our two-sided marketplace will be diminished.</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the costs associated with client and consumer retention are substantially lower than costs associated with the acquisition of new clients or consumers. We have incurred significant costs to attract clients and consumers to our platform and expect to incur significant additional costs to attract and retain clients and consumers for the foreseeable future. Because expenditures on our platform can represent a significant financial investment for our clients, our ability to retain clients depends in part on our ability to create and maintain high levels of client 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consumer satisfaction, which we may not always be capable of providing, including for reasons outside of our control. Additionally, in order to retain our clients, we may be required to identify ways to help our clients convert consumers more effectively. Our clients generally do not have long-term obligations to purchase our products and solutions and generally may cancel their use of our products and solutions at any time without penalty. Thus, any decrease in client satisfaction or other change negatively affecting our ability to retain existing clients or consumers, even if such losses are offset by an increase in revenue resulting from the acquisition of new clients or consumers, could have rapid, concentrated and adverse effect on our business and operating results.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fail to offer the optimal pricing of our products and solutions.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have limited experience in determining the optimal pricing of our products and solutions, and we have in the past changed and may in the future change our pricing model. We also have historically priced our add-on premium offerings in a bid-auction format. Our ability to continue growing depends on our ability to maintain and expand our client base. If our clients do not believe the incremental additional cost we are charging for Weedmaps for Business is justified by the additional components included in our software bundles or that our add-on offerings do not generate proper return on investment, such clients may decline to continue using our services, and our revenue and other financial results may be adversely impacted.</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If we fail to expand effectively into new markets, our revenue and business will be adversely affected.</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While a key part of our business strategy is to add clients and consumers in our existing geographic markets, we also intend to expand our operations into new markets if and as cannabis continues to be legalized. Any such expansion places us in competitive markets with which we may be unfamiliar, requires us to invest significant time and resources, including to analyze the potential applicability of new and complicated regulations regarding the usage, sale and marketing of cannabis in such markets, and involves various risks, including the possibility that returns on such investments will not be achieved for several years, if at all. As a result of new market expansions, we may incur losses or otherwise fail to enter new markets successfully. In attempting to establish a presence in new markets, we expect to incur significant expenses and face various other challenges, such as expanding our compliance efforts to cover those new markets. These efforts may prove more expensive than we currently anticipate, and we may not succeed in increasing our revenues sufficiently to offset these expenses. Our current and any future expansion plans will require significant resources and management attention.</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Competition from the illicit cannabis market could impact our ability to succeed.</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clients face competition from illegal market operators that are unlicensed and unregulated including illegal dispensaries and illicit market suppliers selling cannabis and cannabis-based products, particularly in states like California. Because these illegal market participants do not comply with the regulations governing the cannabis industry, their operations may have significantly lower costs. The perpetuation of the illegal market for cannabis may have a material adverse effect on our clients and our business, results of operations, as well as the perception of cannabis use. Furthermore, given the restrictions on regulated cannabis retail, it is possible that legal cannabis consumers revert to the illicit market as a matter of convenience. In particular, we rely on licensed cannabis businesses to drive the growth of our revenue and the use of our products, and the failure of the licensed cannabis markets to sufficiently overtake or eliminate the illegal market may have an adverse effect on our ability to grow our revenue, particularly if the slow pace of licensing allows the illegal market to gain a foothold, which may be more likely to occur in jurisdictions with an extended period of time between the authorization of consumer possession and the time at which licensed retailers become operational. In such jurisdictions, the timeline for licensed cannabis businesses overtaking the illegal market may be extended.</w:t>
      </w:r>
    </w:p>
    <w:p>
      <w:pPr>
        <w:spacing w:after="0" w:line="18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concentrated in California, and, as a result, our performance may be affected by factors unique to the California market.</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California represents one of the largest state legal cannabis markets in the United States, and approximately 52%, 56% and 61% of our revenue for the years ended December 31, 2023, 2022 and 2021, were generated in California. As new markets develop and our current markets expand, we anticipate that there will be a further reduction in the percentage of our revenue generated in California, but we do not know with any certainty when and to what degree, if ever, this would occur. Moreover, the cannabis market in California is rapidly evolving, and we expect our growth in California to continue as the cannabis industry continues to develop, which could further concentrate our client base. As a result, our business and results of operations are particularly susceptible to, and may be disproportionately impacted by, trends in the California cannabis market, as well as adverse economic, regulatory, political and other conditions in California.</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or legal proceedings could expose us to significant liabilities and have a negative impact on our reputation or business.</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From time to time, we may be party to various claims and legal proceedings. For example, in August 2022, our board of directors determined to voluntarily report an internal complaint and subsequent internal investigation to the SEC. Since that date, we have received two subpoenas from the SEC’s Division of Enforcement requesting additional information and documents. In addition, the SEC issued subpoenas to several of our current and former employees seeking their testimony, and their testimony occurred in July and August of 2023. Such investigations and their results are inherently uncertain, but could give rise to penalties or other sanctions against us, as well as negative publicity and reputational harm. Regardless of the outcome, such proceedings can have an adverse impact on us because of legal costs, diversion of management resources and other factors. See Part I, Item 3. Legal Proceedings to our Annual Report on Form 10-K for more information.</w:t>
      </w:r>
    </w:p>
    <w:p>
      <w:pPr>
        <w:spacing w:after="0" w:line="8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Even when not merited, the defense of any lawsuits or legal proceedings, including potential securities litigation, is expensive and may divert management’s attention, and we may incur significant expenses in defending any lawsuits or legal proceedings. The results of litigation and other legal proceedings are inherently uncertain, and adverse judgments or settlements in some of these legal disputes may result in adverse monetary damages, penalties or injunctive relief against us, which could negatively impact our financial position, cash flows or results of operations. We evaluate all claims and proceedings to assess the likelihood of unfavorable outcomes and to estimate, if probable and estimable, the amount of potential losses. Based on these assessments and estimates, we may establish reserves, as appropriate. These assessments and estimates are based on the information available to management at the time and involve a significant amount of management judgment. Actual outcomes or losses may differ materially from our assessments and estimates.</w:t>
      </w:r>
    </w:p>
    <w:p>
      <w:pPr>
        <w:spacing w:after="0" w:line="8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 In addition, any claims or litigation, even if fully indemnified or insured, could damage our reputation and make it more difficult to compete effectively or to obtain adequate insurance in the future.</w:t>
      </w:r>
    </w:p>
    <w:p>
      <w:pPr>
        <w:spacing w:after="0" w:line="183"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Federal law enforcement may deem our clients to be in violation of U.S. federal law, and, in particular the Controlled Substances Act (“CSA”). A change in U.S. federal policy on cannabis enforcement and strict enforcement of federal cannabis laws against our clients would undermine our business model and materially affect our business and operations.</w:t>
      </w:r>
    </w:p>
    <w:p>
      <w:pPr>
        <w:spacing w:after="0" w:line="7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U.S. federal law, and more specifically the CSA, proscribes the cultivation, processing, distribution, sale, advertisement and possession of cannabis. As a result, U.S. federal law enforcement authorities, in their attempt to regulate the illegal or unauthorized production, distribution, promotion, sale, possession, or use of cannabis, may seek to bring criminal actions against our clients under the CSA. On August 4, 2021, the U.S. Attorney’s Office for the Eastern District of California withdrew a subpoena served on us in September 2019, and informed us that it had no present plan to exercise its discretion to proceed further in the matter. The U.S. Attorney’s Office for the Eastern District of California also stated that its decision was not a grant of immunity, however, and there can be no assurance that the U.S. Attorney’s Office for the Eastern District of California — either the U.S. Attorney’s Office for the Eastern District of California or another Department of Justice (“DOJ”) entity — will not initiate another investigation in the future. If our clients are found to be violating U.S. federal law relating to cannabis, they may be subject not only to criminal charges and convictions, but also to forfeiture of property, significant fines and penalties, disgorgement of profits, administrative sanctions, cessation of business activities, or civil liabilities arising from proceedings initiated by either the U.S. government or private citizens. Any of these actions or consequences on our clients could have a material adverse effect on our business, operating results or financial condition, or could force us to cease operations, and as a result, our investors could lose their entire investment.</w:t>
      </w:r>
    </w:p>
    <w:p>
      <w:pPr>
        <w:spacing w:after="0" w:line="8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Further, to the extent any law enforcement actions require us to respond to subpoenas, or undergo search warrants, for client records, cannabis businesses could elect to cease using our products. Until the U.S. federal government changes the laws with respect to cannabis, and particularly if the U.S. Congress does not extend the Omnibus Spending Bill’s protection of state medical cannabis programs, described below, to apply to all state cannabis programs, U.S. federal authorities could more strictly enforce current federal prohibitions and restrictions. An increase in federal enforcement against companies licensed under state cannabis laws could negatively impact the state cannabis industries and, in turn, our business, operating results, financial condition, brand and reputation.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7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Our clients are contractually required to represent, warrant and covenant to us that they conduct their business in compliance with applicable state law, which includes any applicable licensing requirements and the regulatory framework enacted by each state or province in which they do business. Clients further contractually agree to indemnify us for any damages we may suffer as a result of their noncompliance. We rely on our clients’ contractual representations, and generally do not verify them, other than with respect to the licensing information of our clients operating cannabis retail businesses, where we currently require such clients to provide evidence of a valid state or provincial cannabis license prior to their initial access and from time to time during the term of their use of such products. We require all operational cannabis retailer clients, including storefronts and delivery services, to display on their listing a valid, unexpired state-issued license number. We also currently require cannabis brand clients to provide evidence of a valid state or provincial license in order to get access to our listings and premium placement products. Additionally, many states do not require a license to sell CBD products at retail, and the illicit market could fraudulently attempt to use our CBD listings product to sell products containing THC. While we periodically audit and respond to reports related to our CBD listings, it is difficult to monitor the individual products listed, and marketing claims contained, in the listings of our CBD clients. As a result, some of our clients or their listings currently and in the future may not be in compliance with licensing and related requirements under applicable state or provincial laws and regulations. There could be legal enforcement actions against unlicensed or insufficiently licensed entities selling cannabis or CBD, which could negatively impact us.</w:t>
      </w:r>
    </w:p>
    <w:p>
      <w:pPr>
        <w:spacing w:after="0" w:line="8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Any legal or regulatory enforcement against us based on the business solutions that we offer, the third-party content available on our platform or noncompliance by our clients with licensing and other legal requirements, could subject us to various risks, including monetary penalties and the risk that we elect or are compelled to remove content from our platform and would likely cause us to experience negative publicity. Any of these developments could materially and adversely impact our business, operating results, financial condition, brand and reputation.</w:t>
      </w:r>
    </w:p>
    <w:p>
      <w:pPr>
        <w:spacing w:after="0" w:line="1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We generally do not, and cannot, ensure that our clients will conduct their business activities in a manner compliant with such regulations and requirements, despite providing features to help support our clients’ compliance with the complex, disparate and constantly evolving regulations and other legal requirements applicable to the cannabis industry.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generally do not, and cannot, ensure that our clients will conduct their business activities in a manner compliant with certain regulations and other legal requirements applicable to the cannabis industry, in whole or in part, even if our solutions provide features to support our clients’ compliance with such regulations and requirements. Their legal noncompliance could result in regulatory and even criminal actions against them, which could have a material adverse impact on our business and operating results or financial condition. For additional information, see the other risk factors in this section entitled “Risk Factors—Risks Related to our Business and Industry,” including “Some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who engage in false or deceptive advertising practices to use our solutions may subject us to negative publicity, which could have similar adverse impacts on us.”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dependent on U.S. state laws and regulations.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Although cannabis is a restricted controlled substance under the federal CSA, U.S. states have legalized cannabis to varying degrees through state-specific regulatory frameworks.</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Laws and regulations affecting the cannabis industry in states and territories of the United States are continually changing. Any change or even the speed of changes could require us to incur substantial costs associated with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compliance or alter our business plan, and could detrimentally affect our operations, revenue and profitability. Similarly, if the pace of issuance of new cannabis licenses is slower than expected, our ability to acquire new clients and grow our revenue could be harmed. The commercial cannabis industry is still a young industry, and we cannot predict the impact of the compliance regime to which it may be subject. We will incur ongoing costs and obligations related to regulatory compliance, and such costs may prove to be material. Failure to comply with regulations may result in additional costs for corrective measures, penalties or restrictions on our operations. In addition, changes in regulations, more vigorous enforcement thereof, or other unanticipated events could require extensive changes to our operations or increased compliance costs or give rise to material liabilities, which could have a material adverse effect on us.</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Given the concentration of our revenue from the sale of listing products, any increase in the stringency of any applicable laws, including U.S. state, or Canadian federal laws and regulations relating to cannabis, or any escalation in the enforcement of such existing laws and regulations against the current or putative cannabis industry within any jurisdiction, could negatively impact the profitability or viability of cannabis businesses in such affected jurisdictions, which in turn could materially adversely affect our business and operating results.</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addition, although we have not yet been required to obtain any cannabis license as a result of existing cannabis regulations, it is possible that cannabis regulations may be enacted in the future that will require us to obtain such a cannabis license or otherwise seek to substantially regulate our business. Additionally, in some jurisdictions we may be required to seek and obtain a blanket approval of our platform in order to enable potential clients to access our services, and such approval may be subject to significant regulatory discretion. U.S. state, or Canadian federal and other non-U.S. jurisdictions’ cannabis laws and regulations are broad in scope and subject to evolving interpretations, which could require us to incur substantial costs associated with compliance or alter our business plan. Our failure to adequately manage the risk associated with future regulations and adequately manage future compliance requirements may adversely affect our business, our status as a reporting company and our public listing. Further, any adverse pronouncements from political leaders or regulators about businesses related to the legal cannabis industry could adversely affect the price of our securities.</w:t>
      </w:r>
    </w:p>
    <w:p>
      <w:pPr>
        <w:spacing w:after="0" w:line="350"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rapid changes in the cannabis industry and applicable laws and regulations make predicting and evaluating our future prospects difficult, and may increase the risk that we will not be successful.</w:t>
      </w:r>
    </w:p>
    <w:p>
      <w:pPr>
        <w:spacing w:after="0" w:line="5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cannabis industry, and the complex regulatory regime applicable to it, is evolving rapidly and may develop in ways that we cannot anticipate. The pace of dramatic change in the cannabis industry makes it difficult to assess our future prospects, and you should evaluate our business in light of the risks and difficulties we may encounter as the industry continues to evolve. These risks and difficulties include:</w:t>
      </w:r>
    </w:p>
    <w:p>
      <w:pPr>
        <w:spacing w:after="0" w:line="72" w:lineRule="exact"/>
        <w:rPr>
          <w:sz w:val="20"/>
          <w:szCs w:val="20"/>
          <w:color w:val="auto"/>
        </w:rPr>
      </w:pPr>
    </w:p>
    <w:p>
      <w:pPr>
        <w:jc w:val="both"/>
        <w:ind w:left="1000" w:right="299" w:hanging="34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complex, disparate and rapidly evolving regulatory regimes imposed by U.S. federal, state and local and other non-U.S. governments around the world applicable to cannabis and cannabis-related businesses;</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to rapidly evolving trends in the cannabis industry and the way consumers and cannabis industry businesses interact with technology;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increasing our base of clients and consumers;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preserve and build our brand while upgrading our existing offerings;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attracting, hiring and retaining qualified personnel to manage operations;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to changes in the cannabis industry if sales of cannabis expand significantly beyond a regulated model;</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commodification of the cannabis industry;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implementing and executing our business and marketing strategies;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expanding our business into new and existing cannabis markets.</w:t>
      </w:r>
    </w:p>
    <w:p>
      <w:pPr>
        <w:spacing w:after="0" w:line="117"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If the demand for our platform and software solutions does not develop as we expect, or if we fail to address the needs of our clients or consumers, our business will be harmed. We may not be able to successfully address these risks and difficulties, which could harm our business and operating results.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business is dependent, in part, upon continued market acceptance of cannabis by consumers, any negative trends could adversely affect our business operations.</w:t>
      </w:r>
    </w:p>
    <w:p>
      <w:pPr>
        <w:spacing w:after="0" w:line="5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We are dependent on public support, continued market acceptance and the proliferation of consumers in the legalized cannabis markets in states and territories of the United States. While we believe that the market and opportunities in the space will continue to grow, we cannot predict the future growth rate or size of the market. Any downturns in, or negative outlooks on, the cannabis industry may adversely affect our business and financial condition.</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Expansion of our business is dependent on the continued legalization of cannabis.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Expansion of our business is in part dependent upon continued legislative authorization, including by voter initiatives and referendums, of cannabis in various jurisdictions worldwide. Any number of factors could slow, halt, or even reverse progress in this area. For example, in 2023, ballot measures to allow for adult use succeeded in Ohio, but failed in Oklahoma. In addition, implementation of state laws is often a multi-year process following a ballot initiative or legislation. Further, progress for the industry, while encouraging, is not assured. While there may be ample public support for legislative action in a particular jurisdiction, numerous factors could impact the legislative process, including lobbying efforts by opposing stakeholders as well as legislators’ disagreements about how to legalize cannabis as well as the interpretation, implementation, and enforcement of applicable laws or regulations. Any one of these factors could slow or halt the legalization of cannabis, which would negatively impact our ability to expand our business.</w:t>
      </w:r>
    </w:p>
    <w:p>
      <w:pPr>
        <w:spacing w:after="0" w:line="86"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Additionally, the expansion of our business also depends on jurisdictions in which cannabis is currently legalized not narrowing, limiting or repealing existing laws legalizing and regulating cannabis, or altering the regulatory landscape in a way that diminishes the viability of cannabis businesses in those jurisdictions. For example, in April 2019, a lawsuit was filed in the Fresno County Superior Court challenging the California Bureau of Cannabis</w:t>
      </w:r>
    </w:p>
    <w:p>
      <w:pPr>
        <w:spacing w:after="0" w:line="3" w:lineRule="exact"/>
        <w:rPr>
          <w:sz w:val="20"/>
          <w:szCs w:val="20"/>
          <w:color w:val="auto"/>
        </w:rPr>
      </w:pPr>
    </w:p>
    <w:p>
      <w:pPr>
        <w:jc w:val="both"/>
        <w:ind w:left="300" w:right="299"/>
        <w:spacing w:after="0" w:line="243" w:lineRule="auto"/>
        <w:rPr>
          <w:sz w:val="20"/>
          <w:szCs w:val="20"/>
          <w:color w:val="auto"/>
        </w:rPr>
      </w:pPr>
      <w:r>
        <w:rPr>
          <w:rFonts w:ascii="Times New Roman" w:cs="Times New Roman" w:eastAsia="Times New Roman" w:hAnsi="Times New Roman"/>
          <w:sz w:val="18"/>
          <w:szCs w:val="18"/>
          <w:color w:val="auto"/>
        </w:rPr>
        <w:t>Control</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regulation that allowed cannabis businesses to deliver products in local jurisdictions which had prohibited the sale of cannabis. In November 2020, in a mixed result, the Fresno County Superior Court upheld the state regulation that allows licensed cannabis delivery companies to offer services anywhere in the state, while also affirming that cities and counties can forbid those operations, though enforcement of the bans is also up to the local governments. While a recent amendment (S.B. 1186), which became effective in January 2024, prevents local governments from banning the delivery of medical cannabis to patients, adult-use cannabis storefront retail and delivery operations may continue to be restricted by some cities and counties. The imposition or potential enforcement of local jurisdiction delivery bans may negatively impact the viability and attractiveness of our offerings in California going forward. We generated approximately 52%, 56% and 61% of our revenue for the years ended December 31, 2023, 2022 and 2021 in California, and such developments may in turn have a material adverse effect on our business, operating results and financial condition. For more information, see “—Our business is concentrated in California, and, as a result, our performance may be affected by factors unique to the California market.” Additionally, if such challenges are successful in any other jurisdictions that have legalized or are in the process of legalizing cannabis, our ability to expand our business would be negatively impacted.</w:t>
      </w:r>
    </w:p>
    <w:p>
      <w:pPr>
        <w:spacing w:after="0" w:line="196"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clients face challenges unique to the cannabis industry that can impact their financial health and long-term viability. If our clients struggle financially or do not remain viable, it can negatively impact our ability to generate new revenue, maintain existing revenue or collect on outstanding receivables.</w:t>
      </w:r>
    </w:p>
    <w:p>
      <w:pPr>
        <w:spacing w:after="0" w:line="6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paying clients face challenges including, among other factors, limited access to capital (relative to other industries) and the impact of Section 280E of the Code (which, as applied to certain cannabis businesses, disallows the deduction of “ordinary and necessary” business expenses, such as below-the-line deductions, essentially resulting in federal income tax liability calculated based on gross income), limiting cash flow and liquidity of many industry participants. Additionally, the cannabis industry faced price deflation in 2023 and 2022 further pressuring many of our paying clients. This resulted in financial hardship for certain cannabis companies, including some of our paying clients which caused elevated churn and bad debt expense in 2023 and 2022. If our clients struggle financially or do not remain viable, it can negatively impact our ability to generate new revenue, maintain existing revenue or collect on outstanding receivables. We have customers with past due balances and our failure to collect a significant portion of such balances could adversely affect our cash and provision for doubtful accounts. See “Accounts Receivable, Net” of Note 2, “Summary of Significant Accounting Policies” to the consolidated financial statements included in our Annual Report on Form 10-K for additional information.</w:t>
      </w:r>
    </w:p>
    <w:p>
      <w:pPr>
        <w:spacing w:after="0" w:line="91" w:lineRule="exact"/>
        <w:rPr>
          <w:sz w:val="20"/>
          <w:szCs w:val="20"/>
          <w:color w:val="auto"/>
        </w:rPr>
      </w:pPr>
    </w:p>
    <w:p>
      <w:pPr>
        <w:ind w:left="460" w:right="299" w:hanging="168"/>
        <w:spacing w:after="0" w:line="195" w:lineRule="auto"/>
        <w:tabs>
          <w:tab w:leader="none" w:pos="46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In 2021, the Bureau of Cannabis Control merged with two other state agencies regulating California cannabis to form the Department of Cannabis Control, which presently regulates all California commercial cannabis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-241300</wp:posOffset>
            </wp:positionV>
            <wp:extent cx="8229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clients and consumers using our platform fail to provide high-quality content that attracts consumers, we may not be able to generate sufficient consumer traffic to remain competitive.</w:t>
      </w:r>
    </w:p>
    <w:p>
      <w:pPr>
        <w:spacing w:after="0" w:line="5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success depends on our platform providing consumers with useful information about our clients and their products, which in turn depends on the content provided by consumers and clients. For example, the platform will not provide useful information about cannabis brands or products if clients or consumers do not contribute content that is helpful and reliable, or if they remove previously submitted content.</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Additionally, if we filter out helpful content or fail to filter out unhelpful content, clients and consumers alike may stop or reduce their use of our platform and products, which could negatively impact our business. Allegations made against us, whether or not accurate, can materially harm our reputation and operating results. While we are continually seeking to improve our ability to identify and remove offensive, biased, unreliable, inauthentic, duplicative, fraudulent or otherwise unhelpful content, and have implemented safeguards on the platform to facilitate those efforts, we cannot guarantee that those efforts or safeguards will be effective or adequate. If our website is not perceived as providing useful, accurate and current information about our clients and their products, consumers may stop or reduce their use of our platform, which could suppress the demand for our advertising placements and adversely affect our business and operating results.</w:t>
      </w:r>
    </w:p>
    <w:p>
      <w:pPr>
        <w:spacing w:after="0" w:line="346"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upon our brand recognition and reputation, and the erosion or degradation of our brand recognition or reputation would likely adversely affect our business and operating results.</w:t>
      </w:r>
    </w:p>
    <w:p>
      <w:pPr>
        <w:spacing w:after="0" w:line="5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believe that our business is highly dependent on our brand identity and our reputation, which is critical to our ability to attract and retain clients and consumers. We also believe that the importance of our brand recognition and reputation will continue to increase as competition in the markets in which we operate continues to develop. Our success in this area will depend on a wide range of factors, some of which are within our control and some of which are not. The factors affecting our brand recognition and reputation that are within our control include the following:</w:t>
      </w:r>
    </w:p>
    <w:p>
      <w:pPr>
        <w:spacing w:after="0" w:line="75" w:lineRule="exact"/>
        <w:rPr>
          <w:sz w:val="20"/>
          <w:szCs w:val="20"/>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of our marketing efforts;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high-quality, innovative and error- and bug-free platform;</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high satisfaction among clients and consumers;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perceived value of our platform;</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implementing and developing new features, including alternative revenue streams;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and enforce trademarks and other indicia of origin that are valuable to our brand;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differentiate our platform from competitors’ products;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laws and regulations, including those applicable to any political action committees affiliated with us and to our registered lobbying activities;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client support;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perceived data breach or data loss, or misuse or perceived misuse of our platform.</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addition, our brand recognition and reputation may be affected by factors that are outside our control, such as:</w:t>
      </w:r>
    </w:p>
    <w:p>
      <w:pPr>
        <w:spacing w:after="0" w:line="117" w:lineRule="exact"/>
        <w:rPr>
          <w:sz w:val="20"/>
          <w:szCs w:val="20"/>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competitors or other third parties;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timeliness of our clients’ delivery businesses;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experiences with clients or products identified through our platform;</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regarding our company or operations, as well as with respect to events or activities attributed to us, our employees, partners, including celebrities who endorse or promote our brand, or others associated with any of these parties;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delays or attacks on our platform;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regulatory developments.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Damage to our reputation and loss of brand equity from one or more of the factors listed above may reduce demand for our platform and have an adverse effect on our business, operating results and financial condition. Moreover, any attempts to rebuild our reputation and restore the value of our brand may be costly and time-consuming, and such efforts may not ultimately be successful.</w:t>
      </w:r>
    </w:p>
    <w:p>
      <w:pPr>
        <w:spacing w:after="0" w:line="176"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face intense competition in the cannabis information market, and we expect competition to further intensify as the cannabis industry continues to evolve.</w:t>
      </w:r>
    </w:p>
    <w:p>
      <w:pPr>
        <w:spacing w:after="0" w:line="51"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The cannabis information market is rapidly evolving and is currently characterized by intense competition, due in part to relatively low barriers to entry. We expect competition to further intensify in the future as cannabis continues to be legalized and regulated, new technologies are developed and new participants enter the cannabis information market. Our direct competitors for individual components or parts of our platform include cannabis-focused, two-sided networks like Leafly (for retailer listing pages) and Dutchie and Jane Technologies (for menu embed and orders functionality). In addition, our platform also may compete with current or potential products and solutions offered by internet search engines and advertising networks, like Google, general two-sided networks like Yelp, various other newspaper, television, media companies, outdoor billboard advertising, and online merchant platforms, such as Shopify, Square and Lightspeed. For example, Uber Eats announced a partnership with a Canadian retailer in November 2021 to allow consumers to place cannabis orders for pickup via Uber Eats. If the regulatory regime for cannabis becomes more settled and the legal market for cannabis becomes more accepted, competition may further intensify as new participants may be encouraged to enter the cannabis information market, including established companies, such as tobacco and alcohol companies. Such companies may have substantially greater financial, technical and other resources than us or existing market participants. Additionally, as consumers and cannabis industry clients demand richer data, integrations with other cannabis industry participants such as point-of-sale providers and loyalty service providers may become increasingly important. If we are unable to complete such new integrations as quickly as our competitors, or improve our existing integrations based on legacy systems, we may lose market share to such competitors. Our current and future competitors may also enjoy other competitive advantages, such as greater name recognition, more varied or more focused offerings, better market acceptance and larger budgets. Some of our competitors previously raised significant amounts of capital. For example, in August 2021, Jane announced the closing of a $100 million Series C round of funding; in October 2021, Dutchie announced the closing of a $350 million Series D round of funding at a valuation of $3.75 billion; and in February of 2022, Leafly became a public company and began trading on Nasdaq via SPAC business combination. Our competitors may be able to use such capital infusions to more successfully enter new markets opening up.</w:t>
      </w:r>
    </w:p>
    <w:p>
      <w:pPr>
        <w:spacing w:after="0" w:line="9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Additionally, as the legalization of cannabis continues, cannabis cultivators, distributors and retailers have and likely will continue to experience consolidation as existing cannabis businesses seek to obtain greater market share and purchasing power and new entrants seek to establish a significant market presence. Consolidation of retailers in the cannabis industry could reduce the size of our potential client base and give remaining clients greater bargaining or purchasing power. This may in turn erode the prices for our advertising placements and result in decreased margins. Consolidation could particularly affect smaller cannabis businesses, with whom we have historically conducted the majority of our business. Further, heightened competition between cannabis businesses could ultimately have a negative impact on the viability of individual market participants, which could reduce or eliminate their ability to purchase our products and solution.</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May 16, 2024, President Biden announced that the U.S. Attorney General initiated proceedings to transfer cannabis from Schedule I to Schedule III, through an NPRM published on May 21, 2024. This decision is expected to have far-reaching implications that are not yet fully understood. For example, rescheduling may increase competitors in this space if non-cannabis technology companies who have previously avoided the space now decide to enter the market.</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If we are unable to compete effectively for any of these reasons, we may be unable to maintain our operations or develop our products and solutions, and as a result our business and operating results may be adversely affected.</w:t>
      </w:r>
    </w:p>
    <w:p>
      <w:pPr>
        <w:spacing w:after="0" w:line="158"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employee operations and organization effectively, our brand, business and operating results could be harmed.</w:t>
      </w:r>
    </w:p>
    <w:p>
      <w:pPr>
        <w:spacing w:after="0" w:line="5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have experienced rapid organic growth in our headcount and operations, which placed substantial demands on management and our operational infrastructure. As a result of both macroeconomic and industry challenges, as well as misalignment between our organizational growth and business growth, we completed a substantial reduction 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7"/>
          <w:szCs w:val="17"/>
          <w:color w:val="auto"/>
        </w:rPr>
        <w:t>force in 2022 and experienced significant executive departures during 2023 and 2022. As a result of these changes, many of our current employees have been with us for less than 24 months. To execute on our growth strategy, we will need to continue to increase the productivity of our current employees as well as hire, train and manage new employees, as well as improve existing, and implement new, transaction processing, operational and financial systems, procedures and controls. We intend to continue making substantial investments in our technology, sales and data infrastructure. As our business matures, we may make periodic changes and adjustments to our organization in response to various internal and external considerations, including market opportunities, the competitive landscape, new and enhanced products, acquisitions, sales performance, availability of employee talent and costs, while maintaining the beneficial aspects of our existing corporate culture, which we believe fosters innovation, teamwork and a passion for our products and clients. In some instances, these changes have resulted in a temporary lack of focus and reduced productivity, which may occur again in connection with any future changes to our organization and may negatively affect our results of operations. If we are unable to adapt quickly and effectively to changes or adjustments to our organization, our business will be harmed. If we are unable to manage our employee operations and organization effectively, the quality of our platform, efficiency of our operations, and management of our expenses could suffer, which could negatively impact our brand, business, profitability and operating results.</w:t>
      </w:r>
    </w:p>
    <w:p>
      <w:pPr>
        <w:spacing w:after="0" w:line="3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recruit, train, retain and motivate key personnel, we may not achieve our business objectives.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Our future success depends on our continued ability to recruit, train, retain and motivate key personnel, including Doug Francis, our Executive Chair and Principal Executive Officer; Brian Camire, our General Counsel; and Duncan Grazier, our Chief Technology Officer.</w:t>
      </w:r>
    </w:p>
    <w:p>
      <w:pPr>
        <w:spacing w:after="0" w:line="6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Competition for qualified personnel in the technology industry is intense, particularly in Southern California, where we are headquartered. Additionally, we face additional challenges in attracting, retaining and motivating highly qualified personnel due to our relationship to the cannabis industry, which is rapidly evolving and has varying levels of social acceptance. The loss of the services of a significant portion of our workforce or any member of our senior management or the inability to hire or retain qualified personnel could adversely affect our ability to execute our business plan and harm our operating results. We generally do not maintain fixed term employment contracts or key man life insurance with any of our employees.</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particular, Doug Francis, co-founder and Executive Chair, has been and will continue to take a more active role in leading WM Technology until we appoint our next chief executive officer. In addition, since July 2023 we have had and continue to have an interim Chief Financial Officer, which, as noted in our Notification of Late Filing on Form 12b-25 with the SEC, has had an impact on our ability to complete our financial statements. If we are unable to recruit and retain a qualified replacement in a timely manner it could result in management, operating and financial reporting difficulties, which could have an adverse effect on our business.</w:t>
      </w:r>
    </w:p>
    <w:p>
      <w:pPr>
        <w:spacing w:after="0" w:line="305"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Many consumers locate our website through internet search engines, like Google, and paid digital advertisements in certain jurisdictions. The prominence of our website in response to internet searches is a critical factor in the attractiveness of our advertising placements, and our digital marketing efforts, such as search engine optimization, are intended to improve our search result rankings and draw additional traffic to our website. Visits to our website could decline significantly if we are listed less prominently or fail to appear in search results for any reason, including ineffective implementation of our digital marketing strategies or any change by a search engine to its ranking algorithms or advertising policies.</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Visits to our website could also decline if our accounts on Facebook, Instagram, X, formerly known as Twitter or LinkedIn are shut down or restricted. We work across these social networks to increase brand awareness of our company by consumers and clients, and to promote client acquisition. Our engagement on these social media platforms is subject to their respective terms of service and community guidelines, which generally restrict the promotion, sale and, often, depiction of cannabis. While we do not directly promote the sale of cannabis or cannabis-related products by our clients on these social media platforms, the perception that we may be engaging in such promotion or our inadvertent violation of other aspects of these platforms’ terms of service or community guidelines may result in our accounts being shut down or restricted. For example, our Instagram account was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suspended from December 2021 to February 2022, in March 2022 and in November 2022 for a short period. Our accounts might also be suspended or restricted due to changes in the rules and regulations of such social media platforms. Any such suspension or restriction could result in reduced traffic to our website and diminished demand for our products, which could adversely affect our business and operating results.</w:t>
      </w:r>
    </w:p>
    <w:p>
      <w:pPr>
        <w:spacing w:after="0" w:line="176"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current marketing model is not effective in attracting new clients, we may need to employ higher-cost sales and marketing methods to attract and retain clients, which could adversely affect our profitability.</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use our sales team to build relationships with our client base. Our sales team builds and maintains relationships with clients primarily through phone and email contact, which is designed to allow us to cost-effectively service a large number of clients. We have significantly invested in our enterprise and field sales teams, and we may need to further employ more resource-intensive sales methods to continue to attract and retain clients, particularly as we increase the number of our clients and our client base employs more sophisticated marketing operations, strategies and processes. This could cause us to incur higher sales and marketing expenses, which could adversely affect our business and operating results.</w:t>
      </w:r>
    </w:p>
    <w:p>
      <w:pPr>
        <w:spacing w:after="0" w:line="185"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6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platform is available for download on iOS and Android, and is also accessible online. The availability of our platform and its various functionalities to a significant percentage of our clients is subject to standard policies and terms of service of these third-party platforms, which govern the promotion, distribution and operation generally of our platform. In addition, each platform provider has broad discretion to change and interpret its terms of service and other policies with respect to our platform and its functionalities, and those changes and interpretations may be unfavorable. A platform provider may also change its fee structure, add fees associated with access to and use of its platform, or restrict how users can access the platform, which would similarly be unfavorable.</w:t>
      </w:r>
    </w:p>
    <w:p>
      <w:pPr>
        <w:spacing w:after="0" w:line="8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For example, we have at times been unable to offer our WM Orders functionality in our iOS Weedmaps mobile application and are currently unable to offer such functionality in our Android Weedmaps mobile application due to restrictions imposed by the Apple iTunes App Store and Google Play, respectively. While our platform is still available in the Apple iTunes App Store and on Google Play for download, there can be no assurance that our platform or all of its functionalities will remain available in the immediate or longer term. To the extent that we are limited or prohibited from making some or all of our solutions available through any third-party platform, including the Apple iTunes App Store or the Google Play Store, we may need, or choose, to provide our solutions through alternative venues that may be more difficult for potential users to access. Limits on, or discontinuation of, access to our mobile platform or its various functionalities could, in turn, have a material adverse impact on utilization of our platform, our business and our ability to attract clients and consumers.</w:t>
      </w:r>
    </w:p>
    <w:p>
      <w:pPr>
        <w:spacing w:after="0" w:line="190"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67"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It is critical to our success that clients and consumers within our geographic markets be able to access our platform at all times. We have previously experienced service disruptions, and in the future, we may experience service disruptions, outages or other performance problems due to a variety of factors, including infrastructure changes, human or software errors, capacity constraints and distributed denial of service, or DDoS, fraud or security attacks. In some instances, we may not be able to identify the cause or causes of these performance problems within an acceptable period of time. It may become increasingly difficult to maintain and improve the availability of our platform, especially during peak usage times and as our products become more complex and our traffic increases. If our platform is unavailable when consumers attempt to access it or it does not load as quickly as they expect, consumers may seek other solutions and may not return to our platform as often in the future, or at all. This would harm our ability to attract clients and decrease the frequency with which they subscribe for our advertising placements. We expect to continue to make significant investments to maintain and improve the availability of our platform and to enable rapid releases of new features and products. To the extent that we do not effectively address capacity constraints, respond adequately to service disruptions, upgrade our systems as needed or continually develop our technology and network architecture to accommodate actual and anticipated changes in technology, our business and operating results would be harmed.</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expect to continue making significant investments in the functionality, performance, reliability, design, security and scalability of our platform. We may experience difficulties with the development of our platform that could delay or prevent the implementation of new solutions and enhancements. Software development involves a significant amount of time and resources for our product development team, and we may not be able to continue making those investments in the future. To the extent we are not able to continue successfully improving and enhancing our platform, our business could be adversely affected.</w:t>
      </w:r>
    </w:p>
    <w:p>
      <w:pPr>
        <w:spacing w:after="0" w:line="183"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payment system and the payment systems of our clients depend on third-party providers and are subject to evolving laws and regulations.</w:t>
      </w:r>
    </w:p>
    <w:p>
      <w:pPr>
        <w:spacing w:after="0" w:line="5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have engaged third-party service providers to perform credit and debit card processing services for client’s payments to us, and we understand that some of our clients use those services. We also may engage third-party service providers in the future to provide fraud analysis services and we may integrate with third-party service providers used by our clients to process payments made by consumers if done in a manner compliant with applicable federal and local law. If these service providers do not perform adequately or if our relationships, or the relationships of our clients, with these current or future service providers were to terminate, our ability or the ability of our clients to process payments could be adversely affected and our business could be harmed. The laws and regulations related to payments are complex and are potentially impacted by tensions between federal and state treatment of the vaporization, tobacco, nicotine, cannabis, hemp and cannabis accessories industries. These laws and regulations also vary across different jurisdictions in the United States, Canada and globally. As a result, we are required to spend significant time and effort to comply with those laws and regulations. Any failure or claim of our failure to comply, or any failure by our third-party service providers to comply, could cost us substantial resources, could result in liabilities, or could force us to stop offering our clients the ability to pay with credit cards, debit cards and bank transfers. As we expand the availability of these payment methods or offer new payment methods to our clients in the future, we may become subject to additional regulations and compliance requirements.</w:t>
      </w:r>
    </w:p>
    <w:p>
      <w:pPr>
        <w:spacing w:after="0" w:line="8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Due to the constantly evolving and complex laws and regulations applicable to our industry, third-party merchant banks and third-party payment processors may consider our business a high risk. This could cause a third party to discontinue its services to us, and we may not be able to find a suitable replacement. If this were to occur, we would need to collect from our clients using less efficient methods, which could adversely impact our collections, revenues and financial performance. Additionally, if a third party were to discontinue its services to us or if the applicable laws and regulations were to evolve in a way that impacted us negatively, we may not be able to realize our plans of expanding our business offerings, which could have a material adverse effect on our operations and our plans for expansion. For more information, see “—We are subject to industry standards, governmental laws, regulations and other legal obligations, particularly related to privacy, data protection and information security and any actual or perceived failure to comply with such obligations could harm our business” below.</w:t>
      </w:r>
    </w:p>
    <w:p>
      <w:pPr>
        <w:spacing w:after="0" w:line="8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Further, through our agreement with our third-party credit card processors, we are subject to payment card association operating rules and certification requirements, including restrictions on product mix and the Payment Card Industry Data Security Standard (“PCI-DSS”). We are also subject to rules governing electronic funds transfers. Any change in these rules and requirements could make it difficult or impossible for us to comply. Additionally, any data breach or failure to hold certain information in accordance with PCI-DSS may have an adverse effect on our business and results of operations.</w:t>
      </w:r>
    </w:p>
    <w:p>
      <w:pPr>
        <w:spacing w:after="0" w:line="183"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6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calculate and track performance metrics with internal tools, which are not independently verified by any third-party. While we believe our metrics are reasonable estimates of our user or client base for the applicable period of measurement, the methodologies used to measure these metrics and how we define such metrics require significant judgment and may be susceptible to algorithm or other technical errors. For example, user accounts are based on email addresses, and a user could use multiple email addresses to establish multiple accounts, and clients in many instances will have multiple accounts. Additionally, a user could also use technology (such as incognito browsing, blocking or deleting cookies and IP addresses or other similar methods) that may decrease our ability to obtain useful information with respect to the number of and behavior of users, and as a result, we may include users who are not actively engaging with our platform in the manner in which we assume, and/or we may count as unique users multiple visits by the same underlying user. As a result, the data we report may not be accurate, and we believe unique user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statistics could include a significant number of repeat underlying users. Our internal tools and processes we use to identify multiple accounts or fraudulent accounts have a number of limitations, and our methodologies for tracking performance metrics may change over time, which could result in unexpected changes to our metrics, including historical metrics. Our ability to recalculate our historical metrics may be impacted by data limitations or other factors that require us to apply different methodologies for such adjustments and we generally do not intend to update previously disclosed metrics for any such changes. Though we regularly review our processes for calculating metrics and may adjust our processes for calculating metrics to improve their accuracy, limitations or errors with respect to how we measure data (or the data that we measure) may affect our understanding of certain details of our business, which could affect our longer term strategies. For example, we determined to discontinue reporting monthly active users as a key operational metric as a result of our reevaluation of the value of this metric to investors in light of its significant quarterly fluctuations that we do not believe necessarily reflect the underlying and most important trends in our business. If our performance metrics, including any key metrics we disclose in the future, are not accurate measurements of our business, user or client base, or traffic levels; if we discover material inaccuracies in such metrics, we may not be able to effectively implement our business strategy, our reputation may be harmed, and our operating and financial results could be adversely affected.</w:t>
      </w:r>
    </w:p>
    <w:p>
      <w:pPr>
        <w:spacing w:after="0" w:line="8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clients, analysts and investors may rely on our metrics, including additional metrics we may disclose in the future, as a representation of our performance. If these third parties do not perceive such metrics to be accurate representations of our business, or if we discover material inaccuracies in our user metrics, our reputation may be harmed and retailers may be less willing to list a business on our platform, which could negatively affect our business, financial condition, or results of operations.</w:t>
      </w:r>
    </w:p>
    <w:p>
      <w:pPr>
        <w:spacing w:after="0" w:line="341"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successfully drive engagement on our platform, as well as changes to our user engagement and advertising strategy and practices, pose risks to our business.</w:t>
      </w:r>
    </w:p>
    <w:p>
      <w:pPr>
        <w:spacing w:after="0" w:line="5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clients use our products and services as they believe the value received from paying for our products and services justifies the cost of those services. We believe the overall level of engagement of our users with our clients is critical to our success and our long-term financial performance. As we evolve our user engagement and advertising strategy and practices, we may not be successful in improving user engagement in a cost-efficient manner, or at all. Certain operating decisions, including our substantially decreased usage of pop-under advertisements, may significantly decrease our user engagement and/or traffic, increase the cost of generating user engagement and/or traffic or decrease our overall success rate in promoting engagement on our platform. Declining user growth, engagement or traffic could make us less attractive to our clients, which may seriously harm our business. In addition, we continue to compete with other companies to attract and retain consumer attention. A number of factors have affected and could potentially negatively affect our reported user engagement and/or traffic and our overall user engagement with our clients, including if:</w:t>
      </w:r>
    </w:p>
    <w:p>
      <w:pPr>
        <w:spacing w:after="0" w:line="84" w:lineRule="exact"/>
        <w:rPr>
          <w:sz w:val="20"/>
          <w:szCs w:val="20"/>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provide a compelling consumer experience to entice consumers to use our products and services, or our consumers don’t have the ability to maximize the consumer experience;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convince consumers and clients of the value and usefulness of our platform and services;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find cost-effective marketing channels or other strategies to drive traffic to our website, including replacing any pop-under advertisements that we have decreased our usage of or discontinued;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fail to operate effectively on the iOS or Android mobile operating systems;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unable to continue to develop products that work with a variety of mobile operating systems, networks and smartphones;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provide a compelling consumer experience because of the decisions we make regarding the type and frequency of advertisements that we display or the structure and design of our products;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engage more with competing platforms or products at the expense of ours or those of our clients;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manner in which we promote engagement or traffic is seen by consumers or clients as unappealing or harm our brand image or reputation;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concerns about the privacy implications, safety, or security of our products;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are subject to increased regulatory scrutiny or approvals, or there are changes in our products that are mandated or prompted by legislation, regulatory authorities, executive actions, or litigation, including settlements or consent decrees, that adversely affect the consumer experience;</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or other problems frustrate the consumer experience, including by providers that host our platforms, particularly if those problems prevent us from delivering our product experience in a fast and reliable manner;</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partners, or other companies in our industry segment are the subject of adverse media reports or other negative publicity, some of which may be inaccurate or include confidential information that we are unable to correct or retract; or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products reduce consumer activity on our website or our applications by making it easier for our consumers to interact directly with our clients.</w:t>
      </w:r>
    </w:p>
    <w:p>
      <w:pPr>
        <w:spacing w:after="0" w:line="5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Any decrease to consumer retention, growth, or engagement could render our products less attractive to consumers, advertisers, or partners, and could seriously harm our business.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prevent others from aggregating or misappropriating data from our websites.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From time to time, third parties have misappropriated data from our website through website scraping, software robots or other means, and aggregated this data on their websites with data from other companies. Additionally, copycat websites have misappropriated data on our network and attempted to imitate our brand or the functionality of our website. We may be unable to detect all such websites in a timely manner and even timely technological and legal measures may be insufficient to halt their operations or protect us against the impact of the operation of such websites. Regardless of whether we can successfully enforce our rights against the operators of these websites, any measures that we may take could require us to expend significant financial or other resources, which could harm our business, operating results or financial condition. In addition, to the extent that such activity creates confusion among clients or consumers, decreases the likelihood that consumers use our platform to access information, or reduces the distinctiveness of our products in the marketplace, our brand and business could be harmed.</w:t>
      </w:r>
    </w:p>
    <w:p>
      <w:pPr>
        <w:spacing w:after="0" w:line="325"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third parties upon which we rely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the ordinary course of our business, we may collect, receive, store, generate, use, protect, secure, dispose of, transmit, disclose, or otherwise make accessible (collectively “process”) proprietary, confidential, and sensitive data, including personal data, intellectual property, and trade secrets. We rely upon third parties (such as service providers) for certain data processing-related activities, such as data centers, cloud hosting platforms, marketing communications, and application providers. For example, we rely on data centers and other technologies and services provided by third parties in order to host our cloud-based infrastructure that operates our business. If any of these services becomes unavailable or otherwise is unable to serve our requirements due to extended outages, interruptions, or facility closure, or because it is no longer available on commercially reasonable terms, our expenses could increase, our ability to manage finances could be interrupted and our operations otherwise could be disrupted or otherwise impacted until appropriate substitute services, if available, are identified, obtained and implemented. Additionally, we rely on a number of third-party “cloud-based” providers of corporate infrastructure services relating to, among other things, human resources, electronic communication services, some financial functions and systems used to provide solutions to our clients, and we are therefore dependent on the security systems of these providers. We may also share or receive sensitive data with or from third parties.</w:t>
      </w:r>
    </w:p>
    <w:p>
      <w:pPr>
        <w:spacing w:after="0" w:line="8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and our customers may be vulnerable to a heightened risk of these attacks, including retaliatory cyber-attacks, that could materially disrupt our systems and operations, supply chain, and ability to produce, sell and distribute our goods and services.</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and the third parties upon which we rely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and other similar threats. In particular, severe ransomware attacks are becoming increasingly prevalent – particularly for companies like ours that are engaged in critical infrastructure or manufacturing –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8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For example, we implement bug fixes and upgrades as part of our regular system maintenance, which may lead to system downtime. Even if we are able to implement the bug fixes and upgrades in a timely manner, any history of inaccuracies in the data we collect for our clients, or unauthorized access or damage to, or the loss, acquisition, or inadvertent release or exposure of confidential or other sensitive data could cause our reputation to be harmed and result in claims against us, and cannabis businesses may elect not to purchase our products or, in the case of existing clients, renew their agreements with us or we may incur increased insurance costs. The costs associated with any material defects or errors in our software or other performance problems may be substantial and could harm our operating results and growth prospects. In addition to bugs, we may not detect and remediate all identified vulnerabilities including on a timely basis. Further, we may experience delays in developing and deploying remedial measures and patches designed to address identified vulnerabilities. Vulnerabilities could be exploited and result in a security incident.</w:t>
      </w:r>
    </w:p>
    <w:p>
      <w:pPr>
        <w:spacing w:after="0" w:line="8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Any actual or perceived security incident could damage our reputation and brand, result in decreased utilization of our platform or prevent users from using our platform, expose us to fines and penalties, government investigations and a risk of litigation and possible liability, require us to expend significant capital and other resources (including management’s attention) to alleviate any resulting problems and otherwise to remediate the incident, and require us to expend increased cybersecurity protection costs. We may incur significant costs in an effort to detect and prevent security incidents. Numerous state, federal and foreign laws and regulations require companies to notify individuals, regulatory authorities, or other stakeholders of certain security involving incidents, including those that involve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certain types of personal data. Any disclosures of security incidents, pursuant to these laws or regulations or otherwise, could lead to regulatory investigations and enforcement and negative publicity, and may cause our clients and consumers to lose confidence in the effectiveness of our data security measures.</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Any of these impacts or circumstances arising from an actual or perceived security incident could materially and adversely affect our business, financial condition, reputation and relationships with clients and consumers.</w:t>
      </w:r>
    </w:p>
    <w:p>
      <w:pPr>
        <w:spacing w:after="0" w:line="5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Furthermore, while our errors and omissions insurance policies include liability coverage for certain of these matters, if we experienced a significant security incident, we could be subject to claims or damages that exceed our insurance coverage.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insurance requirements, could have a material and adverse effect on our business, including our financial condition, operating results, and reputation.</w:t>
      </w:r>
    </w:p>
    <w:p>
      <w:pPr>
        <w:spacing w:after="0" w:line="188"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employees face risks related to macroeconomic conditions and catastrophic events, including health crises, such as outbreaks of contagious disease that have adversely impacted and could in the future adversely impact our business, financial condition and operating results.</w:t>
      </w:r>
    </w:p>
    <w:p>
      <w:pPr>
        <w:spacing w:after="0" w:line="6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Macroeconomic conditions, including but not limited to inflation, uncertain credit and global financial markets, recent and potential future disruptions in access to bank deposits or lending commitments due to bank failures; geopolitical events, including the military conflicts between Russia and Ukraine and Israel and Hamas; and the occurrence of a catastrophic event, including but not limited to severe weather, war, or terrorist attack, could adversely impact our business, financial condition and operating results. We also face risks related to health epidemics, like the COVID-19 pandemic and other adverse health developments. For example, in connection with the COVID-19 pandemic, governments implemented significant measures intended to control the spread of the virus, including closures, quarantines, travel restrictions and other social distancing directives.</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To the extent that restrictions or prevention and mitigation measures are implemented in connection with any future pandemic or outbreak of disease, there may be an adverse impact on global economic conditions and consumer confidence and spending, which could materially and adversely affect our operations as well as our relationships with clients and consumers. For instance, despite the overall increases in demand described below, some of our clients’ operations were initially significantly disrupted in certain jurisdictions, causing a temporary significant decrease in activity on our platform in those jurisdictions.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Shelter-in-place orders and similar regulations resulting from catastrophic events could impact our client’s ability to operate their businesses, consumers’ ability to pick up orders, and our client’s ability to make deliveries. Such events have in the past caused, and may in the future cause, a temporary closure of our clients’ businesses, either due to government mandate or voluntary preventative measures, and many of our clients may not be able to withstand prolonged interruptions to their businesses, and may be forced to go out of business. Any limitations on or disruptions or closures of our clients’ businesses could adversely affect our business. Further, we may experience a decrease in new clients due to a lack of financial resources or a decline in new markets as businesses and financial markets deal with the impact of any future catastrophic events. Further, these conditions may impact our ability to access financial markets to obtain the necessary funding to expand our business, which may adversely affect our liquidity and working capital.</w:t>
      </w:r>
    </w:p>
    <w:p>
      <w:pPr>
        <w:spacing w:after="0" w:line="86"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It is not currently possible to ascertain the overall impact of such an event on our business. However, if such an event occurs, the event may harm our business, and may also have the effect of heightening many of the other risks described in this “Risk Factors” section.</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our quarterly and annual operating results may adversely affect our business and prospects.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You should consider our business and prospects in light of the risks and difficulties we encounter in the uncertain and rapidly evolving market for our solutions. Because the cannabis information market is new and evolving, predicting its future growth rate and size is difficult. This reduces our ability to accurately evaluate our future prospects and forecast quarterly or annual performance. In addition to the other risk factors discussed in this section, factors that may contribute to the variability of our quarterly and annual results include:</w:t>
      </w:r>
    </w:p>
    <w:p>
      <w:pPr>
        <w:spacing w:after="0" w:line="75" w:lineRule="exact"/>
        <w:rPr>
          <w:sz w:val="20"/>
          <w:szCs w:val="20"/>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clients and consumers and retain existing clients and consumers;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revenue and appropriately plan our expenses;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changes in search engine placement and prominence;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on our business;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in existing markets and successfully enter new markets;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regional or economic conditions;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licensed cannabis markets to successfully grow and out compete illegal cannabis markets;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effectively manage an adequate rate of growth;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increase traffic to our platform;</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defending claims, including intellectual property infringement claims and related judgments or settlements;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or other regulation affecting our business;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platform availability and any related impact on our business, reputation or brand;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attraction and retention of qualified personnel;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natural or man-made catastrophic events;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internal controls, including the material weakness that we have identified.</w:t>
      </w:r>
    </w:p>
    <w:p>
      <w:pPr>
        <w:spacing w:after="0" w:line="3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improve our products and solutions in ways that forego short-term gains.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seek to provide the best experience for the clients and consumers who use our platform. Some of our changes may have the effect of reducing our short-term revenue or profitability if we believe that the benefits will ultimately improve our business and financial performance over the long term. Any short-term reductions in revenue or profitability could be greater than planned or the changes mentioned above may not produce the long-term benefits that we expect, in which case our business and operating results could be adversely affected.</w:t>
      </w:r>
    </w:p>
    <w:p>
      <w:pPr>
        <w:spacing w:after="0" w:line="301"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and anti-corruption laws and regulations. Compliance with these legal standards could impair our ability to compete in domestic and international markets. We can face criminal liability and other serious consequences for violations which can harm our business.</w:t>
      </w:r>
    </w:p>
    <w:p>
      <w:pPr>
        <w:spacing w:after="0" w:line="72" w:lineRule="exact"/>
        <w:rPr>
          <w:sz w:val="20"/>
          <w:szCs w:val="20"/>
          <w:color w:val="auto"/>
        </w:rPr>
      </w:pPr>
    </w:p>
    <w:p>
      <w:pPr>
        <w:jc w:val="both"/>
        <w:ind w:left="300" w:right="299"/>
        <w:spacing w:after="0" w:line="269" w:lineRule="auto"/>
        <w:rPr>
          <w:sz w:val="20"/>
          <w:szCs w:val="20"/>
          <w:color w:val="auto"/>
        </w:rPr>
      </w:pPr>
      <w:r>
        <w:rPr>
          <w:rFonts w:ascii="Times New Roman" w:cs="Times New Roman" w:eastAsia="Times New Roman" w:hAnsi="Times New Roman"/>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 the U.S. Foreign Corrupt Practices Act of 1977, as amended, the U.S. domestic bribery statute contained in 18 U.S.C. § 201, the U.S. Travel Act, and other state and national anti-bribery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The FCPA also requires public companies to make and keep books and records that accurately and fairly reflect the transactions of the corporation and to devise and maintain an adequate system of internal accounting controls. We can be held liable for the corrupt or other illegal activities of our employees, agents, contractors, and other partners, even if we do not explicitly authorize or have actual knowledge of such activities.</w:t>
      </w:r>
    </w:p>
    <w:p>
      <w:pPr>
        <w:spacing w:after="0" w:line="7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are also subject to export control and import laws and regulations, including the U.S. Export Administration Regulations, U.S. Customs regulations, and various economic and trade sanctions regulations administered by the U.S. Treasury Department’s Office of Foreign Assets Controls. Export controls and trade sanctions laws and regulations may restrict or prohibit altogether the provision, sale, or supply of our products to certain governments, persons, entities, countries, and territories, including those that are the target of comprehensive sanctions or an embargo.</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inherent in foreign operations, including social, political and economic flux and compliance with additional U.S. and foreign laws, including those related to anti-bribery and anti-corruption, and may not be able to successfully maintain or expand our foreign operations.</w:t>
      </w:r>
    </w:p>
    <w:p>
      <w:pPr>
        <w:spacing w:after="0" w:line="6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sell our Weedmaps for Business offering in the United States and have a limited number of non-monetized listings in several other countries including Austria, Canada, Germany, the Netherlands, Spain and Switzerland. We anticipate growing our business, in part, by continuing to expand our foreign operations. As we continue our expansion, we may enter new foreign markets where we have limited or no experience marketing and deploying our platform. If we fail to launch or manage our foreign operations successfully, our business may suffer. Additionally, as our foreign operations expand, or more of our expenses are denominated in currencies other than the U.S. dollar, our operating results may be more greatly affected by fluctuations in the exchange rates of the currencies in which we do business. In addition, as our foreign operations continue to grow, we are subject to a variety of risks inherent in doing business internationally, including:</w:t>
      </w:r>
    </w:p>
    <w:p>
      <w:pPr>
        <w:spacing w:after="0" w:line="80" w:lineRule="exact"/>
        <w:rPr>
          <w:sz w:val="20"/>
          <w:szCs w:val="20"/>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legal and regulatory environment in foreign jurisdictions, including with respect to privacy and data protection, and unexpected changes in laws, regulatory requirements and enforcement;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levels of credit risk and payment fraud;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tax requirements of multiple jurisdictions;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difficulties of integrating any foreign acquisitions;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present our content effectively in foreign languages;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a variety of foreign laws, including certain employment laws requiring national collective bargaining agreements that set minimum salaries, benefits, working conditions and termination requirements;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some countries;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global operations and the increased travel, infrastructure and compliance costs associated with multiple foreign locations;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that might add difficulties in repatriating cash earned outside the United States and otherwise preventing us from freely moving cash;</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restrictions and changes in trade regulation;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statutory equity requirements;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the U.S. Foreign Corrupt Practices Act of 1977, as amended, the U.K. Bribery Act 2010, the Corruption of Public Officials Act (Canada), and similar laws in other jurisdictions;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controls and economic sanctions administered by the U.S. Department of Commerce Bureau of Industry and Security and the U.S. Treasury Department’s Office of Foreign Assets Control.</w:t>
      </w:r>
    </w:p>
    <w:p>
      <w:pPr>
        <w:spacing w:after="0" w:line="293"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industry standards, governmental laws and regulations, contractual obligations, industry standards, policies, and other obligations governing privacy, data protection and information security, and any actual or perceived failure to comply with such obligations could harm our business.</w:t>
      </w:r>
    </w:p>
    <w:p>
      <w:pPr>
        <w:spacing w:after="0" w:line="6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process personal data and other sensitive information, including proprietary and confidential business data, intellectual property, and sensitive third-party data. Our data processing subjects us to various federal, state, provincial and foreign laws and regulations, as well as other obligations including contractual obligations, industry standards and internal and external policies related to privacy, data protection, and information security.</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Controlling the Assault of Non-Solicited Pornography and Marketing Act of 2003 and the Telephone Consumer Protection Act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1991 (“TCPA”) impose specific requirements on communications with customers. For example, the TCPA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or fines of up to $1,500 per violation imposed through private litigation or by state authorities.</w:t>
      </w:r>
    </w:p>
    <w:p>
      <w:pPr>
        <w:spacing w:after="0" w:line="75"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(collectively,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of up to $7,500 per intentional violation and allows private litigants affected by certain data breaches to recover significant statutory damages for certain data breaches. A number of other proposals are being considered or have passed at the federal, state, and local levels, and we expect more states to pass similar laws in the future. Many foreign countries and governmental bodies, including Canada, the United Kingdom (“UK”), and the European Union (“E.U.”) and other relevant jurisdictions where we conduct business, have laws and regulations concerning the processing of personal information. For example, in Canada, the federal Personal Information Protection and Electronic Documents Act, or PIPEDA and various related provincial laws may apply to our operations. Further, Canada has robust anti-spam legislation, the Anti-Spam Legislation, or CASL. The penalties for non-compliance under CASL are significant. In addition, the E.U.’s General Data Protection Regulation, or the EU GDPR, and the United Kingdom’s GDPR, or UK GDPR (collectively, “GDPR”), may also apply to our operations. The GDPR provides for substantial penalties for noncompliance.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spacing w:after="0" w:line="9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may be subject to new laws governing the privacy of consumer health data. For example, Washington’s My Health My Data Act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are considering and may adopt similar laws. We are also bound by contractual obligations related to data privacy and security, and our efforts to comply with such obligations may not be successful. For example, certain privacy laws, such as the CCPA, require our customers to impose specific contractual restrictions on their service providers.</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there is no lawful manner for us to transfer personal data from the EEA, the UK or other jurisdictions to the United States, or if the requirements for a legally-compliant transfer are too onerous, we could face significant adverse consequences, including, increased exposure to regulatory actions, substantial fines and penalties, the inability 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transfer data and work with partners, vendors and other third parties, and injunctions against our processing or transferring of personal data related to our EU users.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publish privacy policies, marketing materials and other statements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72"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expectations) are evolving, becoming increasingly stringent, and creating uncertainty. These obligations may be modified, interpreted and applied in an inconsistent manner from one jurisdiction to another, and may conflict with one another, other requirements or legal obligations. Future laws, regulations, standards and other obligations, or amendments or changes in the interpretation of existing laws, regulations, standards and other obligations, could impair our or (or the third parties upon whom we rely) ability to collect, use, disclose or otherwise process information relating to employees or consumers, which could decrease demand for our applications, increase our costs and impair our ability to maintain and grow our client and consumer bases and increase revenue. 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Any failure or perceived failure by us or the third parties upon whom we rely to comply with federal, state, provincial or foreign laws or regulations, industry standards, contractual obligations or other legal obligations may result in governmental enforcement actions (e.g., investigations, fines, penalties, audits, inspections, and similar) and prosecutions, private litigation (including class actions) and mass arbitration demands, adverse publicity that could cause employees, clients and consumers to lose trust in us,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201"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Governmental regulation of the internet continues to develop, and unfavorable changes could substantially harm our business and operating results.</w:t>
      </w:r>
    </w:p>
    <w:p>
      <w:pPr>
        <w:spacing w:after="0" w:line="5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are subject to general business regulations and laws as well as federal, state, provincial and foreign laws specifically governing the internet. Existing and future laws and regulations, narrowing of any existing legal safe harbors, or previous or future court decisions may impede the growth of the internet or online products and solutions, and increase the cost of providing online products and solutions. These laws may govern, among other issues, taxation, tariffs, pricing, content, copyrights, distribution, electronic contracts and other communications, consumer protection, broadband residential internet access and the characteristics and quality of offerings. It is not clear how existing laws governing issues such as property ownership, sales, use and other taxes, and libel apply to the internet or online services. There is also a risk that these laws may be interpreted and applied in conflicting ways across jurisdictions, and in a manner that is not consistent with our current practices. Unfavorable resolution of these issues may limit our business activities, expose us to potential legal claims or cause us to spend significant resources on ensuring compliance, any of which could harm our business and operating results.</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brought against us as a result of content we provide.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provide educational information regarding the use and potential effects of various types of cannabis products through our platform, including information regarding therapeutic uses for cannabis. If our content, or content we obtain from third parties, contains inaccuracies, it is possible that consumers or others may sue us for various causes of action. Although our website and mobile applications contain terms and conditions, including disclaimers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liability, that are intended to reduce or eliminate our liability, the law governing the validity and enforceability of online agreements and other electronic transactions is evolving. We could be subject to claims by third parties that our online agreements with consumers that provide the terms and conditions for use of our websites and mobile applications are unenforceable. A finding by a court that these agreements are invalid and that we are subject to liability could harm our business and require costly changes to our business.</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For content that we publish or provide ourselves, we have editorial procedures in place to provide quality control of the information that we publish or provide. However, we cannot assure you that our editorial and other quality control procedures will be sufficient to ensure that there are no errors or omissions in particular content. Even if potential claims do not result in liability to us, investigating and defending against these claims could be expensive and time-consuming and could divert management’s attention away from our operations. In addition, our business is based on establishing the reputation of our platform as trustworthy and dependable sources of educational information. Allegations of impropriety or inaccuracy, even if unfounded, could harm our reputation and business.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legal claims based on the content published to our platform.</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may be subject to legal claims relating to information made available through our platform, including claims for defamation, libel, negligence and copyright or trademark infringement, among others. These claims or allegations could divert management time and attention away from our business and result in significant costs to investigate and defend, regardless of the merits of the claims or allegations. In some instances, we may elect or be compelled to remove content, or may be forced to pay substantial damages or administrative monetary penalties, if we are unsuccessful in our efforts to defend against these claims or allegations. If we elect, or are compelled, to remove valuable content from our platform, our platform or services may become less useful to consumers, which could have a negative impact on our business and financial performance. This risk may also be greater in certain jurisdictions outside of the United States where our protections from such liability may be unclear.</w:t>
      </w:r>
    </w:p>
    <w:p>
      <w:pPr>
        <w:spacing w:after="0" w:line="184"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investments in alternative revenue streams or acquisitions could disrupt our business and adversely affect our operating results, financial condition and cash flows.</w:t>
      </w:r>
    </w:p>
    <w:p>
      <w:pPr>
        <w:spacing w:after="0" w:line="5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believe that our long-term growth depends in part on our ability to develop and monetize additional aspects of our platform. Developing new products and solutions may involve significant investments of capital, time, resources and managerial attention. We have limited experience with developing, implementing and managing revenue streams other than our core listing business, and there can be no assurance that we will successfully implement any new products or solutions. External factors, such as additional regulatory compliance obligations, may also affect the successful implementation of new products and solutions through our platform.</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Additionally, we may make acquisitions that could be material to our business, operating results, financial condition and cash flows. Our ability as an organization to successfully acquire and integrate technologies or businesses is unproven. Acquisitions involve many risks, including the following:</w:t>
      </w:r>
    </w:p>
    <w:p>
      <w:pPr>
        <w:spacing w:after="0" w:line="68" w:lineRule="exact"/>
        <w:rPr>
          <w:sz w:val="20"/>
          <w:szCs w:val="20"/>
          <w:color w:val="auto"/>
        </w:rPr>
      </w:pPr>
    </w:p>
    <w:p>
      <w:pPr>
        <w:jc w:val="both"/>
        <w:ind w:left="1000" w:right="319" w:hanging="348"/>
        <w:spacing w:after="0" w:line="258"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negatively affect our operating results, financial condition or cash flows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 and potentially across different cultures and languages in the event of a foreign acquisition;</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disrupt our ongoing business, divert resources, increase our expenses and distract our management;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result in a delay or reduction of sales for both us and the company we acquired due to uncertainty about continuity and effectiveness of products or support from either company;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in, or may be unable to, successfully sell any acquired products;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acquisition may involve the entry into geographic or business markets in which we have little or no prior experience or where competitors have stronger market positions;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strain on our financial and managerial controls and reporting systems and procedures;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known and unknown liabilities associated with an acquired company;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incur debt to fund such acquisitions, such debt may subject us to material restrictions on our ability to conduct our business as well as financial maintenance covenants;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impairment charges related to potential write-downs of acquired assets or goodwill in future acquisitions;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issue a significant amount of equity or convertible debt securities in connection with future acquisitions, existing equity holders may be diluted and earnings per share may decrease;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varying intellectual property protection strategies and other activities of an acquired company.</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may not succeed in addressing these or other risks or any other problems encountered in connection with the integration of any acquired business. The inability to integrate successfully the business, technologies, products, personnel or operations of any acquired business, or any significant delay in achieving integration, could have a material adverse effect on our business, operating results, financial condition and cash flows.</w:t>
      </w:r>
    </w:p>
    <w:p>
      <w:pPr>
        <w:spacing w:after="0" w:line="176"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raise additional capital, which may not be available on favorable terms, if at all, causing dilution to our stockholders, restricting our operations or adversely affecting our ability to operate our business.</w:t>
      </w:r>
    </w:p>
    <w:p>
      <w:pPr>
        <w:spacing w:after="0" w:line="5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the course of running our business, we may need to raise capital, certain forms of which may cause dilution to our stockholders. If our need is due to unforeseen circumstances or material expenditures or if our operating results are worse than expected, then we cannot be certain that we will be able to obtain additional financing on favorable terms, if at all, and these additional financings could cause further dilution to our stockholders. Due to the current legal status of cannabis under U.S. federal law, we have experienced, and may in the future experience, difficulty attracting additional debt or equity financing. In addition, the current legal status of cannabis may increase the cost of capital now and in the future. Debt financing, if available, may involve agreements that include equity conversion rights, covenants limiting or restricting our ability to take specific actions, such as incurring additional debt, expending capital, or declaring dividends, or that impose financial covenants on us that limit our ability to achieve our business objectives. Debt financings may contain provisions, which, if breached, may entitle lenders to accelerate repayment of loans, and there is no assurance that we would be able to repay such loans in such an event or prevent the foreclosure of security interests granted pursuant to such debt financing. If we need but cannot raise additional capital on acceptable terms, then we may not be able to meet our business objectives, our stock price may fall, and you may lose some or all of your investment.</w:t>
      </w:r>
    </w:p>
    <w:p>
      <w:pPr>
        <w:spacing w:after="0" w:line="19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operating results may be harmed if we are deemed responsible for the collection and remittance of state sales taxes or other indirect taxes.</w:t>
      </w:r>
    </w:p>
    <w:p>
      <w:pPr>
        <w:spacing w:after="0" w:line="5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do not collect sales and value-added tax as part of our client agreements in the United States or Canada, based on our determination that such tax is not applicable to our platform. Sales and use, value-added and similar tax laws and rates vary greatly by jurisdiction. If we are deemed an agent for the clients on our platform under state or other applicable tax law, we may be deemed responsible for collecting and remitting sales taxes directly to certain states or jurisdictions. It is possible that one or more states or other jurisdictions could seek to impose sales, use or other tax obligations on us with regard to the ordering functionality that we offer our clients. These taxes may be applicable to past sales. In addition, the U.S. Supreme Court’s ruling in South Dakota v. Wayfair that a U.S. state may require an online retailer with no in-state property or personnel to collect and remit sales tax on sales to the state’s residents may permit wider enforcement of sales tax collection requirements, which may increase the jurisdictions in which we may be required to collect and/or remit taxes. A successful assertion that we should be collecting sales, use or other taxes or remitting such taxes directly to states or other jurisdictions could result in substantial tax liabilities for past sales and additional administrative expenses and increase the cost of our products and solutions, which could harm our business and operating results.</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potential adverse tax consequences both domestically and in foreign jurisdictions.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are subject to taxes, such as income, payroll, sales, use, value-added, property and goods and services taxes, in both the United States and various foreign jurisdictions. Our domestic and foreign tax liabilities are subject to various jurisdictional rules regarding the timing and allocation of revenue and expenses. Additionally, the amount of income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taxes paid is subject to our interpretation of applicable tax laws in the jurisdictions in which we operate and to changes in tax laws. Significant judgment is required in determining our worldwide provision for income taxes and other tax liabilities. From time to time, we may be subject to income and non-income tax audits. While we believe we have complied with all applicable income tax laws, there can be no assurance that a governing tax authority will not have a different interpretation of the law and assess us with additional taxes. Should we be assessed with additional taxes, there could be a material adverse effect on our business, results of operations and financial condition. In addition, audits may require ongoing time and attention from our management, which could limit their ability to focus on other aspects of our business and impact our business in the future.</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standards or other factors could negatively impact our future effective tax rate.</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future effective tax rate may be affected by such factors as changes in tax laws, changing interpretation of existing laws or regulations, the impact of accounting for equity-based compensation, the impact of accounting for business combinations, changes in our international organization and changes in overall levels of income before tax. In addition, in the ordinary course of our global business, there are many intercompany transactions and calculations where the ultimate tax determination is uncertain. Although we believe that our tax estimates are reasonable, we cannot ensure that the final determination of tax audits or tax disputes will not be different from what is reflected in our historical income tax provisions and accruals.</w:t>
      </w:r>
    </w:p>
    <w:p>
      <w:pPr>
        <w:spacing w:after="0" w:line="185"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and compliance in multiple jurisdictions may have a material adverse effect on our business, cash flow, financial condition or operating results.</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are subject to the income tax laws of the United States, Canada and several other foreign jurisdictions. New income, sales, use or other tax laws, statutes, rules, regulations, or ordinances could be enacted at any time, which could affect the tax treatment of our U.S. and foreign earnings. Any new taxes could adversely affect our domestic and foreign business operations and our business and financial performance. In addition, existing tax laws, statutes, rules, regulations, or ordinances, such as Section 280E of the Code, discussed in our Annual Report on Form 10-K, could be interpreted, changed, modified or applied adversely to us. Furthermore, changes to the taxation of undistributed foreign earnings could change our future intentions regarding reinvestment of such earnings. The foregoing items could have a material adverse effect on our business, cash flow, financial condition or operating results.</w:t>
      </w:r>
    </w:p>
    <w:p>
      <w:pPr>
        <w:spacing w:after="0" w:line="8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Requirements as to taxation vary substantially among jurisdictions. Complying with the tax laws of these jurisdictions can be time consuming and expensive and could potentially subject us to penalties and fees in the future if we were to inadvertently fail to comply. If we were to inadvertently fail to comply with applicable tax laws, this could have a material adverse effect on our business, results of operations and financial condition.</w:t>
      </w:r>
    </w:p>
    <w:p>
      <w:pPr>
        <w:spacing w:after="0" w:line="176" w:lineRule="exact"/>
        <w:rPr>
          <w:sz w:val="20"/>
          <w:szCs w:val="20"/>
          <w:color w:val="auto"/>
        </w:rPr>
      </w:pPr>
    </w:p>
    <w:p>
      <w:pPr>
        <w:jc w:val="both"/>
        <w:ind w:left="300" w:right="29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as of December 31, 2023. If we are unable to remediate these material weaknesses or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and corrected on a timely basis. Effective internal controls are necessary for us to provide reliable financial reports and prevent fraud.</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management, we assessed the effectiveness of our internal control over financial reporting as of December 31, 2023, using the criteria set forth by the Committee of Sponsoring Organizations of the Treadway Commission (COSO) in Internal Control — Integrated Framework (2013). Based on management’s assessment of our internal control over financial reporting, under the criteria described in the preceding sentence, management has identified material weaknesses in internal control during the year ended December 31, 2023.</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material weakness related to the design and maintenance of effective process-level controls related to the order-to-cash cycle resulted in the misapplication of the Company’s revenue recognition policies related to the cash collection of a certain subset of its customers that had been placed on a cash basis and, in turn, the restatement of our unaudited condensed consolidated financial statements as of and for the three months ended March 31,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six months ended June 30, 2023 and nine months ended September 30, 2023. Additionally, these material weaknesses could result in a misstatement of any account balances or disclosures that would result in a material misstatement to the annual or interim consolidated financial statements that would not be prevented or detected.</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See the section entitled “Item 9A. Controls and Procedures” of our Annual Report on Form 10-K. If we are unable to remediate these material weaknesses or to develop and maintain an effective system of internal control over financial reporting, we may not be able to accurately report our financial results in a timely manner, which may adversely affect investor confidence in us and materially and adversely affect our business and operating results.</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Management has been implementing and continues to implement measures to remediate the material weaknesses. However, until the remediation plan is implemented, tested, and deemed effective, we cannot assure that our actions will adequately remediate the material weaknesses or that additional material weaknesses in our internal controls will not be identified in the future. Additionally, these remediation measures may be time consuming and costly and there is no assurance that these initiatives will ultimately have the intended effects. For example, in the year ended December 31, 2022, we identified a material weakness in internal control related to ineffective information technology general controls in the areas of user access and program change-management over certain information technology systems that support our financial reporting processes. We took measures to remediate this material weakness and our remediation efforts concluded as of June 30, 2023 when it was affirmed such measures had been implemented. However, as of July 2023, administrative access to the sandbox environment where development activities take place was extended to users with administrative access to the production environment, thereby negating the remediation efforts taken. This access was not subject to our monthly monitoring control activity and persisted through the remainder of the year ended December 31, 2023.</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applicable stock exchange listing requirements. As a result, investors may lose confidence in the accuracy and completeness of our financial reporting, access to capital markets and perceptions of our creditworthiness could be adversely affected and our stock price may decline as a result. Also, the existence of any current or future material weakness could require management to devote significant time and incur significant expense to remediate any such material weakness, and management may not be able to remediate any such material weakness in a timely manner, or at all. These events could have a material and adverse effect on our business, operating results, financial condition and prospects. We cannot assure you that the measures we have taken to date, or any measures we may take in the future, will be sufficient to avoid potential future material weaknesses.</w:t>
      </w:r>
    </w:p>
    <w:p>
      <w:pPr>
        <w:spacing w:after="0" w:line="348"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restatement of our prior quarterly financial statements may affect investor confidence and raise reputational issues and may subject us to additional risks and uncertainties, including increased professional costs and the increased possibility of legal proceedings and regulatory inquiries.</w:t>
      </w:r>
    </w:p>
    <w:p>
      <w:pPr>
        <w:spacing w:after="0" w:line="6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discussed in Note 2 to our consolidated financial statements included in our Annual Report on Form 10-K, we determined to restate our unaudited condensed consolidated financial statements as of and for the three months ended March 31, 2023, six months ended June 30, 2023 and nine months ended September 30, 2023 after we identified errors in the application of our revenue recognition policies related to the cash collection of a certain subset of our customers that had been placed on a cash basis. As a result of this error and the resulting restatement of our unaudited condensed consolidated financial statements for the impacted periods, we have incurred, and may continue to incur, unanticipated costs for accounting and legal fees in connection with or related to the restatement, and have become subject to a number of additional risks and uncertainties, including the increased possibility of litigation and regulatory inquiries. Any of the foregoing may affect investor confidence in the accuracy of our financial disclosures and may raise reputational risks for our business, both of which could harm our business and financial results.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119" w:lineRule="exact"/>
        <w:rPr>
          <w:sz w:val="20"/>
          <w:szCs w:val="20"/>
          <w:color w:val="auto"/>
        </w:rPr>
      </w:pPr>
    </w:p>
    <w:p>
      <w:pPr>
        <w:jc w:val="both"/>
        <w:ind w:left="300" w:right="319"/>
        <w:spacing w:after="0" w:line="284" w:lineRule="auto"/>
        <w:rPr>
          <w:sz w:val="20"/>
          <w:szCs w:val="20"/>
          <w:color w:val="auto"/>
        </w:rPr>
      </w:pPr>
      <w:r>
        <w:rPr>
          <w:rFonts w:ascii="Times New Roman" w:cs="Times New Roman" w:eastAsia="Times New Roman" w:hAnsi="Times New Roman"/>
          <w:sz w:val="18"/>
          <w:szCs w:val="18"/>
          <w:i w:val="1"/>
          <w:iCs w:val="1"/>
          <w:color w:val="auto"/>
        </w:rPr>
        <w:t>In this discussion of risks related to our organizational structure, references to “we,” “us” and “our” generally refer to WM Technology Inc.</w:t>
      </w:r>
    </w:p>
    <w:p>
      <w:pPr>
        <w:spacing w:after="0" w:line="156"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our only material asset is our interest in WMH LLC, and we are accordingly dependent upon distributions made by WMH LLC and its subsidiaries to pay taxes, make payments under the tax receivable agreement and pay dividends.</w:t>
      </w:r>
    </w:p>
    <w:p>
      <w:pPr>
        <w:spacing w:after="0" w:line="6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are a holding company with no material assets other than our ownership of units of WMH LLC (“WMH Units”) and our managing member interest in WMH LLC. As a result, we have no independent means of generating revenue or cash flow. Our ability to pay taxes, make payments under the tax receivable agreement (the “TRA”) and pay dividends will depend on the financial results and cash flows of WMH LLC and its subsidiaries and the distributions we receive from WMH LLC. Deterioration in the financial condition, earnings or cash flow of WMH LLC and its subsidiaries for any reason could limit or impair WMH LLC’s ability to pay such distributions. Additionally, to the extent that we need funds and WMH LLC and/or any of its subsidiaries are restricted from making such distributions under applicable law or regulation or under the terms of any financing arrangements, or WMH LLC is otherwise unable to provide such funds, it could materially adversely affect our liquidity and financial condition.</w:t>
      </w:r>
    </w:p>
    <w:p>
      <w:pPr>
        <w:spacing w:after="0" w:line="80"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WMH LLC will continue to be treated as a partnership for U.S. federal income tax purposes and, as such, generally will not be subject to any entity-level U.S. federal income tax. Instead, WMH LLC’s taxable income will be allocated to holders of WMH Units, including us. Accordingly, we will be required to pay income taxes on our allocable share of any net taxable income of WMH LLC. Under the terms of the amended operating agreement, WMH LLC is obligated to make tax distributions to holders of WMH Units (including us) calculated at certain assumed tax rates. In addition to tax expenses, we will also incur expenses related to our operations, including payment obligations under the TRA agreement (and the cost of administering such payment obligations), which could be significant. We intend to cause WMH LLC to make distributions to holders of WMH Units in amounts sufficient to cover all applicable taxes (calculated at assumed tax rates), relevant operating expenses, payments under the TRA and dividends, if any, declared by us. However, as discussed below, WMH LLC’s ability to make such distributions may be subject to various limitations and restrictions including, but not limited to, restrictions on distributions that would either violate any contract or agreement to which WMH LLC is then a party, including debt agreements, or any applicable law, or that would have the effect of rendering WMH LLC insolvent. If our cash resources are insufficient to meet our obligations under the TRA and to fund our obligations, we may be required to incur additional indebtedness to provide the liquidity needed to make such payments, which could materially adversely affect our liquidity and financial condition and subject us to various restrictions imposed by any such lenders. To the extent that we are unable to make payments under the TRA for any reason, such payments will be deferred and will accrue interest until paid; provided, however, that nonpayment for a specified period may constitute a material breach of a material obligation under the TRA and therefore accelerate payments due under the TRA.</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Additionally, although WMH LLC generally will not be subject to any entity-level U.S. federal income tax, it may be liable under the Code and related guidance for adjustments to its tax return, absent an election to the contrary. In the event WMH LLC’s calculations of taxable income are incorrect, its members, including us, in later years may be subject to material liabilities pursuant to these provisions.</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Dividends on our Class A Common Stock, if any, will be paid at the discretion of our board of directors, which will consider, among other things, our business, operating results, financial condition, current and expected cash needs, plans for expansion and any legal or contractual limitations on its ability to pay such dividends. Financing arrangements may include restrictive covenants that restrict our ability to pay dividends or make other distributions to our stockholders. In addition, WMH LLC is generally prohibited under Delaware law from making a distribution to a member to the extent that, at the time of the distribution, after giving effect to the distribution, the liabilities of WMH LLC (with certain exceptions) exceed the fair value of its assets. WMH LLC’s subsidiaries are generally subject to similar legal limitations on their ability to make distributions to WMH LLC. If WMH LLC does not have sufficient funds to make distributions, our ability to declare and pay cash dividends may also be restricted or impaired.</w:t>
      </w:r>
    </w:p>
    <w:p>
      <w:pPr>
        <w:spacing w:after="0" w:line="190"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WMH LLC will be required to make distributions to us and the other holders of WMH Units, and the distributions that WMH LLC will be required to make may be substantial.</w:t>
      </w:r>
    </w:p>
    <w:p>
      <w:pPr>
        <w:spacing w:after="0" w:line="5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As discussed above, WMH LLC will generally be required from time to time to make pro rata distributions in cash to us and the other holders of WMH Units at certain assumed tax rates in amounts that are intended to be sufficient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to cover the taxes on our and the other WMH equity holders’ respective allocable shares of the taxable income of WMH LLC. As a result of (i) potential differences in the amount of net taxable income allocable to us and the other holders of WMH Units, (ii) the lower tax rate applicable to corporations than individuals and (iii) the use of an assumed tax rate (based on the tax rate applicable to individuals) in calculating WMH LLC’s distribution obligations, we may receive tax distributions significantly in excess of our tax liabilities and obligations to make payments under the TRA. We will determine in our sole discretion the appropriate uses for any excess cash so accumulated, which may include, among other uses, dividends, the payment of obligations under the TRA and the payment of other expenses. We will have no obligation to distribute such excess cash (or other available cash other than any declared dividend) to the holders of Class A Common Stock. No adjustments to the redemption or exchange ratio of WMH Units for shares of Class A Common Stock will be made as a result of either (i) any cash dividend by us or (ii) any cash that we retain and do not distribute to our stockholders. To the extent that we do not distribute such excess cash as dividends on Class A Common Stock and instead, for example, hold such cash balances or lend them to WMH LLC, other holders of WMH Units would benefit from any value attributable to such cash balances as a result of their ownership of Class A Common Stock following a redemption or exchange of their WMH Units.</w:t>
      </w:r>
    </w:p>
    <w:p>
      <w:pPr>
        <w:spacing w:after="0" w:line="192"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be required to pay the WMH LLC Class A equity holders and any other persons that become parties to the tax receivable agreement for certain tax benefits we may receive and the amounts payable may be substantial.</w:t>
      </w:r>
    </w:p>
    <w:p>
      <w:pPr>
        <w:spacing w:after="0" w:line="5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Acquisitions by us of Legacy WMH common units in the Business Combination and subsequent taxable redemptions or exchanges of Class A units representing limited liability company interests of WMH LLC (the “Class A Units”) by the WMH LLC equity holders for shares of Class A Common Stock or cash pursuant to the exchange agreement have resulted, and are expected to continue to result in, favorable tax attributes for us.</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we entered into the TRA with WMH Class A equity holders and their representative. Under the TRA, we generally are required to pay to the WMH LLC Class A equity holders, in the aggregate, 85% of the amount of cash savings, if any, in U.S. federal, state and local income tax or franchise tax that we actually realize as a result of (i) increases to the tax basis of WMH LLC’s assets resulting from acquisitions by us of Legacy WMH common units for cash in the Business Combination and taxable redemptions or exchanges of Class A Units for shares of Class A Common Stock or cash pursuant to the exchange agreement, (ii) tax benefits related to imputed interest or (iii) tax attributes resulting from payments made under the TRA. The payment obligations under the TRA are our obligations and not obligations of WMH LLC.</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payments we will be required to make under the TRA may be substantial. Potential payments will depend on the future tax savings that we will be realize (or, in certain circumstances, are deemed to realize), and the TRA payments made by us will be calculated based in part on the market value of the Class A Common Stock at the time of each redemption or exchange under the exchange agreement and the prevailing applicable tax rates applicable to us over the life of the TRA and will depend on us generating sufficient taxable income to realize the tax benefits that are subject to the TRA. Payments under the TRA are not conditioned on the WMH LLC Class A equity holders’ continued ownership of us. See Note 16, “Income Taxes,” to our consolidated financial statements included in our Annual Report on Form 10-K .</w:t>
      </w:r>
    </w:p>
    <w:p>
      <w:pPr>
        <w:spacing w:after="0" w:line="188"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 may be accelerated and/or significantly exceed the actual benefits we realize in respect of the tax attributes subject to the tax receivable agreement.</w:t>
      </w:r>
    </w:p>
    <w:p>
      <w:pPr>
        <w:spacing w:after="0" w:line="5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Payments under the TRA will be based on the tax reporting positions we determine, and the U.S. Internal Revenue Service (“IRS”) or another tax authority may challenge all or a part of the existing tax basis, tax basis increases, or other tax attributes subject to the TRA, and a court could sustain such challenge. The parties to the TRA will not reimburse us for any payments previously made if such tax basis, or other tax benefits are subsequently disallowed, except that any excess payments made to a party under the TRA will be netted against future payments otherwise to be made under the TRA, if any, after the determination of such excess.</w:t>
      </w:r>
    </w:p>
    <w:p>
      <w:pPr>
        <w:spacing w:after="0" w:line="79" w:lineRule="exact"/>
        <w:rPr>
          <w:sz w:val="20"/>
          <w:szCs w:val="20"/>
          <w:color w:val="auto"/>
        </w:rPr>
      </w:pPr>
    </w:p>
    <w:p>
      <w:pPr>
        <w:jc w:val="both"/>
        <w:ind w:left="300" w:right="299"/>
        <w:spacing w:after="0" w:line="273" w:lineRule="auto"/>
        <w:rPr>
          <w:sz w:val="20"/>
          <w:szCs w:val="20"/>
          <w:color w:val="auto"/>
        </w:rPr>
      </w:pPr>
      <w:r>
        <w:rPr>
          <w:rFonts w:ascii="Times New Roman" w:cs="Times New Roman" w:eastAsia="Times New Roman" w:hAnsi="Times New Roman"/>
          <w:sz w:val="17"/>
          <w:szCs w:val="17"/>
          <w:color w:val="auto"/>
        </w:rPr>
        <w:t>In addition, the TRA provides that if (1) we breach any of our material obligations under the TRA (including in the event that we are more than three months late making a payment that is due under the TRA, except in the case of certain liquidity exceptions) (2) we are subject to certain bankruptcy, insolvency or similar proceedings, or (3) at any time, we elect an early termination of the TRA, our obligations under the TRA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arising from the tax deductions, tax basis and other tax attributes subject to the TRA. The TRA also provides that, upon certain mergers, asset sales or other forms of business combination, or certain other changes of control, (x) our obligations under the TRA with respect to Class A Units that have been exchanged or redeemed prior to or in connection with such change of control transaction would accelerate and become payable in a lump sum as described above and (y) with respect to Class A Units that have not been exchanged as of such change of control transaction, our or our successor’s obligations under the TRA would be based on certain assumptions, including that we or our successor would have sufficient taxable income to fully utilize the increased tax deductions and tax basis and other benefits covered by the TRA As a result, upon any acceleration of our obligations under the TRA (including upon a change of control), we could be required to make payments under the TRA that are greater than 85% of our actual cash tax savings, which could negatively impact our liquidity. The change of control provisions in the TRA may also result in situations where the WMH LLC Class A equity holders have interests that differ from or are in addition to those of the holders of our Class A Common Stock.</w:t>
      </w:r>
    </w:p>
    <w:p>
      <w:pPr>
        <w:spacing w:after="0" w:line="8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Finally, because we are a holding company with no operations of our own, our ability to make payments under the TRA depends on the ability of WMH LLC to make distributions to us. To the extent that we are unable to make payments under the TRA for any reason, such payments will be deferred and will accrue interest until paid, which could negatively impact our results of operations and could also affect our liquidity in periods in which such payments are made.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Additional Risks Related to the Cannabis Industry</w:t>
      </w:r>
    </w:p>
    <w:p>
      <w:pPr>
        <w:spacing w:after="0" w:line="11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Cannabis remains prohibited under federal law, and therefore, strict enforcement of federal laws regarding cannabis would likely result in our inability to execute our business plan.</w:t>
      </w:r>
    </w:p>
    <w:p>
      <w:pPr>
        <w:spacing w:after="0" w:line="4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Cannabis, other than hemp (defined by the U.S. government as </w:t>
      </w:r>
      <w:r>
        <w:rPr>
          <w:rFonts w:ascii="Times New Roman" w:cs="Times New Roman" w:eastAsia="Times New Roman" w:hAnsi="Times New Roman"/>
          <w:sz w:val="18"/>
          <w:szCs w:val="18"/>
          <w:i w:val="1"/>
          <w:iCs w:val="1"/>
          <w:color w:val="auto"/>
        </w:rPr>
        <w:t>Cannabis sativa</w:t>
      </w:r>
      <w:r>
        <w:rPr>
          <w:rFonts w:ascii="Times New Roman" w:cs="Times New Roman" w:eastAsia="Times New Roman" w:hAnsi="Times New Roman"/>
          <w:sz w:val="18"/>
          <w:szCs w:val="18"/>
          <w:color w:val="auto"/>
        </w:rPr>
        <w:t xml:space="preserve"> L. with a THC concentration of not more than 0.3% on a dry weight basis), is a prohibited controlled substance under the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is a predicate for certain other crimes, including money laundering laws and the Racketeer Influenced and Corrupt Organizations Act. The U.S. Supreme Court has ruled that the federal government has the authority to regulate and criminalize the sale, possession and use of cannabis, even for individual medical purposes, regardless of whether it is legal under state law. Since 2014, however, the U.S. government has not prioritized the enforcement of those laws against cannabis companies complying with state law and their vendors. No reversal of that policy of prosecutorial discretion is expected under a Biden administration given his actions on cannabis to date, and statements of Attorney General Merrick Garland discussed further below, although prosecutions against state-legal entities cannot be ruled out entirely at this time.</w:t>
      </w:r>
    </w:p>
    <w:p>
      <w:pPr>
        <w:spacing w:after="0" w:line="8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On January 4, 2018, then U.S. Attorney General Jeff Sessions issued a memorandum for all U.S. Attorneys (the “Sessions Memo”) rescinding certain past DOJ memoranda on cannabis law enforcement, including the Memorandum by former Deputy Attorney General James Michael Cole (the “Cole Memo”) issued on August 29, 2013, under the Obama administration.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 principles that govern all federal prosecutions when deciding which cannabis activities to prosecute. As a result, federal prosecutors could and still can use their prosecutorial discretion to decide to prosecute even state legal cannabis activities. Since the Sessions Memo was issued over five years ago, however, U.S. Attorneys have generally not prioritized the targeting of state law compliant entities. In March 2023, Attorney General Merrick Garland testified in a Congressional hearing that the Department of Justice was continuing its work on a new memorandum regarding cannabis enforcement. Garland stated that the policy will be “very close to what was done in the Cole memorandum” but was yet to be finalized. Though no official timeline has been announced, industry participants expect such a memorandum to be issued in 2024.</w:t>
      </w:r>
    </w:p>
    <w:p>
      <w:pPr>
        <w:spacing w:after="0" w:line="8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cannot assure that each U.S. Attorney’s Office in each judicial district where we operate will not choose to enforce federal laws governing cannabis sales against state-legal companies like our business clients. The basis for the federal government’s lack of recent enforcement with respect to the cannabis industry extends beyond the strong public sentiment and ongoing prosecutorial discretion. Since 2014, versions of the U.S. omnibus spending bill have included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 provision prohibiting the DOJ, which includes the DEA, from using appropriated funds to prevent states from implementing their medical-use cannabis laws (formerly known as the Rohrabacher-Bluemnauer Amendment, and now known as the Joyce Amendment). In 2021, President Joe Biden became the first president to propose a budget with the Joyce amendment included. The amendment most recently was renewed through the signing of the stopgap spending bill. While the Joyce Amendment has continuously been renewed since its inception with little fanfare, there is no assurance that Congress will approve inclusion of a similar prohibition on DOJ spending in future appropriations bills.</w:t>
      </w:r>
    </w:p>
    <w:p>
      <w:pPr>
        <w:spacing w:after="0" w:line="7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i w:val="1"/>
          <w:iCs w:val="1"/>
          <w:color w:val="auto"/>
        </w:rPr>
        <w:t>USA vs. McIntosh</w:t>
      </w:r>
      <w:r>
        <w:rPr>
          <w:rFonts w:ascii="Times New Roman" w:cs="Times New Roman" w:eastAsia="Times New Roman" w:hAnsi="Times New Roman"/>
          <w:sz w:val="18"/>
          <w:szCs w:val="18"/>
          <w:color w:val="auto"/>
        </w:rPr>
        <w:t>, the U.S. Court of Appeals for the Ninth Circuit held that the provision prohibits the DOJ from spending funds to prosecute individuals who engage in conduct permitted by state medical-use cannabis laws and who strictly comply with such laws. The court noted that, if the spending bill provision were not continued, prosecutors could enforce against conduct occurring during the statute of limitations even while the provision was previously in force. Other courts that have considered the issue have ruled similarly, although courts disagree about which party bears the burden of proof of showing compliance or noncompliance with state law. Our policies do not prohibit our state-licensed cannabis retailers from engaging in the cannabis business for adult use that is permissible under state and local laws. Consequently, certain of our retailers currently (and may in the future) sell adult-use cannabis, if permitted by such state and local laws now or in the future, and therefore may be outside any protections extended to medical-use cannabis under the spending bill provision. This could subject our clients to greater and/or different federal legal and other risks as compared to businesses where cannabis is sold exclusively for medical use, which could in turn materially adversely affect our business. Furthermore, any change in the federal government’s enforcement posture with respect to state licensed cannabis sales, including the enforcement postures of individual federal prosecutors in judicial districts where we operate, would result in our inability to execute our business plan, and we would likely suffer significant losses with respect to client base, which would adversely affect our operations, cash flow and financial condition.</w:t>
      </w:r>
    </w:p>
    <w:p>
      <w:pPr>
        <w:spacing w:after="0" w:line="8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Additionally, financial transactions involving proceeds generated by cannabis-related conduct can form the basis for prosecution under the federal money laundering statutes, unlicensed money transmitter statutes and the Bank Secrecy Act of 1970, as amended (the “Bank Secrecy Act”). The penalties for violation of these laws include imprisonment, substantial fines and forfeiture. Prior to the DOJ’s rescission of the Cole Memo, supplemental guidance from the DOJ issued under the Obama Administration directed federal prosecutors to consider the federal enforcement priorities enumerated in the Cole Memo when determining whether to charge institutions or individuals with any of the financial crimes described above based upon cannabis-related activity. With the rescission of the Cole Memo, there is increased uncertainty and added risk that federal law enforcement authorities could seek to pursue money laundering charges against entities or individuals engaged in supporting the cannabis industry.</w:t>
      </w:r>
    </w:p>
    <w:p>
      <w:pPr>
        <w:spacing w:after="0" w:line="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Federal prosecutors have significant discretion and no assurance can be given that the federal prosecutor in each judicial district where we operate will not choose to strictly enforce the federal laws governing cannabis production or distribution. Any change in the federal government’s enforcement posture with respect to state-licensed cultivation of cannabis, including the enforcement postures of individual federal prosecutors in judicial districts where we operate, would result in our inability to execute our business plan, and we would likely suffer significant losses with respect to our investment in cannabis facilities in the United States. Furthermore, following any such change in the federal government’s enforcement position, we could be subject to prosecution, which could lead to imprisonment and/or the imposition of penalties, fines, or forfeiture.</w:t>
      </w:r>
    </w:p>
    <w:p>
      <w:pPr>
        <w:spacing w:after="0" w:line="8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During his campaign, President Biden promised federal reform on cannabis, including decriminalization generally. In 2022, President Biden signed into law the “Medical Marijuana and Cannabidiol Research Expansion Act,” a bill aimed at easing restrictions on cannabis research – bipartisan legislation which is the first standalone cannabis reform bill to pass both the House and Senate. Additionally, on October 6, 2022, President Biden issued a presidential proclamation pardoning federal convictions for simple marijuana possession offenses, encouraging state governors to do the same on the state level where permissible, and requesting that the Secretary of Health and Human Services (“HHS”) and the Attorney General initiate an administrative process to review cannabis’s Schedule I classification under the CSA. On August 29, 2023, HHS issued a letter to the DEA recommending that cannabis be reclassified as a Schedule III controlled substance under the CSA. On May 16, 2024, President Biden announced that the U.S. Attorney General initiated proceedings to transfer cannabis from Schedule I to Schedule III, through an NPRM published on May 21, 2024. This is a momentous change whose full implications are currently unknown. The DEA’s decision to reclassify cannabis would neither legalize nor likely eliminate current state cannabis programs. If placed under Schedule III, cannabis will remain a controlled substance and state-legal programs will continue to operate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outside of federally legal channels in their distribution of the substance particularly because no state operator holds a DEA registration to possess or distribute cannabis. However, some fear that the DEA or FDA may impose additional requirements or begin to target enforcement of state cannabis programs. If our clients are ultimately negatively impacted by rescheduling, we would likely be unable to execute our business plan, and our business and financial results would be adversely affected.</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Additionally, although the current U.S. Attorney General is expected to issue policy guidance to federal prosecutors that they should not interfere with cannabis businesses operating in compliance with states’ laws, any such guidance would not have the force of law, and could not be enforced by the courts. The President alone cannot legalize medical cannabis, and as states have demonstrated, legalizing medical cannabis can take many different forms.</w:t>
      </w:r>
    </w:p>
    <w:p>
      <w:pPr>
        <w:spacing w:after="0" w:line="7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On January 20, 2021, President Biden formally nominated Merrick Garland to his cabinet as the U.S. Attorney General. Confirmation hearings for Attorney General Garland began on February 22, 2021. On the first date of his confirmation hearing, Attorney General Garland stated that he did not see enforcement of federal cannabis law as a high priority use of resources for the DOJ: “This is a question of the prioritization of our resources and prosecutorial discretion. It does not seem to me a useful use of limited resources that we have, to be pursuing prosecutions in states that have legalized and that are regulating the use of marijuana, either medically or otherwise. I don’t think that’s a useful use. I do think we need to be sure there are no end-runs around the state laws that criminal enterprises are doing. So that kind of enforcement should be continued. But I don’t think it’s a good use of our resources, where states have already authorized. That only confuses people, obviously, within the state.” In April 2022, Attorney General Garland reiterated that prosecuting the possession of cannabis is “not an efficient use” of federal resources, especially “given the ongoing opioid and methamphetamine epidemic[s]” facing the nation. And, in March 2023, Attorney General Garland testified that the Department of Justice was continuing its progress on a new cannabis enforcement guidance, which he described as “very close to what was done in the Cole memorandum.” While the statement is not a promise to avoid federal interference with state cannabis laws, it does continue to signal that the enforcement priorities of DOJ lie elsewhere.</w:t>
      </w:r>
    </w:p>
    <w:p>
      <w:pPr>
        <w:spacing w:after="0" w:line="8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Furthermore, while industry observers are hopeful that there will continue to be incremental federal cannabis policy reform, we cannot provide assurances about the content, timing or chances of passage of a bill legalizing cannabis. In recent years, members of the U.S. Congress from both parties have introduced bills to end the federal cannabis prohibition, by de-scheduling cannabis completely and regulating it, as well as incremental reform bills, including the “Medical Marijuana and Cannabidiol Research Expansion Act” described above. While the timing of federal reform remains unknown, it is expected that federal policy on cannabis will continue becoming more, rather than less, permissive, and legislative efforts to legalize cannabis or cannabis banking at the national level are likely to continue in 2024. However, the outcome of the 2024 presidential election could impact reform in ways that are unpredictable. Accordingly, we cannot predict the timing of any change in federal law or possible changes in federal enforcement. In the unlikely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spacing w:after="0" w:line="186"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our clients are subject to a variety of U.S. and foreign laws regarding financial transactions related to cannabis, which could subject our clients to legal claims or otherwise adversely affect our business.</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and our clients are subject to a variety of laws and regulations in the United States regarding financial transactions. Violations of the U.S. anti-money laundering (“AML”) laws require proceeds from enumerated criminal activity, which includes trafficking in cannabis in violation of the CSA. Financial institutions that both we and our clients rely on are subject to the Bank Secrecy Act, as amended by Title III of the USA Patriot Act. In Canada, the Proceeds of Crime (Money Laundering) and Terrorist Financing Act (Canada), as amended and the rules and regulations thereunder and the Criminal Code (Canada) apply. The penalties for violation of these laws include imprisonment, substantial fines and forfeiture.</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2014, the DOJ under the Obama administration directed federal prosecutors to exercise restraint in prosecuting AML violations arising in the state legal cannabis programs and to consider the federal enforcement priorities enumerated in the Cole Memo when determining whether to charge institutions or individuals based upon cannabis-related activity. Around the same time, the Treasury Department issued guidance that clarified how financial institutions can provide services to cannabis-related businesses, consistent with financial institutions’ obligations under the Bank Secrecy Act. Then-Attorney General Sessions’ rescission of the DOJ’s guidance on the state cannabis programs in early 2018 increased uncertainty and heightened the risk that federal law enforcement authorities could seek to pursue money laundering charges against entities, or individuals, engaged in supporting the cannabis industry.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January 31, 2018, the Treasury Department issued additional guidance that the 2014 Guidance would remain in place until further notice, despite the rescission of the DOJ’s earlier guidance memoranda. A detailed description of current U.S. policy and the legal status of cannabis, including President Biden’s stance on cannabis enforcement and current and foreseeable decriminalization and legalization initiatives, can be found in the “U.S. and Territories” section.</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are subject to a variety of laws and regulations in the United States, Canada and elsewhere that prohibit money laundering, including the Proceeds of Crime and Terrorist Financing Act (Canada) and the Money Laundering Control Act (U.S.), as amended, and the rules and regulations thereunder and any related or similar rules, regulations or guidelines issued, administered or enforced by governmental authorities in the United States, Canada or any other jurisdiction in which we have business operations or to which we export our offerings. If any of our clients’ business activities, any dividends or distributions therefrom, or any profits or revenue accruing thereby are found to be in violation of money laundering statutes, our clients could be subject to criminal liability and significant penalties and fines. Any violations of these laws, or allegations of such violations, by our clients could disrupt our operations and involve significant management distraction and expenses. As a result, a significant number of our clients facing money laundering charges could materially affect our business, operations and financial condition. Additionally, proceeds from our clients’ business activities, including payments we have received from those clients, could be subject to seizure or forfeiture if they are found to be illegal proceeds of a crime transmitted in violation of anti-money laundering laws, which could have a material adverse effect on our business. Finally, if any of our clients are found to be violating the above statutes, this could have a material adverse effect on their ability to access or maintain financial services, as discussed in detail below, which could, in turn, have a material adverse effect on our business.</w:t>
      </w:r>
    </w:p>
    <w:p>
      <w:pPr>
        <w:spacing w:after="0" w:line="191"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banking relations, and we may have difficulty accessing or consistently maintaining banking or other financial services due to our connection with the cannabis industry.</w:t>
      </w:r>
    </w:p>
    <w:p>
      <w:pPr>
        <w:spacing w:after="0" w:line="5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Although we do not grow or sell cannabis products, our general connection with the cannabis industry may hamper our efforts to do business or establish collaborative relationships with others that may fear disruption or increased regulatory scrutiny of their own activities.</w:t>
      </w:r>
    </w:p>
    <w:p>
      <w:pPr>
        <w:spacing w:after="0" w:line="68"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are dependent on the banking industry to support the financial functions of our products and solutions. Our business operating functions including payroll for our employees and other expenses are reliant on traditional banking. Additionally, many of our clients pay us via wire transfer to our bank accounts, or via checks that we deposit into our banks. We require access to banking services for both us and our clients to receive payments in a timely manner. Lastly, to the extent we rely on any lines of credit, these could be affected by our relationships with financial institutions and could be jeopardized if we lose access to a bank account. Important components of our offerings depend on client accounts and relationships, which in turn depend on banking functions. Most federal and federally-insured state banks currently do not serve businesses that grow and sell cannabis products on the stated ground that growing and selling cannabis is illegal under federal law, even though the Treasury Department’s Financial Crimes Enforcement Network (“FinCEN”), issued guidelines to banks in February 2014 that clarified how financial institutions can provide services to cannabis-related businesses, consistent with financial institutions’ obligations under the Bank Secrecy Act. While the federal government has generally not initiated financial crimes prosecutions against state-law compliant cannabis companies or their vendors, the government theoretically could, at least against companies in the adult-use markets. The continued uncertainty surrounding financial transactions related to cannabis activities and the subsequent risks this uncertainty presents to financial institutions may result in their discontinuing services to the cannabis industry or limit their ability to provide services to the cannabis industry or ancillary businesses providing services to the cannabis industry.</w:t>
      </w:r>
    </w:p>
    <w:p>
      <w:pPr>
        <w:spacing w:after="0" w:line="85" w:lineRule="exact"/>
        <w:rPr>
          <w:sz w:val="20"/>
          <w:szCs w:val="20"/>
          <w:color w:val="auto"/>
        </w:rPr>
      </w:pPr>
    </w:p>
    <w:p>
      <w:pPr>
        <w:jc w:val="both"/>
        <w:ind w:left="300" w:right="299"/>
        <w:spacing w:after="0" w:line="270" w:lineRule="auto"/>
        <w:rPr>
          <w:sz w:val="20"/>
          <w:szCs w:val="20"/>
          <w:color w:val="auto"/>
        </w:rPr>
      </w:pPr>
      <w:r>
        <w:rPr>
          <w:rFonts w:ascii="Times New Roman" w:cs="Times New Roman" w:eastAsia="Times New Roman" w:hAnsi="Times New Roman"/>
          <w:sz w:val="17"/>
          <w:szCs w:val="17"/>
          <w:color w:val="auto"/>
        </w:rPr>
        <w:t>As a result of federal-level illegality and the risk that providing services to state-licensed cannabis businesses poses to banks, cannabis-related businesses face difficulties accessing banks that will provide services to them. When cannabis businesses are able to find a bank that will provide services, they face extensive client due diligence in light of complex state regulatory requirements and guidance from FinCEN, and these reviews may be time-consuming and costly, potentially creating additional barriers to financial services for, and imposing additional compliance requirements on, us and our clients. FinCEN requires a party in trade or business to file with the IRS, a Form 8300 report within 15 days of receiving a cash payment of over $10,000. While we receive very few cash payments for the products we sell, if we fail to comply with these laws and regulations, the imposition of a substantial penalty could have a material adverse effect on our business, results of operations and financial condition. We cannot assure that our strategies and techniques for designing our products and solutions for our clients will operate effectively and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efficiently and not be adversely impacted by any refusal or reluctance of banks to serve businesses that grow and sell cannabis products. A change in banking regulations or a change in the position of the banking industry that permits banks to serve businesses that grow and sell cannabis products may increase competition for us, facilitate new entrants into the industry offering products or solutions similar to those that we offer, or otherwise adversely affect our results of operations. Also, the inability of potential clients in our target market to open accounts and otherwise use the services of banks or other financial institutions may make it difficult for us to conduct business, including receiving payments in a timely manner.</w:t>
      </w:r>
    </w:p>
    <w:p>
      <w:pPr>
        <w:spacing w:after="0" w:line="8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do not sell cannabis, or products that contain cannabis; accordingly, our company is not part of the cannabis industry that generally has been restricted from using federal and federally insured banks. However, because of “weed” in our name and the fact that our revenue is generated largely from companies licensed as operators in the cannabis industry, banks have and may continue to consider us to be subject to banking restrictions related to cannabis. If we were to lose any of our banking relationships or fail to secure additional banking relationships in the future, we could experience difficulty and incur increased costs in the administration of our business, paying our employees, accepting payments from clients, each of which may adversely affect our reputation or results of operations. Additionally, the closure of many or one of our bank accounts due to a bank’s reluctance to provide services to a business working with state legal cannabis businesses would require significant management attention from us and could materially adversely affect our business and operations. In addition to banks and financial institutions, merchant processors may take a similar view of the risks of working with us since we provide services to cannabis businesses, and loss of any of our merchant processor relationships could have similar results. Moreover, Visa and Mastercard currently prohibit processing of transactions involving the sale of cannabis on their networks, and Mastercard has reportedly issued cease-and-desist letters to certain banks and payment processors to stop allowing such transactions on its debit cards. Although consumers cannot currently purchase products on the Weedmaps marketplace and we do not currently use, nor have we historically used, any of our merchant processing relationships to process payments for cannabis transactions, to the extent Visa or Mastercard extend these restrictions to cannabis-related businesses, our merchant processing relationships could be terminated, or we could be prevented from processing any Visa or Mastercard transactions, which could have a material adverse effect on our business and results of operations. Furthermore, our clients may be adversely impacted by Visa’s or Mastercard’s policies, which could in turn have a material adverse effect on our business and results of operations.</w:t>
      </w:r>
    </w:p>
    <w:p>
      <w:pPr>
        <w:spacing w:after="0" w:line="184"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Participating in transactions involving proceeds derived from cannabis may constitute criminal money laundering.</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Participating in transactions involving proceeds derived from cannabis may constitute criminal money laundering. It is a federal crime to engage in certain transactions involving the proceeds of a “specified unlawful activity” (a “SUA”) when those transactions are designed to promote an underlying SUA, or conceal the source of the funds. Violations of the CSA and violations of a state’s laws may be deemed to be SUAs. In the event that any of our investments, or any proceeds thereof, any dividends or distributions therefrom, or any profits or revenues were found to be in violation of anti-money laundering legislation or otherwise, such transactions may be viewed as proceeds of crime under one or more of statutes of the United States or any other applicable jurisdiction. This could restrict or otherwise jeopardize our ability to declare or pay dividends, effect other distributions, or subsequently require us to repatriate such funds back to the United States from Canada or other foreign jurisdictions.</w:t>
      </w:r>
    </w:p>
    <w:p>
      <w:pPr>
        <w:spacing w:after="0" w:line="8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any of our clients’ business activities, any dividends or distributions therefrom, or any profits or revenue accruing thereby are found to be in violation of money laundering statutes, we and our investors could be subject to criminal liability and significant penalties and fines. Any violations of these laws, or allegations of such violations could disrupt our operations and involve significant management distraction and expenses. Facing money laundering charges could materially affect our business, operations and financial condition. Additionally, proceeds from our clients’ business activities, if found to be in violation of anti-money laundering laws, could subject payments we have received from those clients to seizure or forfeiture, if they are found to be illegal proceeds of a crime committed by a client, which could have a material adverse effect on our business and our investors. Finally, if we or any of our clients are found to be violating the above statutes, this could have a material adverse effect on our ability to access or maintain financial services, as discussed in detail below, which could, in turn, have a material adverse effect on our business.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using bankruptcy courts due to our involvement in the regulated cannabis industry.</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We currently have no need or plans to seek bankruptcy protection. U.S. courts have held that debtors whose income is derived from cannabis or cannabis assets in violation of the CSA cannot seek federal bankruptcy protections.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Although we are not in the business of growing or processing cannabis or selling or even possessing cannabis or cannabis products, a U.S. court could determine that our revenue is derived from cannabis or cannabis assets and prevent us from obtaining bankruptcy protections if necessary.</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conduct of third parties may jeopardize our business.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cannot guarantee that our systems, protocols and practices will prevent all unauthorized or illegal activities by our clients. Our success depends in part on our clients’ ability to operate consistently with the regulatory and licensing requirements of each state, local and regional jurisdiction in which they operate. We have a dedicated Policy &amp; Compliance Operations team that reviews cannabis license information for operational cannabis retail clients, both on submission and on an ongoing basis, to ensure validity and accuracy. We require all operational cannabis retailer clients, including storefronts and delivery services, to display on their WMH listing a valid, unexpired state-issued license number. For certain of our products or services, we request additional verification and documentation. We cannot ensure that the conduct of our clients, who are third parties, and their actions could expose them to legal sanctions and costs, which would in turn, adversely affect our business and operations.</w:t>
      </w:r>
    </w:p>
    <w:p>
      <w:pPr>
        <w:spacing w:after="0" w:line="2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conduct of third parties may jeopardize our regulatory compliance.</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While we are a technology company, not a cannabis licensee, and as such, are not subject to commercial cannabis regulations that apply to cannabis operators, we cannot guarantee that our systems, protocols and practices will prevent any and all unauthorized or illegal activities by our clients. Our success depends in part on our clients’ ability to operate consistently with the regulatory and licensing requirements of each state, local and regional jurisdiction in which they operate. Despite the procedures and protocols in place for license verification by our Policy &amp; Compliance Operations team, any non-compliance by our clients could put our business at risk, as discussed herein, and could also subject us to potential actions by state regulators, to the extent they could be applied to technology service providers, which could materially adversely affect our business, operations, financial condition, brand and reputation.</w:t>
      </w:r>
    </w:p>
    <w:p>
      <w:pPr>
        <w:spacing w:after="0" w:line="184"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FDA regulation of adult-use and medical-use cannabis, as well as e-cigarettes and other vaping products, could negatively affect the cannabis industry, which would directly affect our financial condition.</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Should the federal government legalize cannabis for adult-use and/or medical-use, it is possible that the U.S. Food and Drug Administration (the “FDA”) would seek to regulate it under the Food, Drug and Cosmetics Act of 1938, as it has with federally legal hemp. Additionally, the FDA may issue rules and regulations including certified good manufacturing practices related to the growth, cultivation, harvesting and processing of adult-use and medical-use cannabis. Clinical trials may be needed to verify efficacy and safety. It is also possible that the FDA would require that facilities where adult-use and medical-use cannabis is grown register with the FDA and comply with certain federally prescribed regulations.</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as a result of the recent lung injuries and deaths associated with e-cigarettes and other vaping products, the FDA and the U.S. Centers for Disease Control and Prevention (the “CDC”) have warned consumers not to use vaping products containing tetrahydrocannabinol (“THC”). While the FDA and the CDC continue to conduct ongoing investigations, it is currently unknown when and whether the FDA will impose additional rules and regulations on e-cigarettes and other vaping products.</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the event that some or all of these regulations are imposed, we do not know what the impact would be on the adult-use and medical-use cannabis industry, including what costs, requirements and possible prohibitions may be enforced. If our clients are unable to comply with any new rules, regulations or registration as prescribed by the FDA, or are unable to do so in a cost-effective manner, our clients may be unable to continue to operate their respective business in its current form, or at all, which may also result in our clients being unable to continue engaging our technology services.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Synthetic or hemp-derived products may compete with cannabis use and products.</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 hemp and pharmaceutical industry may attempt to compete with or dominate the cannabis industry, and in particular, legal cannabis, through the development and distribution of hemp-derived or synthetic products which emulate the effects and treatment of cannabis. If they are successful, the widespread popularity of such products could change the demand, volume and profitability of the cannabis industry. This could adversely affect the ability of our clients to secure long-term profitability and success.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Recently, there has been a proliferation of the extraction of delta-8-THC and other intoxicating cannabinoids from industrial hemp and infusion of these isomers into various saleable and finished products. Utilizing the legality of industrial hemp under U.S. federal law, many such products are available for sale through unlicensed channels and are shipped in interstate commerce. Additionally, some hemp companies sell hemp-derived THC products with state authorization. Given the similar intoxicating effects to cannabis-derived THC, which is an illegal substance under the CSA, and its substantially lower price point, patients and consumers may choose to consume hemp-derived products in lieu of cannabis-derived products. In light of the substantial investment our clients have made and continue to make in state-licensed cannabis facilities, the widespread use of hemp-derived THC or synthetic products could adversely impact our clients, which could, in turn, have a material adverse effect on our business and results of operations.</w:t>
      </w:r>
    </w:p>
    <w:p>
      <w:pPr>
        <w:spacing w:after="0" w:line="190"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believe that Section 230(c)(1) of the Communications Decency Act (“CDA”) provides immunity from civil and state criminal liability, but it is possible that it does not.</w:t>
      </w:r>
    </w:p>
    <w:p>
      <w:pPr>
        <w:spacing w:after="0" w:line="5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believe that Section 230(c)(1)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website, such as WM News, WM Learn and WM Policy. All of these sections are general news and information, and none of these sections are advertisements for, or listing pages of, cannabis businesses, except in limited circumstances related to descriptions of certain cannabis strains. For additional information about Section 230, see the section captioned “Risk Factors—Risks Related to our Business and Industry.” Our clients are subject to licensing and related requirements under applicable laws and regulations, and our own compliance policies, and some of our clients currently and in the future may not be in compliance with all such requirements. Despite our belief that we are protected by Section 230, it is possible that we are not, which would subject us to legal, business and operational risks. In addition, there have been various Congressional efforts to restrict the scope of the protections available to online platforms under Section 230 of the CDA, and our current protections from liability for third-party content in the United States could decrease or change. We could incur significant costs investigating and defending such claims and, if we are found liable, significant damages. We could also face fines or orders restricting or blocking our services in particular geographies as a result of content hosted on our services. For example, recently enacted legislation in Germany may impose significant fines for failure to comply with certain content removal and disclosure obligations.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continue to be subject to constraints on marketing our products.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Certain of the states in which we operate have enacted strict regulations regarding marketing and sales activities on cannabis products, which could affect our cannabis retail clients’ demand for our listing and marketing services. There may be restrictions on sales and marketing activities of cannabis businesses imposed by government regulatory bodies that can hinder the development of our business and operating results because of the restrictions our clients face. If our clients are unable to effectively market our products and compete for market share, or if the costs of compliance with government legislation and regulation cannot be absorbed through increased selling prices for our products for our clients, this could hamper demand for our products and services from licensed cannabis retailers, which could result in a loss of revenue.</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Cannabis businesses are subject to unfavorable U.S. tax treatment.</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Until and unless cannabis is rescheduled to Schedule III, Section 280E of the Code may continue to apply to cannabis and does not allow any deduction or credit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beyond costs of goods sold and asserting assessments and penalties for additional taxes owed. Section 280E may have a lesser impact on cannabis cultivation and manufacturing operations than on sales operations, which directly affects our clients, who are cannabis retailers. However, Section 280E and related IRS enforcement activity have had a significant impact on the operations of all cannabis companies. While the Section does not directly affect our Company, it lowers our clients’ profitability, and could result in decreased demand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for our listing and marketing services. An otherwise profitable cannabis business may operate at a loss after taking into account its U.S. income tax expenses. This affects us because our sales and operating results could be adversely affected if our clients decrease their marketing budgets and are operating on lower profit margins as a result of unfavorable treatment by the Code.</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Service providers to cannabis businesses may also be subject to unfavorable U.S. tax treatment.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discussed above, under Section 280E of the Code, no deduction or credit is allowed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and asserting assessments and penalties for additional taxes owed. While we do believe that Section 280E does not apply to our business, or ancillary service providers that work with state-licensed cannabis businesses, if the IRS interprets the section to apply, it would significantly and materially affect our profitability and financial condition.</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Cannabis businesses may be subject to civil asset forfeiture.</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Any property owned by participants in the cannabis industry used in the course of conducting such business, or that represents proceeds of such business or is traceable to proceeds of such business, could be subject to seizure by law enforcement and subsequent civil asset forfeiture because of the illegality of the cannabis industry under federal law. Even if the owner of the property or the assets is never charged with a crime, the property in question could still be seized and subject to an administrative proceeding by which, with minimal due process, it could be subject to forfeiture. Forfeiture of assets of our cannabis business clients could adversely affect our revenues if it impedes their profitability or operations and our clients’ ability to continue to subscribe to our services.</w:t>
      </w:r>
    </w:p>
    <w:p>
      <w:pPr>
        <w:spacing w:after="0" w:line="185"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our involvement in the cannabis industry, we may have a difficult time obtaining the various insurances that are desired to operate our business, which may expose us to additional risk and financial liability.</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Insurance that is otherwise readily available, such as general liability and directors’ and officers’ insurance, is more difficult for us to find and is more expensive or contains significant exclusions because our clients are cannabis industry participants. There are no guarantees that we will be able to find such insurance coverage in the future or that the cost will be affordable to us. If we are forced to go without such insurance coverage, it may prevent us from entering into certain business sectors, may inhibit our growth, and may expose us to additional risk and financial liabilities. If we experience an uninsured loss, it may result in loss of anticipated cash flow and could materially adversely affect our results of operations, financial condition and business.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There may be difficulty enforcing certain of our commercial agreements and contracts.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Courts will not enforce a contract deemed to involve a violation of law or public policy. Because cannabis remains illegal under U.S. federal law, parties to contracts involving the state legal cannabis industry have argued that the agreement was void as federally illegal or against public policy. Some courts have accepted this argument in certain cases, usually against the company trafficking in cannabis. While courts have enforced contracts related to activities by state-legal cannabis companies, and the trend is generally to enforce contracts with state-legal cannabis companies and their vendors, there remains doubt and uncertainty that we will be able to enforce our commercial agreements in court for this reason. We cannot be assured that we will have a remedy for breach of contract, which would have a material adverse effect on our business.</w:t>
      </w:r>
    </w:p>
    <w:p>
      <w:pPr>
        <w:spacing w:after="0" w:line="188"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directors, officers, employees and investors who are not U.S. citizens may face constraints on cross-border travel into the United States.</w:t>
      </w:r>
    </w:p>
    <w:p>
      <w:pPr>
        <w:spacing w:after="0" w:line="5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Because cannabis remains illegal under U.S. federal law, non-U.S. citizens employed at or investing in companies doing business in the state legal cannabis industry could face detention, denial of entry or lifetime bans from the United States for their business associations with cannabis businesses. Entry to the United States happens at the sole discretion of the officers on duty of the U.S. Customs and Border Protection (“CBP”), and these officers have wide latitude to ask questions to determine the admissibility of a foreign national. The government of Canada has started warning travelers on its website that previous use of cannabis, or any substance prohibited by U.S. federal laws, could mean denial of entry to the United States. Business or financial involvement in the legal cannabis industry in Canada or in the United States could also be grounds for U.S. border guards to deny entry. On September 21, 2018, CBP</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released a statement outlining its current position with respect to enforcement of the laws of the United States. It stated that Canada’s legalization of cannabis will not change CBP enforcement of U.S. laws regarding controlled substances and because cannabis continues to be a controlled substance under U.S. federal law, working in or facilitating the proliferation of the legal marijuana industry in U.S. states where it is deemed legal or in Canada may affect admissibility to the United States. CBP updated its stated policy on October 9, 2018 to clarify that a Canadian citizen coming to the United States for reasons unrelated to the cannabis industry will generally be admissible to the United States.</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a result, CBP has affirmed that employees, directors, officers, managers and investors of companies involved in business activities related to cannabis in the United States or Canada (such as us), who are not U.S. citizens, face the risk of being barred from entry into the United States for life. On October 9, 2018, CBP released an additional policy statement indicating that Canadian citizens working in or facilitating the proliferation of the legal cannabis industry in Canada, if travelling to the United States for reasons unrelated to the cannabis industry, will generally be admissible. However, if the traveler is found to be entering into the United States for reasons related to the cannabis industry, he or she may be deemed inadmissible. Ultimately, travel restrictions imposed on our directors, officers, employees and investors could impair our ability to conduct business and to freely explore new strategic relationships.</w:t>
      </w:r>
    </w:p>
    <w:p>
      <w:pPr>
        <w:spacing w:after="0" w:line="2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Ownership of Our Securities</w:t>
      </w:r>
    </w:p>
    <w:p>
      <w:pPr>
        <w:spacing w:after="0" w:line="11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Concentration of ownership among our existing executive officers, directors and their respective affiliates may prevent new investors from influencing significant corporate decisions.</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As of December 31, 2023, our affiliates, executive officers, directors and their respective affiliates as a group beneficially own approximately 22.3% of our outstanding Class A Common Stock and Class V Common Stock. As a result, these stockholders are able to exercise a significant level of control over all matters requiring stockholder approval, including the election of directors, amendment of our Certificate of Incorporation and approval of significant corporate transactions. This control could have the effect of delaying or preventing a change of control of us or changes in management and will make the approval of certain transactions difficult or impossible without the support of these stockholders.</w:t>
      </w:r>
    </w:p>
    <w:p>
      <w:pPr>
        <w:spacing w:after="0" w:line="185"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under the U.S. federal securities laws, and the reduced reporting requirements applicable to smaller reporting companies could make our common stock less attractive to investors.</w:t>
      </w:r>
    </w:p>
    <w:p>
      <w:pPr>
        <w:spacing w:after="0" w:line="6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are a “smaller reporting company” under U.S. federal securities laws. For as long as we continue to be a smaller reporting company, we may take advantage of exemptions from various reporting requirements that are applicable to other public companies that are not smaller reporting companies, including reduced disclosure obligations regarding executive compensation in our periodic reports and proxy statements. Investors may not find our common stock attractive because we may rely on these exemptions. If some investors find our common stock less attractive as a result, there may be a less active trading market for our common stock and our stock price may be more volatile.</w:t>
      </w: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declare any dividends in the foreseeable future.</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do not anticipate declaring any cash dividends to holders of Class A Common Stock in the foreseeable future. Consequently, investors may need to rely on sales of their shares after price appreciation, which may never occur, as the only way to realize any future gains on their investment.</w:t>
      </w:r>
    </w:p>
    <w:p>
      <w:pPr>
        <w:spacing w:after="0" w:line="172"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designates specific courts as the exclusive forum for certain stockholder litigation matters, which could limit the ability of our stockholders to obtain a favorable forum for disputes with us or our directors, officers or employees.</w:t>
      </w:r>
    </w:p>
    <w:p>
      <w:pPr>
        <w:spacing w:after="0" w:line="6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requires, to the fullest extent permitted by law, that derivative actions brought in our name, actions against current or former directors, officers or other employees for breach of fiduciary duty, other similar actions, any other action as to which the Delaware General Corporation Law (the “DGCL”) confers jurisdiction to the Court of Chancery of the State of Delaware and any action or proceeding concerning the validity of our Certificate of Incorporation or our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unless we consent in writing to the selection of an alternative forum. This provision would not apply to suits brought to enforce a duty or liability created by the Exchange Act or any other claim for which the federal courts have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exclusive jurisdiction. Our Certificate of Incorporation also provides that, unless we consent in writing to the selection of an alternative forum, the federal district courts of the U.S. shall be the exclusive forum for the resolution of any complaint asserting a cause of action arising under the Securities Act. This provision may limit the ability of our stockholders to bring a claim in a judicial forum that such stockholder finds favorable for disputes with us and our directors, officers or other employees and may have the effect of discouraging lawsuits against our directors, officers and other employees. Furthermore, our stockholders may be subject to increased costs to bring these claims, and the exclusive forum provision could have the effect of discouraging claims or limiting investors’ ability to bring claims in a judicial forum that they find favorable.</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 In March 2020, the Delaware Supreme Court issued a decision in </w:t>
      </w:r>
      <w:r>
        <w:rPr>
          <w:rFonts w:ascii="Times New Roman" w:cs="Times New Roman" w:eastAsia="Times New Roman" w:hAnsi="Times New Roman"/>
          <w:sz w:val="18"/>
          <w:szCs w:val="18"/>
          <w:i w:val="1"/>
          <w:iCs w:val="1"/>
          <w:color w:val="auto"/>
        </w:rPr>
        <w:t>Salzburg et al. v. Sciabacucchi</w:t>
      </w:r>
      <w:r>
        <w:rPr>
          <w:rFonts w:ascii="Times New Roman" w:cs="Times New Roman" w:eastAsia="Times New Roman" w:hAnsi="Times New Roman"/>
          <w:sz w:val="18"/>
          <w:szCs w:val="18"/>
          <w:color w:val="auto"/>
        </w:rPr>
        <w:t>, which found that an exclusive forum provision providing for claims under the Securities Act to be brought in federal court is facially valid under Delaware law. We intend to enforce this provision, but we do not know whether courts in other jurisdictions will agree with this decision or enforce it. If a court were to find the exclusive forum provision contained in our Certificate of Incorporation to be inapplicable or unenforceable in an action, we may incur additional costs associated with resolving such action in other jurisdictions, which could harm our business, prospects, financial condition and operating results.</w:t>
      </w:r>
    </w:p>
    <w:p>
      <w:pPr>
        <w:spacing w:after="0" w:line="190"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 of a substantial number of our shares in the public market could cause the market price of our Class A Common Stock to drop significantly, even if our business is doing well.</w:t>
      </w:r>
    </w:p>
    <w:p>
      <w:pPr>
        <w:spacing w:after="0" w:line="5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 We are unable to predict the effect that sales may have on the prevailing market price of our Class A Common Stock and the public warrants originally issued in the initial public offering of Silver Spike (the “Public Warrants”).</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To the extent the Public Warrants or other exercisable securities are exercised, additional shares of our Class A Common Stock will be issued, which will result in dilution to the holders of our Class A Common Stock and increase the number of shares eligible for resale in the public market. Sales, or the potential sales, of substantial numbers of shares in the public market by the selling security holders could increase the volatility of the market price of our Class A Common Stock or adversely affect the market price of our Class A Common Stock.</w:t>
      </w:r>
    </w:p>
    <w:p>
      <w:pPr>
        <w:spacing w:after="0" w:line="179"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shares of Class A Common Stock or preferred stock, including under our equity incentive plan. Any such issuances would dilute the interest of our stockholders and likely present other risks.</w:t>
      </w:r>
    </w:p>
    <w:p>
      <w:pPr>
        <w:spacing w:after="0" w:line="5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may issue a substantial number of additional shares of Class A Common Stock or preferred stock, including under our equity incentive plan. Any such issuances of additional shares of Class A Common Stock or preferred stock:</w:t>
      </w:r>
    </w:p>
    <w:p>
      <w:pPr>
        <w:spacing w:after="0" w:line="68" w:lineRule="exact"/>
        <w:rPr>
          <w:sz w:val="20"/>
          <w:szCs w:val="20"/>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dilute the equity interests of our investors;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Class A Common Stock if preferred stock is issued with rights senior to those afforded our Class A Common Stock;</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in control if a substantial number of shares of our Class A Common Stock are issued, which may affect, among other things, our ability to use our net operating loss carry forwards, if any, and could result in the resignation or removal of our present officers and directors; and</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Class A Common Stock and/or Warrants.</w:t>
      </w:r>
    </w:p>
    <w:p>
      <w:pPr>
        <w:spacing w:after="0" w:line="221" w:lineRule="exact"/>
        <w:rPr>
          <w:sz w:val="20"/>
          <w:szCs w:val="20"/>
          <w:color w:val="auto"/>
        </w:rPr>
      </w:pPr>
    </w:p>
    <w:p>
      <w:pPr>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our Class A Common Stock and the Public Warrants have been, and may continue to be, volatile, and the value of our Class A Common Stock and Warrants may decline.</w:t>
      </w:r>
    </w:p>
    <w:p>
      <w:pPr>
        <w:spacing w:after="0" w:line="5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market price of our Class A Common Stock and the Public Warrants have been and may continue to be subject to wide fluctuations in response to numerous factors, many of which are beyond our control, including:</w:t>
      </w:r>
    </w:p>
    <w:p>
      <w:pPr>
        <w:spacing w:after="0" w:line="54" w:lineRule="exact"/>
        <w:rPr>
          <w:sz w:val="20"/>
          <w:szCs w:val="20"/>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projected operational and financial results;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effects and enforcement of and changes to laws and regulations, including with respect to the cannabis industry;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or conclusion of legal proceedings that involve us;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or services by us or our competitors;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or joint ventures;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capital-raising activities or commitments;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by investors or analysts of third-party data regarding our business that may not reflect our financial performance;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securities, including short selling of our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civil unrest, war, foreign invasions, terrorism, or public health crises, or responses to such events.</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Furthermore, the stock markets frequently experience extreme price and volume fluctuations that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elections, interest rate changes, or international currency fluctuations, may negatively impact the market price of our Class A Common Stock and the Public Warrants. As a result of such fluctuations, you may not realize any return on your investment in us and may lose some or all of your investment. In the past, companies that have experienced volatility in the market price of their stock have been subject to securities class action litigation or derivative litigation. For example, stockholders have filed or threatened to file derivative lawsuits, purportedly on our behalf, in the past and may do so in the future. Such litigation could result in substantial costs and divert our management’s attention from other business concerns.</w:t>
      </w: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global, regional or local economic and market conditions may adversely affect our business, operating results and financial condition.</w:t>
      </w:r>
    </w:p>
    <w:p>
      <w:pPr>
        <w:spacing w:after="0" w:line="5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performance is subject to global economic conditions and economic conditions in one or more of our key markets, which impact spending by our clients and consumers. A majority of our clients are small and medium-sized businesses that operate one or two retail locations, and their access to capital, liquidity and other financial resources is constrained due to the regulatory restrictions applicable to cannabis businesses. As a result, these clients have been and may be further disproportionately affected by economic downturns.</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Clients may choose to allocate their spending to items other than our platform, especially during economic downturns. Economic conditions may also adversely impact retail sales of cannabis. Declining retail sales of cannabis could result in our clients going out of business or deciding to stop using our platform to conserve financial resources. Negative economic conditions may also affect third parties with whom we have entered into relationships and upon whom we depend in order to grow our business.</w:t>
      </w:r>
    </w:p>
    <w:p>
      <w:pPr>
        <w:spacing w:after="0" w:line="75"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Furthermore, economic downturns could also lead to limitations on our ability to obtain debt or equity financing on favorable terms or at all, reduced liquidity, decreases in the market price of our securities, decreases in the fair market value of our financial or other assets, and write-downs of and increased credit and collectability risk on our trade receivables, any of which could have a material adverse effect on our business, operating results or financial condition.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Catastrophic events may disrupt our business and impair our ability to provide our platform to clients and consumers, resulting in costs for remediation, client and consumer dissatisfaction and other business or financial losses.</w:t>
      </w:r>
    </w:p>
    <w:p>
      <w:pPr>
        <w:spacing w:after="0" w:line="6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Our operations depend, in part, on our ability to protect our facilities against damage or interruption from natural disasters, power or telecommunications failures, criminal acts and similar events. Despite precautions taken at our facilities, the occurrence of a natural disaster, an act of terrorism, vandalism or sabotage, spikes in usage volume or other unanticipated problems at a facility could result in lengthy interruptions in the availability of our platform. Even with current and planned disaster recovery arrangements, our business could be harmed. Also, in the event of damage or interruption, our insurance policies may not adequately compensate us for any losses that we may incur. These factors in turn could further reduce revenue, subject us to liability and lead to decreased usage of our platform and decrease sales of our advertising placements, any of which could harm our business.</w:t>
      </w:r>
    </w:p>
    <w:p>
      <w:pPr>
        <w:spacing w:after="0" w:line="336"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increased costs and administrative burden as a result of operating as a public company, and our management will continue to devote substantial time to new compliance initiatives.</w:t>
      </w:r>
    </w:p>
    <w:p>
      <w:pPr>
        <w:spacing w:after="0" w:line="51"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As a public company, we are subject to the requirements of the Exchange Act, the Sarbanes-Oxley Act, the Dodd-Frank Wall Street Reform and Consumer Protection Act of 2010, and the rules and regulations promulgated and to be promulgated thereunder, Public Company Accounting Oversight Board (the “PCAOB”), as well as rules adopted, and to be adopted, by the SEC and the Nasdaq Stock Market (“Nasdaq”). Our management and other personnel devote a substantial amount of time to these compliance initiatives. Moreover, we expect these rules and regulations to substantially increase our legal and financial compliance costs and to make some activities more time-consuming and costly. The increased costs will increase our net loss or reduce our net income. Compliance with public company requirements will increase costs and make certain activities more time-consuming. A number of those requirements will require us to carry out activities we have not done previously. For example, we created new board committees and adopted new internal controls and disclosure controls and procedures. In addition, expenses associated with SEC reporting requirements will be incurred. Furthermore, if any issues in complying with those requirements are identified (for example, our recent identification of material weaknesses in our internal controls over financial reporting and any additional material weaknesses or significant deficiency in the internal control over financial reporting that we or our independent registered public accounting firm may identify in the future), we could incur additional costs rectifying those issues, and the existence of those issues could adversely affect our reputation or investor perceptions of it. It may also be more expensive to obtain director and officer liability insurance. We cannot predict or estimate the amount or timing of additional costs it may incur to respond to these requirements. The impact of these requirements could also make it more difficult for us to attract and retain qualified persons to serve on our board of directors, our board committees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349"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may engage in misconduct or other improper activities, which could have an adverse effect on our business, prospects, financial condition and operating results.</w:t>
      </w:r>
    </w:p>
    <w:p>
      <w:pPr>
        <w:spacing w:after="0" w:line="5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are exposed to the risk that our employees and independent contractors may engage in misconduct or other illegal activity. Misconduct by these parties could include intentional, reckless or negligent conduct or other activities that violate laws and regulations, including production standards, U.S. federal and state fraud, abuse, data privacy and security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operating results, including, without limitation, the imposition of significant civil, criminal and administrative penalties, damages, monetary fines, disgorgement,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operating results.</w:t>
      </w:r>
    </w:p>
    <w:p>
      <w:pPr>
        <w:spacing w:after="0" w:line="334" w:lineRule="exact"/>
        <w:rPr>
          <w:sz w:val="20"/>
          <w:szCs w:val="20"/>
          <w:color w:val="auto"/>
        </w:rPr>
      </w:pPr>
    </w:p>
    <w:p>
      <w:pPr>
        <w:jc w:val="both"/>
        <w:ind w:left="300" w:right="2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Certain securities and industry analysts may not publish, have in the past ceased publishing, or may in the future cease publishing research or reports about us, our business or our market, or may adversely change their recommendations regarding our Class A Common Stock, which could cause the price and trading volume of our Class A Common Stock to decline.</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trading market for our Class A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the price of our Class A Common Stock would likely decline. If any analyst who may cover us were to cease their coverage or fail to regularly publish reports on us, we could lose visibility in the financial markets, which could cause our stock price or trading volume to decline.</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sufficient funds to satisfy indemnification claims of our directors and executive officers.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have agreed to indemnify our officers and directors to the fullest extent permitted by law. Accordingly, any indemnification provided will be able to be satisfied by us only if we have sufficient funds.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All of the Class A Common Stock and Warrants offered by the Selling Securityholders pursuant to this prospectus will be sold by the Selling Securityholders for their respective accounts. We will not receive any of the proceeds from these sales.</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will receive up to an aggregate of approximately $224.3 million from the exercise of the Warrants, assuming the exercise in full of all of the Warrants for cash. We expect to use the net proceeds from the exercise of the Warrants for general corporate purposes. We will have broad discretion over the use of proceeds from the exercise of the Warrants. There is no assurance that the holders of the Warrants will elect to exercise any or all of such Warrants. To the extent that the Warrants are exercised on a “cashless basis,” the amount of cash we would receive from the exercise of the Warrants will decrease.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 AND DIVIDEND POLICY</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Class A Common Stock and Public Warrants are currently listed on Nasdaq under the symbols “MAPS” and “MAPSW”, respectively. As of July 22, 2024, there were 96,948,250 shares of Class A Common Stock issued and outstanding and 55,486,361 shares of our Class V common stock (the “Class V Common Stock”) issued and outstanding. No market exists for the Class V Common Stock.</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of July 22, 2024, there were 115 holders of record of our Class A Common Stock, 12 holders of record of our Class V Common Stock and 2 holders of record of our Public Warrants.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have not paid any cash dividends on the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we or our subsidiaries incur. We do not anticipate declaring any cash dividends to holders of Common Stock in the foreseeable future.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19"/>
        <w:spacing w:after="0" w:line="286"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49"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notes to those statements included in this prospectus. Certain information contained in the discussion and analysis set forth below contains forward-looking statements that involve risks and uncertainties. Our actual results may differ materially from those anticipated in these forward-looking statements as a result of many factors. Please see the sections entitled “Cautionary Note Regarding Forward-Looking Statements” and “Risk Factors” and elsewhere in this prospectus.</w:t>
      </w:r>
    </w:p>
    <w:p>
      <w:pPr>
        <w:spacing w:after="0" w:line="2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First Quarter 2024 Financial Highlights</w:t>
      </w:r>
    </w:p>
    <w:p>
      <w:pPr>
        <w:spacing w:after="0" w:line="121" w:lineRule="exact"/>
        <w:rPr>
          <w:sz w:val="20"/>
          <w:szCs w:val="20"/>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was $44.4 million as compared to $46.4 million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paying clients was 4,937, as compared to 5,641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revenue per paying clients was $2,997, as compared to $2,743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was $2.0 million as compared to net loss of $4.0 million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$9.6 million.</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Fiscal Year 2023 Financial Highlights</w:t>
      </w:r>
    </w:p>
    <w:p>
      <w:pPr>
        <w:spacing w:after="0" w:line="121" w:lineRule="exact"/>
        <w:rPr>
          <w:sz w:val="20"/>
          <w:szCs w:val="20"/>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was $188.0 million as compared to $215.5 million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paying clients was 5,419, as compared to 5,457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revenue per paying client was $2,891, as compared to $3,291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$15.7 million as compared to $82.7 million in the prior year.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$36.9 million.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totaled $34.4 million as of December 31, 2023, with no long-term debt.</w:t>
      </w:r>
    </w:p>
    <w:p>
      <w:pPr>
        <w:spacing w:after="0" w:line="117"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For further information about how we calculate EBITDA and Adjusted EBITDA as well as limitations of its use and a reconciliation of EBITDA and Adjusted EBITDA to net income (loss), see “Net Income (Loss) to EBITDA and Adjusted EBITDA” under the heading Non-GAAP Financial Measures below.</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business primarily consists of our commerce-driven marketplace (“Weedmaps”), and our fully integrated suite of end-to-end Software-as-a-Service (“SaaS”) solutions software offering (“Weedmaps for Business”). The Weedmaps marketplace is a premier destination for cannabis consumers to discover and browse information regarding cannabis and cannabis products with 4,937 average monthly paying business clients during the three months ended March 31, 2024 on the supply-side of our marketplace. These paying clients include retailers, brands and other client types (such as doctors). Further, these clients, who can choose to purchase multiple listings solutions for each business, had purchased approximately 7,800 listing pages as of March 31, 2024.</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sell our Weedmaps for Business suite in the United States and have a limited number of non-monetized listings in several other countries including Austria, Canada, Germany, the Netherlands, Spain and Switzerland. We operate in the United States, Canada and other foreign jurisdictions where medical and/or adult cannabis use is legal under state or national law. As of March 31, 2024, we actively operated in over 35 U.S. states and territories that have adult-use and/or medical-use regulations in place. Substantially all of our revenue was generated in the United States during the periods presented. We define actively operated markets as those U.S. states or territories with greater than $1,000 monthly revenue.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mission is to power a transparent and inclusive global cannabis economy. Our technology addresses the challenges facing both consumers seeking to understand cannabis products and businesses who serve cannabis users in a legally compliant fashion. Since our founding in 2008, Weedmaps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we continue to expand the presence and increase the number of consumers on the Weedmaps marketplace and broaden our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 making investments in raising brand awareness, increasing penetration within existing markets and expanding to new markets, as well as continuing to develop and monetize new solutions to extend the functionality of our platform. These investments serve to deepen the consumer experience with our platform and continue to provide a high level of support to our business clients.</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We monitor the following key financial and operational metrics to evaluate our business, measure our performance, identify trends affecting our business, formulate business plans, and make strategic decisions.</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following tables summarize our financial performance for three months ended March 31, 2024 compared with the same period in 2023 and for the year ended December 31, 2023 compared to our financial performance for the years ended December 31, 2022 and 2021. For a detailed discussion of our results of operations, see “Results of Operations for the Three Months Ended March 31, 2024 and 2023” and “Results of Operations for the Years Ended December 31, 2023, 2022 and 2021” below.</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March 31, 2024 and 2023</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21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50"/>
        </w:trPr>
        <w:tc>
          <w:tcPr>
            <w:tcW w:w="630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227"/>
        </w:trPr>
        <w:tc>
          <w:tcPr>
            <w:tcW w:w="6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9"/>
                <w:szCs w:val="19"/>
                <w:color w:val="auto"/>
              </w:rPr>
            </w:pPr>
          </w:p>
        </w:tc>
        <w:tc>
          <w:tcPr>
            <w:tcW w:w="6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50"/>
        </w:trPr>
        <w:tc>
          <w:tcPr>
            <w:tcW w:w="6300" w:type="dxa"/>
            <w:vAlign w:val="bottom"/>
          </w:tcPr>
          <w:p>
            <w:pPr>
              <w:spacing w:after="0"/>
              <w:rPr>
                <w:sz w:val="4"/>
                <w:szCs w:val="4"/>
                <w:color w:val="auto"/>
              </w:rPr>
            </w:pPr>
          </w:p>
        </w:tc>
        <w:tc>
          <w:tcPr>
            <w:tcW w:w="2120" w:type="dxa"/>
            <w:vAlign w:val="bottom"/>
            <w:tcBorders>
              <w:bottom w:val="single" w:sz="8" w:color="auto"/>
            </w:tcBorders>
            <w:gridSpan w:val="4"/>
          </w:tcPr>
          <w:p>
            <w:pPr>
              <w:spacing w:after="0"/>
              <w:rPr>
                <w:sz w:val="4"/>
                <w:szCs w:val="4"/>
                <w:color w:val="auto"/>
              </w:rPr>
            </w:pPr>
          </w:p>
        </w:tc>
      </w:tr>
      <w:tr>
        <w:trPr>
          <w:trHeight w:val="185"/>
        </w:trPr>
        <w:tc>
          <w:tcPr>
            <w:tcW w:w="6300" w:type="dxa"/>
            <w:vAlign w:val="bottom"/>
          </w:tcPr>
          <w:p>
            <w:pPr>
              <w:spacing w:after="0"/>
              <w:rPr>
                <w:sz w:val="16"/>
                <w:szCs w:val="16"/>
                <w:color w:val="auto"/>
              </w:rPr>
            </w:pPr>
          </w:p>
        </w:tc>
        <w:tc>
          <w:tcPr>
            <w:tcW w:w="21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thousands, except for</w:t>
            </w:r>
          </w:p>
        </w:tc>
      </w:tr>
      <w:tr>
        <w:trPr>
          <w:trHeight w:val="190"/>
        </w:trPr>
        <w:tc>
          <w:tcPr>
            <w:tcW w:w="6300" w:type="dxa"/>
            <w:vAlign w:val="bottom"/>
          </w:tcPr>
          <w:p>
            <w:pPr>
              <w:spacing w:after="0"/>
              <w:rPr>
                <w:sz w:val="16"/>
                <w:szCs w:val="16"/>
                <w:color w:val="auto"/>
              </w:rPr>
            </w:pPr>
          </w:p>
        </w:tc>
        <w:tc>
          <w:tcPr>
            <w:tcW w:w="21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 per paying client)</w:t>
            </w:r>
          </w:p>
        </w:tc>
      </w:tr>
      <w:tr>
        <w:trPr>
          <w:trHeight w:val="50"/>
        </w:trPr>
        <w:tc>
          <w:tcPr>
            <w:tcW w:w="630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1060" w:type="dxa"/>
            <w:vAlign w:val="bottom"/>
            <w:gridSpan w:val="2"/>
          </w:tcPr>
          <w:p>
            <w:pPr>
              <w:spacing w:after="0"/>
              <w:rPr>
                <w:sz w:val="4"/>
                <w:szCs w:val="4"/>
                <w:color w:val="auto"/>
              </w:rPr>
            </w:pPr>
          </w:p>
        </w:tc>
      </w:tr>
      <w:tr>
        <w:trPr>
          <w:trHeight w:val="378"/>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r>
              <w:rPr>
                <w:rFonts w:ascii="Times New Roman" w:cs="Times New Roman" w:eastAsia="Times New Roman" w:hAnsi="Times New Roman"/>
                <w:sz w:val="29"/>
                <w:szCs w:val="29"/>
                <w:color w:val="auto"/>
                <w:vertAlign w:val="superscript"/>
              </w:rPr>
              <w:t>(1)</w:t>
            </w:r>
          </w:p>
        </w:tc>
        <w:tc>
          <w:tcPr>
            <w:tcW w:w="1060" w:type="dxa"/>
            <w:vAlign w:val="bottom"/>
            <w:gridSpan w:val="2"/>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$44,389</w:t>
            </w:r>
          </w:p>
        </w:tc>
        <w:tc>
          <w:tcPr>
            <w:tcW w:w="1060" w:type="dxa"/>
            <w:vAlign w:val="bottom"/>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$46,416</w:t>
            </w: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1,959</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98"/>
              </w:rPr>
              <w:t>(3,969)</w:t>
            </w:r>
          </w:p>
        </w:tc>
      </w:tr>
      <w:tr>
        <w:trPr>
          <w:trHeight w:val="54"/>
        </w:trPr>
        <w:tc>
          <w:tcPr>
            <w:tcW w:w="63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364"/>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29"/>
                <w:szCs w:val="29"/>
                <w:color w:val="auto"/>
                <w:vertAlign w:val="superscript"/>
              </w:rPr>
              <w:t>(2)</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4,894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(802)</w:t>
            </w:r>
          </w:p>
        </w:tc>
      </w:tr>
      <w:tr>
        <w:trPr>
          <w:trHeight w:val="365"/>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(2)</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9,599</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7,130</w:t>
            </w:r>
          </w:p>
        </w:tc>
      </w:tr>
      <w:tr>
        <w:trPr>
          <w:trHeight w:val="365"/>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monthly revenue per paying client</w:t>
            </w:r>
            <w:r>
              <w:rPr>
                <w:rFonts w:ascii="Times New Roman" w:cs="Times New Roman" w:eastAsia="Times New Roman" w:hAnsi="Times New Roman"/>
                <w:sz w:val="29"/>
                <w:szCs w:val="29"/>
                <w:color w:val="auto"/>
                <w:vertAlign w:val="superscript"/>
              </w:rPr>
              <w:t>(1)(3)</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2,997</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2,743</w:t>
            </w:r>
          </w:p>
        </w:tc>
      </w:tr>
      <w:tr>
        <w:trPr>
          <w:trHeight w:val="433"/>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Average monthly paying clients</w:t>
            </w:r>
            <w:r>
              <w:rPr>
                <w:rFonts w:ascii="Times New Roman" w:cs="Times New Roman" w:eastAsia="Times New Roman" w:hAnsi="Times New Roman"/>
                <w:sz w:val="29"/>
                <w:szCs w:val="29"/>
                <w:color w:val="auto"/>
                <w:vertAlign w:val="superscript"/>
              </w:rPr>
              <w:t>(4)</w:t>
            </w:r>
          </w:p>
        </w:tc>
        <w:tc>
          <w:tcPr>
            <w:tcW w:w="300" w:type="dxa"/>
            <w:vAlign w:val="bottom"/>
          </w:tcPr>
          <w:p>
            <w:pPr>
              <w:spacing w:after="0"/>
              <w:rPr>
                <w:sz w:val="24"/>
                <w:szCs w:val="24"/>
                <w:color w:val="auto"/>
              </w:rPr>
            </w:pPr>
          </w:p>
        </w:tc>
        <w:tc>
          <w:tcPr>
            <w:tcW w:w="76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4,937</w:t>
            </w:r>
          </w:p>
        </w:tc>
        <w:tc>
          <w:tcPr>
            <w:tcW w:w="400" w:type="dxa"/>
            <w:vAlign w:val="bottom"/>
          </w:tcPr>
          <w:p>
            <w:pPr>
              <w:spacing w:after="0"/>
              <w:rPr>
                <w:sz w:val="24"/>
                <w:szCs w:val="24"/>
                <w:color w:val="auto"/>
              </w:rPr>
            </w:pP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5,641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-1697355</wp:posOffset>
            </wp:positionV>
            <wp:extent cx="137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110490</wp:posOffset>
            </wp:positionV>
            <wp:extent cx="8229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99" w:lineRule="exact"/>
        <w:rPr>
          <w:sz w:val="20"/>
          <w:szCs w:val="20"/>
          <w:color w:val="auto"/>
        </w:rPr>
      </w:pPr>
    </w:p>
    <w:p>
      <w:pPr>
        <w:jc w:val="both"/>
        <w:ind w:left="640" w:right="299" w:hanging="348"/>
        <w:spacing w:after="0" w:line="24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March 31, 2023, net revenues have been retrospectively adjusted to reflect the restatement of previously reported revenue. See Note 2, “Summary of Significant Accounting Policies,” to our condensed consolidated financial statements included in our Quarterly Report on Form 10-Q for the period ended March 31, 2024 (the “Quarterly Report on Form 10-Q”) for further information.</w:t>
      </w:r>
    </w:p>
    <w:p>
      <w:pPr>
        <w:spacing w:after="0" w:line="1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further information about how we calculate EBITDA and Adjusted EBITDA as well as limitations of its use and a reconciliation of EBITDA and Adjusted EBITDA to net income (loss), see “Net income (loss) to EBITDA and Adjusted EBITDA” below.</w:t>
      </w:r>
    </w:p>
    <w:p>
      <w:pPr>
        <w:ind w:left="640" w:right="319" w:hanging="348"/>
        <w:spacing w:after="0" w:line="26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revenue per paying client is defined as the average monthly revenue for any particular period divided by the average monthly paying clients in the same respective period.</w:t>
      </w:r>
    </w:p>
    <w:p>
      <w:pPr>
        <w:ind w:left="640" w:right="299" w:hanging="348"/>
        <w:spacing w:after="0" w:line="261" w:lineRule="auto"/>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paying clients are defined as the average of the number of paying clients billed in a month across a particular period (and for which services were provided).</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 the Years Ended December 31, 2023, 2022 and 2021</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20" w:type="dxa"/>
            <w:vAlign w:val="bottom"/>
            <w:gridSpan w:val="2"/>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50"/>
        </w:trPr>
        <w:tc>
          <w:tcPr>
            <w:tcW w:w="45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27"/>
        </w:trPr>
        <w:tc>
          <w:tcPr>
            <w:tcW w:w="4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Pr>
          <w:p>
            <w:pPr>
              <w:spacing w:after="0"/>
              <w:rPr>
                <w:sz w:val="19"/>
                <w:szCs w:val="19"/>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9"/>
                <w:szCs w:val="19"/>
                <w:color w:val="auto"/>
              </w:rPr>
            </w:pPr>
          </w:p>
        </w:tc>
        <w:tc>
          <w:tcPr>
            <w:tcW w:w="7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50"/>
        </w:trPr>
        <w:tc>
          <w:tcPr>
            <w:tcW w:w="4520" w:type="dxa"/>
            <w:vAlign w:val="bottom"/>
          </w:tcPr>
          <w:p>
            <w:pPr>
              <w:spacing w:after="0"/>
              <w:rPr>
                <w:sz w:val="4"/>
                <w:szCs w:val="4"/>
                <w:color w:val="auto"/>
              </w:rPr>
            </w:pPr>
          </w:p>
        </w:tc>
        <w:tc>
          <w:tcPr>
            <w:tcW w:w="3900" w:type="dxa"/>
            <w:vAlign w:val="bottom"/>
            <w:tcBorders>
              <w:bottom w:val="single" w:sz="8" w:color="auto"/>
            </w:tcBorders>
            <w:gridSpan w:val="6"/>
          </w:tcPr>
          <w:p>
            <w:pPr>
              <w:spacing w:after="0"/>
              <w:rPr>
                <w:sz w:val="4"/>
                <w:szCs w:val="4"/>
                <w:color w:val="auto"/>
              </w:rPr>
            </w:pPr>
          </w:p>
        </w:tc>
      </w:tr>
      <w:tr>
        <w:trPr>
          <w:trHeight w:val="227"/>
        </w:trPr>
        <w:tc>
          <w:tcPr>
            <w:tcW w:w="4520" w:type="dxa"/>
            <w:vAlign w:val="bottom"/>
          </w:tcPr>
          <w:p>
            <w:pPr>
              <w:spacing w:after="0"/>
              <w:rPr>
                <w:sz w:val="19"/>
                <w:szCs w:val="19"/>
                <w:color w:val="auto"/>
              </w:rPr>
            </w:pPr>
          </w:p>
        </w:tc>
        <w:tc>
          <w:tcPr>
            <w:tcW w:w="3900" w:type="dxa"/>
            <w:vAlign w:val="bottom"/>
            <w:gridSpan w:val="6"/>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(dollars in thousands, except for revenue per paying client)</w:t>
            </w:r>
          </w:p>
        </w:tc>
      </w:tr>
      <w:tr>
        <w:trPr>
          <w:trHeight w:val="51"/>
        </w:trPr>
        <w:tc>
          <w:tcPr>
            <w:tcW w:w="452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1820" w:type="dxa"/>
            <w:vAlign w:val="bottom"/>
            <w:gridSpan w:val="2"/>
          </w:tcPr>
          <w:p>
            <w:pPr>
              <w:spacing w:after="0"/>
              <w:rPr>
                <w:sz w:val="4"/>
                <w:szCs w:val="4"/>
                <w:color w:val="auto"/>
              </w:rPr>
            </w:pPr>
          </w:p>
        </w:tc>
        <w:tc>
          <w:tcPr>
            <w:tcW w:w="1020" w:type="dxa"/>
            <w:vAlign w:val="bottom"/>
            <w:gridSpan w:val="2"/>
          </w:tcPr>
          <w:p>
            <w:pPr>
              <w:spacing w:after="0"/>
              <w:rPr>
                <w:sz w:val="4"/>
                <w:szCs w:val="4"/>
                <w:color w:val="auto"/>
              </w:rPr>
            </w:pPr>
          </w:p>
        </w:tc>
      </w:tr>
      <w:tr>
        <w:trPr>
          <w:trHeight w:val="318"/>
        </w:trPr>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060" w:type="dxa"/>
            <w:vAlign w:val="bottom"/>
            <w:tcBorders>
              <w:bottom w:val="single" w:sz="8" w:color="CCEEFF"/>
            </w:tcBorders>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$187,993</w:t>
            </w:r>
          </w:p>
        </w:tc>
        <w:tc>
          <w:tcPr>
            <w:tcW w:w="1820" w:type="dxa"/>
            <w:vAlign w:val="bottom"/>
            <w:tcBorders>
              <w:bottom w:val="single" w:sz="8" w:color="CCEEFF"/>
            </w:tcBorders>
            <w:gridSpan w:val="2"/>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$215,531</w:t>
            </w:r>
          </w:p>
        </w:tc>
        <w:tc>
          <w:tcPr>
            <w:tcW w:w="10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$193,146</w:t>
            </w:r>
          </w:p>
        </w:tc>
      </w:tr>
      <w:tr>
        <w:trPr>
          <w:trHeight w:val="27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(15,727)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w w:val="97"/>
              </w:rPr>
              <w:t>(82,651)</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$152,218</w:t>
            </w:r>
          </w:p>
        </w:tc>
      </w:tr>
      <w:tr>
        <w:trPr>
          <w:trHeight w:val="54"/>
        </w:trPr>
        <w:tc>
          <w:tcPr>
            <w:tcW w:w="45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20" w:type="dxa"/>
            <w:vAlign w:val="bottom"/>
            <w:gridSpan w:val="2"/>
          </w:tcPr>
          <w:p>
            <w:pPr>
              <w:spacing w:after="0"/>
              <w:rPr>
                <w:sz w:val="4"/>
                <w:szCs w:val="4"/>
                <w:color w:val="auto"/>
              </w:rPr>
            </w:pPr>
          </w:p>
        </w:tc>
        <w:tc>
          <w:tcPr>
            <w:tcW w:w="1020" w:type="dxa"/>
            <w:vAlign w:val="bottom"/>
            <w:gridSpan w:val="2"/>
          </w:tcPr>
          <w:p>
            <w:pPr>
              <w:spacing w:after="0"/>
              <w:rPr>
                <w:sz w:val="4"/>
                <w:szCs w:val="4"/>
                <w:color w:val="auto"/>
              </w:rPr>
            </w:pPr>
          </w:p>
        </w:tc>
      </w:tr>
      <w:tr>
        <w:trPr>
          <w:trHeight w:val="365"/>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29"/>
                <w:szCs w:val="29"/>
                <w:color w:val="auto"/>
                <w:vertAlign w:val="superscript"/>
              </w:rPr>
              <w:t>(1)</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(3,534)</w:t>
            </w:r>
          </w:p>
        </w:tc>
        <w:tc>
          <w:tcPr>
            <w:tcW w:w="1820" w:type="dxa"/>
            <w:vAlign w:val="bottom"/>
            <w:gridSpan w:val="2"/>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$107,924</w:t>
            </w:r>
          </w:p>
        </w:tc>
        <w:tc>
          <w:tcPr>
            <w:tcW w:w="1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$156,042</w:t>
            </w:r>
          </w:p>
        </w:tc>
      </w:tr>
      <w:tr>
        <w:trPr>
          <w:trHeight w:val="36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36,907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(9,633)</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31,698</w:t>
            </w:r>
          </w:p>
        </w:tc>
      </w:tr>
      <w:tr>
        <w:trPr>
          <w:trHeight w:val="364"/>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monthly revenue per paying client</w:t>
            </w:r>
            <w:r>
              <w:rPr>
                <w:rFonts w:ascii="Times New Roman" w:cs="Times New Roman" w:eastAsia="Times New Roman" w:hAnsi="Times New Roman"/>
                <w:sz w:val="29"/>
                <w:szCs w:val="29"/>
                <w:color w:val="auto"/>
                <w:vertAlign w:val="superscript"/>
              </w:rPr>
              <w:t>(2)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2,891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3,291</w:t>
            </w: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3,711</w:t>
            </w:r>
          </w:p>
        </w:tc>
      </w:tr>
      <w:tr>
        <w:trPr>
          <w:trHeight w:val="43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Average monthly paying clients</w:t>
            </w:r>
            <w:r>
              <w:rPr>
                <w:rFonts w:ascii="Times New Roman" w:cs="Times New Roman" w:eastAsia="Times New Roman" w:hAnsi="Times New Roman"/>
                <w:sz w:val="29"/>
                <w:szCs w:val="29"/>
                <w:color w:val="auto"/>
                <w:vertAlign w:val="superscript"/>
              </w:rPr>
              <w:t>(3)</w:t>
            </w:r>
          </w:p>
        </w:tc>
        <w:tc>
          <w:tcPr>
            <w:tcW w:w="360" w:type="dxa"/>
            <w:vAlign w:val="bottom"/>
          </w:tcPr>
          <w:p>
            <w:pPr>
              <w:spacing w:after="0"/>
              <w:rPr>
                <w:sz w:val="24"/>
                <w:szCs w:val="24"/>
                <w:color w:val="auto"/>
              </w:rPr>
            </w:pP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5,419</w:t>
            </w:r>
          </w:p>
        </w:tc>
        <w:tc>
          <w:tcPr>
            <w:tcW w:w="680" w:type="dxa"/>
            <w:vAlign w:val="bottom"/>
          </w:tcPr>
          <w:p>
            <w:pPr>
              <w:spacing w:after="0"/>
              <w:rPr>
                <w:sz w:val="24"/>
                <w:szCs w:val="24"/>
                <w:color w:val="auto"/>
              </w:rPr>
            </w:pP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5,457</w:t>
            </w:r>
          </w:p>
        </w:tc>
        <w:tc>
          <w:tcPr>
            <w:tcW w:w="240" w:type="dxa"/>
            <w:vAlign w:val="bottom"/>
          </w:tcPr>
          <w:p>
            <w:pPr>
              <w:spacing w:after="0"/>
              <w:rPr>
                <w:sz w:val="24"/>
                <w:szCs w:val="24"/>
                <w:color w:val="auto"/>
              </w:rPr>
            </w:pPr>
          </w:p>
        </w:tc>
        <w:tc>
          <w:tcPr>
            <w:tcW w:w="7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4,337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4677410</wp:posOffset>
            </wp:positionH>
            <wp:positionV relativeFrom="paragraph">
              <wp:posOffset>-1577340</wp:posOffset>
            </wp:positionV>
            <wp:extent cx="1289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-1577340</wp:posOffset>
            </wp:positionV>
            <wp:extent cx="137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50800</wp:posOffset>
            </wp:positionV>
            <wp:extent cx="8229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04" w:lineRule="exact"/>
        <w:rPr>
          <w:sz w:val="20"/>
          <w:szCs w:val="20"/>
          <w:color w:val="auto"/>
        </w:rPr>
      </w:pPr>
    </w:p>
    <w:p>
      <w:pPr>
        <w:jc w:val="both"/>
        <w:ind w:left="640" w:right="299" w:hanging="348"/>
        <w:spacing w:after="0" w:line="241" w:lineRule="auto"/>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further information about how we calculate EBITDA and Adjusted EBITDA as well as limitations of its use and a reconciliation of EBITDA and Adjusted EBITDA to net income (loss), see “Net Income (Loss) to EBITDA and Adjusted EBITDA” under the heading “Non-GAAP Financial Measures” below.</w:t>
      </w:r>
    </w:p>
    <w:p>
      <w:pPr>
        <w:spacing w:after="0" w:line="14"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revenue per paying client is defined as the average monthly revenue for any particular period divided by the average monthly paying clients in the same respective period.</w:t>
      </w:r>
    </w:p>
    <w:p>
      <w:pPr>
        <w:ind w:left="640" w:right="299" w:hanging="348"/>
        <w:spacing w:after="0" w:line="261" w:lineRule="auto"/>
        <w:tabs>
          <w:tab w:leader="none" w:pos="6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monthly paying clients are defined as the average of the number of paying clients billed in a month across a particular period (and for which services were provided).</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Income (loss) to EBITDA and Adjusted EBITDA</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Our financial statements, including net income (loss), are prepared in accordance with GAAP. For more information regarding the components within our net income (loss), see “Components of Our Results of Operations” below.</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income for the three months ended March 31, 2024 was $2.0 million compared to net loss of $4.0 million for the three months ended March 31, 2023. The increase in net income was primarily due to decrease in operating expenses of $9.9 million, which was partially offset by a decrease in revenue of $2.0 million and unfavorable change in fair value of warrant liability of $1.6 million.</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Net loss for the year ended December 31, 2023 was $15.7 million compared to a net loss of $82.7 million for the year ended December 31, 2022. The decrease in net loss of $66.9 million was primarily due to a decrease in revenue of $27.5 million, a decrease in comparatively favorable change in fair value of warrant liability of $23.9 million, a decrease in income from the change in tax receivables agreement liability of $143.6 million resulting from the remeasurement of the TRA liability, a decrease in total costs and expenses of $78.7 million, a decrease in provision from income taxes of $179.0 million resulting from the full valuation recorded against our deferred tax assets during the year ended December 31, 2022 and an increase in other expense of $4.2 million.</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have disclosed EBITDA and Adjusted EBITDA, both of which are non-GAAP financial measures that we calculate as net income (loss) before interest, taxes and depreciation and amortization expense in the case of EBITDA and further adjusted to exclude stock-based compensation, change in fair value of warrant liability, transaction related bonus, legal settlements and other legal costs, discharge of holdback obligation related to prior acquisition, reduction in force, asset impairment charges, transaction costs, change in TRA liability and other non-cash, unusual and/or infrequent costs in the case of Adjusted EBITDA. Below we have provided a reconciliation of net income (loss) (the most directly comparable GAAP financial measure) to EBITDA; and from EBITDA to Adjusted EBITDA.</w:t>
      </w:r>
    </w:p>
    <w:p>
      <w:pPr>
        <w:spacing w:after="0" w:line="8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75"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Each of EBITDA and Adjusted EBITDA has limitations as an analytical tool, and you should not consider any of these non-GAAP financial measures in isolation or as a substitute for analysis of our results as reported under GAAP. Some of these limitations are as follows:</w:t>
      </w:r>
    </w:p>
    <w:p>
      <w:pPr>
        <w:spacing w:after="0" w:line="27" w:lineRule="exact"/>
        <w:rPr>
          <w:sz w:val="20"/>
          <w:szCs w:val="20"/>
          <w:color w:val="auto"/>
        </w:rPr>
      </w:pPr>
    </w:p>
    <w:p>
      <w:pPr>
        <w:jc w:val="both"/>
        <w:ind w:left="1000" w:right="319" w:hanging="348"/>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EBITDA and Adjusted EBITDA do not reflect cash capital expenditure requirements for such replacements or for new capital expenditure requirements;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changes in, or cash requirements for, our working capital needs; and</w:t>
      </w:r>
    </w:p>
    <w:p>
      <w:pPr>
        <w:spacing w:after="0" w:line="26"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tax payments that may represent a reduction in cash available to us.</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Because of these limitations, you should consider EBITDA and Adjusted EBITDA alongside other financial performance measures, including net income (loss) and our other GAAP results.</w:t>
      </w:r>
    </w:p>
    <w:p>
      <w:pPr>
        <w:spacing w:after="0" w:line="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reconciliation of net income (loss) to non-GAAP EBITDA and Adjusted EBITDA is as follows:</w:t>
      </w:r>
    </w:p>
    <w:p>
      <w:pPr>
        <w:spacing w:after="0" w:line="3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For the Three Months Ended March 31, 2024 and 2023</w:t>
      </w:r>
    </w:p>
    <w:p>
      <w:pPr>
        <w:spacing w:after="0" w:line="23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gridSpan w:val="11"/>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50"/>
        </w:trPr>
        <w:tc>
          <w:tcPr>
            <w:tcW w:w="5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7"/>
        </w:trPr>
        <w:tc>
          <w:tcPr>
            <w:tcW w:w="5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3"/>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50"/>
        </w:trPr>
        <w:tc>
          <w:tcPr>
            <w:tcW w:w="5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gridSpan w:val="2"/>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7"/>
        </w:trPr>
        <w:tc>
          <w:tcPr>
            <w:tcW w:w="5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9"/>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51"/>
        </w:trPr>
        <w:tc>
          <w:tcPr>
            <w:tcW w:w="5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40" w:type="dxa"/>
            <w:vAlign w:val="bottom"/>
            <w:tcBorders>
              <w:bottom w:val="single" w:sz="8" w:color="CCEEFF"/>
              <w:right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$1,959</w:t>
            </w:r>
          </w:p>
        </w:tc>
        <w:tc>
          <w:tcPr>
            <w:tcW w:w="3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$(3,969)</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5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77"/>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640" w:type="dxa"/>
            <w:vAlign w:val="bottom"/>
            <w:tcBorders>
              <w:bottom w:val="single" w:sz="8" w:color="CCEEFF"/>
              <w:right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43"/>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5"/>
          </w:tcPr>
          <w:p>
            <w:pPr>
              <w:jc w:val="right"/>
              <w:ind w:right="23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5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304"/>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640" w:type="dxa"/>
            <w:vAlign w:val="bottom"/>
            <w:tcBorders>
              <w:bottom w:val="single" w:sz="8" w:color="CCEEFF"/>
              <w:right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w:t>
            </w:r>
          </w:p>
        </w:tc>
        <w:tc>
          <w:tcPr>
            <w:tcW w:w="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(802)</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40"/>
        </w:trPr>
        <w:tc>
          <w:tcPr>
            <w:tcW w:w="5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77"/>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640" w:type="dxa"/>
            <w:vAlign w:val="bottom"/>
            <w:tcBorders>
              <w:bottom w:val="single" w:sz="8" w:color="CCEEFF"/>
              <w:right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850</w:t>
            </w:r>
          </w:p>
        </w:tc>
        <w:tc>
          <w:tcPr>
            <w:tcW w:w="3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(725)</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related bonuses</w:t>
            </w: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2,842</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41"/>
        </w:trPr>
        <w:tc>
          <w:tcPr>
            <w:tcW w:w="5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77"/>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settlements and other legal costs</w:t>
            </w:r>
          </w:p>
        </w:tc>
        <w:tc>
          <w:tcPr>
            <w:tcW w:w="640" w:type="dxa"/>
            <w:vAlign w:val="bottom"/>
            <w:tcBorders>
              <w:bottom w:val="single" w:sz="8" w:color="CCEEFF"/>
              <w:right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493</w:t>
            </w:r>
          </w:p>
        </w:tc>
        <w:tc>
          <w:tcPr>
            <w:tcW w:w="3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867</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Reduction in force</w:t>
            </w: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tcPr>
          <w:p>
            <w:pPr>
              <w:spacing w:after="0"/>
              <w:rPr>
                <w:sz w:val="22"/>
                <w:szCs w:val="22"/>
                <w:color w:val="auto"/>
              </w:rPr>
            </w:pPr>
          </w:p>
        </w:tc>
      </w:tr>
      <w:tr>
        <w:trPr>
          <w:trHeight w:val="40"/>
        </w:trPr>
        <w:tc>
          <w:tcPr>
            <w:tcW w:w="5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43"/>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640" w:type="dxa"/>
            <w:vAlign w:val="bottom"/>
            <w:tcBorders>
              <w:right w:val="single" w:sz="8" w:color="CCEEFF"/>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543</w:t>
            </w:r>
          </w:p>
        </w:tc>
        <w:tc>
          <w:tcPr>
            <w:tcW w:w="3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21"/>
                <w:szCs w:val="21"/>
                <w:color w:val="auto"/>
              </w:rPr>
            </w:pPr>
          </w:p>
        </w:tc>
      </w:tr>
      <w:tr>
        <w:trPr>
          <w:trHeight w:val="61"/>
        </w:trPr>
        <w:tc>
          <w:tcPr>
            <w:tcW w:w="55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7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9,599</w:t>
            </w: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$ 7,130</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574"/>
        </w:trPr>
        <w:tc>
          <w:tcPr>
            <w:tcW w:w="5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For the Years Ended December 31, 2023, 2022 and 2021</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5"/>
        </w:trPr>
        <w:tc>
          <w:tcPr>
            <w:tcW w:w="5520" w:type="dxa"/>
            <w:vAlign w:val="bottom"/>
          </w:tcPr>
          <w:p>
            <w:pPr>
              <w:spacing w:after="0"/>
              <w:rPr>
                <w:sz w:val="24"/>
                <w:szCs w:val="24"/>
                <w:color w:val="auto"/>
              </w:rPr>
            </w:pPr>
          </w:p>
        </w:tc>
        <w:tc>
          <w:tcPr>
            <w:tcW w:w="2900" w:type="dxa"/>
            <w:vAlign w:val="bottom"/>
            <w:gridSpan w:val="1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55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7"/>
        </w:trPr>
        <w:tc>
          <w:tcPr>
            <w:tcW w:w="5520" w:type="dxa"/>
            <w:vAlign w:val="bottom"/>
          </w:tcPr>
          <w:p>
            <w:pPr>
              <w:spacing w:after="0"/>
              <w:rPr>
                <w:sz w:val="19"/>
                <w:szCs w:val="19"/>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5"/>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50"/>
        </w:trPr>
        <w:tc>
          <w:tcPr>
            <w:tcW w:w="55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7"/>
        </w:trPr>
        <w:tc>
          <w:tcPr>
            <w:tcW w:w="5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50"/>
        </w:trPr>
        <w:tc>
          <w:tcPr>
            <w:tcW w:w="5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$(15,727)</w:t>
            </w:r>
          </w:p>
        </w:tc>
        <w:tc>
          <w:tcPr>
            <w:tcW w:w="1260" w:type="dxa"/>
            <w:vAlign w:val="bottom"/>
            <w:tcBorders>
              <w:bottom w:val="single" w:sz="8" w:color="CCEEFF"/>
            </w:tcBorders>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(82,651)</w:t>
            </w:r>
          </w:p>
        </w:tc>
        <w:tc>
          <w:tcPr>
            <w:tcW w:w="8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$ 152,218</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color w:val="auto"/>
              </w:rPr>
              <w:t>179,077</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40"/>
        </w:trPr>
        <w:tc>
          <w:tcPr>
            <w:tcW w:w="5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77"/>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11,498</w:t>
            </w:r>
          </w:p>
        </w:tc>
        <w:tc>
          <w:tcPr>
            <w:tcW w:w="8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43"/>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552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304"/>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7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(3,534)</w:t>
            </w:r>
          </w:p>
        </w:tc>
        <w:tc>
          <w:tcPr>
            <w:tcW w:w="1260" w:type="dxa"/>
            <w:vAlign w:val="bottom"/>
            <w:tcBorders>
              <w:bottom w:val="single" w:sz="8" w:color="CCEEFF"/>
            </w:tcBorders>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107,924</w:t>
            </w:r>
          </w:p>
        </w:tc>
        <w:tc>
          <w:tcPr>
            <w:tcW w:w="900" w:type="dxa"/>
            <w:vAlign w:val="bottom"/>
            <w:tcBorders>
              <w:bottom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156,042</w:t>
            </w:r>
          </w:p>
        </w:tc>
      </w:tr>
      <w:tr>
        <w:trPr>
          <w:trHeight w:val="257"/>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23,493</w:t>
            </w:r>
          </w:p>
        </w:tc>
        <w:tc>
          <w:tcPr>
            <w:tcW w:w="260" w:type="dxa"/>
            <w:vAlign w:val="bottom"/>
          </w:tcPr>
          <w:p>
            <w:pPr>
              <w:spacing w:after="0"/>
              <w:rPr>
                <w:sz w:val="22"/>
                <w:szCs w:val="22"/>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29,324</w:t>
            </w:r>
          </w:p>
        </w:tc>
        <w:tc>
          <w:tcPr>
            <w:tcW w:w="80" w:type="dxa"/>
            <w:vAlign w:val="bottom"/>
          </w:tcPr>
          <w:p>
            <w:pPr>
              <w:spacing w:after="0"/>
              <w:rPr>
                <w:sz w:val="22"/>
                <w:szCs w:val="22"/>
                <w:color w:val="auto"/>
              </w:rPr>
            </w:pPr>
          </w:p>
        </w:tc>
      </w:tr>
      <w:tr>
        <w:trPr>
          <w:trHeight w:val="40"/>
        </w:trPr>
        <w:tc>
          <w:tcPr>
            <w:tcW w:w="5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77"/>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7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(1,505)</w:t>
            </w:r>
          </w:p>
        </w:tc>
        <w:tc>
          <w:tcPr>
            <w:tcW w:w="1260" w:type="dxa"/>
            <w:vAlign w:val="bottom"/>
            <w:tcBorders>
              <w:bottom w:val="single" w:sz="8" w:color="CCEEFF"/>
            </w:tcBorders>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(25,370)</w:t>
            </w:r>
          </w:p>
        </w:tc>
        <w:tc>
          <w:tcPr>
            <w:tcW w:w="90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(166,518)</w:t>
            </w:r>
          </w:p>
        </w:tc>
      </w:tr>
      <w:tr>
        <w:trPr>
          <w:trHeight w:val="257"/>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transaction costs</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80" w:type="dxa"/>
            <w:vAlign w:val="bottom"/>
          </w:tcPr>
          <w:p>
            <w:pPr>
              <w:spacing w:after="0"/>
              <w:rPr>
                <w:sz w:val="22"/>
                <w:szCs w:val="22"/>
                <w:color w:val="auto"/>
              </w:rPr>
            </w:pPr>
          </w:p>
        </w:tc>
      </w:tr>
      <w:tr>
        <w:trPr>
          <w:trHeight w:val="40"/>
        </w:trPr>
        <w:tc>
          <w:tcPr>
            <w:tcW w:w="5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77"/>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2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related bonus expense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color w:val="auto"/>
              </w:rPr>
              <w:t>10,119</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80" w:type="dxa"/>
            <w:vAlign w:val="bottom"/>
          </w:tcPr>
          <w:p>
            <w:pPr>
              <w:spacing w:after="0"/>
              <w:rPr>
                <w:sz w:val="22"/>
                <w:szCs w:val="22"/>
                <w:color w:val="auto"/>
              </w:rPr>
            </w:pPr>
          </w:p>
        </w:tc>
      </w:tr>
      <w:tr>
        <w:trPr>
          <w:trHeight w:val="40"/>
        </w:trPr>
        <w:tc>
          <w:tcPr>
            <w:tcW w:w="5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77"/>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7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6"/>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251</w:t>
            </w:r>
          </w:p>
        </w:tc>
        <w:tc>
          <w:tcPr>
            <w:tcW w:w="8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settlements and other legal costs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260" w:type="dxa"/>
            <w:vAlign w:val="bottom"/>
          </w:tcPr>
          <w:p>
            <w:pPr>
              <w:spacing w:after="0"/>
              <w:rPr>
                <w:sz w:val="22"/>
                <w:szCs w:val="22"/>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22"/>
                <w:szCs w:val="22"/>
                <w:color w:val="auto"/>
              </w:rPr>
            </w:pPr>
          </w:p>
        </w:tc>
      </w:tr>
      <w:tr>
        <w:trPr>
          <w:trHeight w:val="40"/>
        </w:trPr>
        <w:tc>
          <w:tcPr>
            <w:tcW w:w="5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77"/>
        </w:trPr>
        <w:tc>
          <w:tcPr>
            <w:tcW w:w="5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Discharge of holdback obligation related to prior acquisition</w:t>
            </w:r>
          </w:p>
        </w:tc>
        <w:tc>
          <w:tcPr>
            <w:tcW w:w="7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(3,705)</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6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color w:val="auto"/>
              </w:rPr>
              <w:t>(142,352)</w:t>
            </w:r>
          </w:p>
        </w:tc>
        <w:tc>
          <w:tcPr>
            <w:tcW w:w="120" w:type="dxa"/>
            <w:vAlign w:val="bottom"/>
          </w:tcPr>
          <w:p>
            <w:pPr>
              <w:spacing w:after="0"/>
              <w:rPr>
                <w:sz w:val="22"/>
                <w:szCs w:val="22"/>
                <w:color w:val="auto"/>
              </w:rPr>
            </w:pPr>
          </w:p>
        </w:tc>
        <w:tc>
          <w:tcPr>
            <w:tcW w:w="7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43"/>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Reduction in force (recovery) expense</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26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7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55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auto"/>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7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$ 36,907</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gridSpan w:val="2"/>
          </w:tcPr>
          <w:p>
            <w:pPr>
              <w:spacing w:after="0"/>
              <w:rPr>
                <w:sz w:val="23"/>
                <w:szCs w:val="23"/>
                <w:color w:val="auto"/>
              </w:rPr>
            </w:pPr>
          </w:p>
        </w:tc>
        <w:tc>
          <w:tcPr>
            <w:tcW w:w="10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  (9,633)</w:t>
            </w:r>
          </w:p>
        </w:tc>
        <w:tc>
          <w:tcPr>
            <w:tcW w:w="9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  31,698</w:t>
            </w:r>
          </w:p>
        </w:tc>
      </w:tr>
      <w:tr>
        <w:trPr>
          <w:trHeight w:val="20"/>
        </w:trPr>
        <w:tc>
          <w:tcPr>
            <w:tcW w:w="552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-6617335</wp:posOffset>
            </wp:positionV>
            <wp:extent cx="2057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-3265170</wp:posOffset>
            </wp:positionV>
            <wp:extent cx="1885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-3265170</wp:posOffset>
            </wp:positionV>
            <wp:extent cx="1885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Average Monthly Revenue Per Paying Client</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Average monthly revenue per paying client measures how much clients, for the period of measurement, are willing to pay us for our subscription and additional offerings and the efficiency of the bid-auction process for our featured listings placements. We calculate this metric by dividing the average monthly revenue for any particular period by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393"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average monthly number of paying clients in the same respective period. The increase in our average monthly revenue per paying client for the three months ended March 31, 2024 compared to the same period in 2023 was due to sunset of certain products, which had lower average monthly spending clients, in the fourth quarter of 2023.</w:t>
      </w:r>
    </w:p>
    <w:p>
      <w:pPr>
        <w:spacing w:after="0" w:line="210"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50800</wp:posOffset>
            </wp:positionV>
            <wp:extent cx="13462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spacing w:after="0" w:line="116" w:lineRule="exact"/>
        <w:rPr>
          <w:sz w:val="20"/>
          <w:szCs w:val="20"/>
          <w:color w:val="auto"/>
        </w:rPr>
      </w:pPr>
    </w:p>
    <w:p>
      <w:pPr>
        <w:ind w:left="6940"/>
        <w:spacing w:after="0"/>
        <w:tabs>
          <w:tab w:leader="none" w:pos="80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50800</wp:posOffset>
            </wp:positionV>
            <wp:extent cx="137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50800</wp:posOffset>
            </wp:positionV>
            <wp:extent cx="768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40" w:lineRule="exact"/>
        <w:rPr>
          <w:sz w:val="20"/>
          <w:szCs w:val="20"/>
          <w:color w:val="auto"/>
        </w:rPr>
      </w:pPr>
    </w:p>
    <w:tbl>
      <w:tblPr>
        <w:tblLayout w:type="fixed"/>
        <w:tblInd w:w="300" w:type="dxa"/>
        <w:tblCellMar>
          <w:top w:w="0" w:type="dxa"/>
          <w:left w:w="0" w:type="dxa"/>
          <w:bottom w:w="0" w:type="dxa"/>
          <w:right w:w="0" w:type="dxa"/>
        </w:tblCellMar>
      </w:tblPr>
      <w:tr>
        <w:trPr>
          <w:trHeight w:val="297"/>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monthly revenue per paying client</w:t>
            </w:r>
          </w:p>
        </w:tc>
        <w:tc>
          <w:tcPr>
            <w:tcW w:w="9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$2,997</w:t>
            </w:r>
          </w:p>
        </w:tc>
        <w:tc>
          <w:tcPr>
            <w:tcW w:w="220" w:type="dxa"/>
            <w:vAlign w:val="bottom"/>
            <w:tcBorders>
              <w:top w:val="single" w:sz="8" w:color="CCEEFF"/>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$2,743</w:t>
            </w:r>
          </w:p>
        </w:tc>
      </w:tr>
      <w:tr>
        <w:trPr>
          <w:trHeight w:val="54"/>
        </w:trPr>
        <w:tc>
          <w:tcPr>
            <w:tcW w:w="630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decline in our average monthly revenue per paying client for the years ended December 31, 2023 was due to spend declines in established markets. We expected these pressures given the continued liquidity challenges that clients are facing.</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Average Monthly Paying Clients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define average monthly paying clients as the monthly average of clients billed each month over a particular period (and for which services were provided). Our paying clients include both individual cannabis businesses as well as retail websites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websites or businesses.</w:t>
      </w:r>
    </w:p>
    <w:p>
      <w:pPr>
        <w:spacing w:after="0" w:line="7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Average monthly paying clients for the three months ended March 31, 2024 decreased 12% to 4,937 average monthly paying clients from 5,641 average monthly paying clients in the same period in 2023. The decrease in average monthly paying clients in the three months ended March 31, 2024 as compared to the same period in 2023 was primarily due to elevated churn as a result of the cannabis industry facing price deflation.</w:t>
      </w:r>
    </w:p>
    <w:p>
      <w:pPr>
        <w:spacing w:after="0" w:line="214"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50800</wp:posOffset>
            </wp:positionV>
            <wp:extent cx="13462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spacing w:after="0" w:line="116" w:lineRule="exact"/>
        <w:rPr>
          <w:sz w:val="20"/>
          <w:szCs w:val="20"/>
          <w:color w:val="auto"/>
        </w:rPr>
      </w:pPr>
    </w:p>
    <w:p>
      <w:pPr>
        <w:ind w:left="6940"/>
        <w:spacing w:after="0"/>
        <w:tabs>
          <w:tab w:leader="none" w:pos="80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50800</wp:posOffset>
            </wp:positionV>
            <wp:extent cx="137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50800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40" w:lineRule="exact"/>
        <w:rPr>
          <w:sz w:val="20"/>
          <w:szCs w:val="20"/>
          <w:color w:val="auto"/>
        </w:rPr>
      </w:pPr>
    </w:p>
    <w:tbl>
      <w:tblPr>
        <w:tblLayout w:type="fixed"/>
        <w:tblInd w:w="300" w:type="dxa"/>
        <w:tblCellMar>
          <w:top w:w="0" w:type="dxa"/>
          <w:left w:w="0" w:type="dxa"/>
          <w:bottom w:w="0" w:type="dxa"/>
          <w:right w:w="0" w:type="dxa"/>
        </w:tblCellMar>
      </w:tblPr>
      <w:tr>
        <w:trPr>
          <w:trHeight w:val="297"/>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monthly paying clients</w:t>
            </w:r>
          </w:p>
        </w:tc>
        <w:tc>
          <w:tcPr>
            <w:tcW w:w="96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4,937</w:t>
            </w:r>
          </w:p>
        </w:tc>
        <w:tc>
          <w:tcPr>
            <w:tcW w:w="220" w:type="dxa"/>
            <w:vAlign w:val="bottom"/>
            <w:tcBorders>
              <w:top w:val="single" w:sz="8" w:color="CCEEFF"/>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5,641</w:t>
            </w:r>
          </w:p>
        </w:tc>
      </w:tr>
      <w:tr>
        <w:trPr>
          <w:trHeight w:val="54"/>
        </w:trPr>
        <w:tc>
          <w:tcPr>
            <w:tcW w:w="630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Average monthly paying clients for the year ended December 31, 2023 decreased by approximately 1% to 5,419 average monthly paying clients from 5,457 average monthly paying clients in the same period in 2022. The decrease in average monthly paying clients in 2023 as compared to the same period in 2022 was primarily due to elevated churn as a result of the cannabis industry facing price deflation in 2023.</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Growth of Our Two-Sided Weedmaps Marketplace</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have historically grown through and intend to focus on continuing to grow through the expansion of our two-sided marketplace, which occurs through growth of the number and type of businesses and consumers that we 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Growth and Retention of Our Paying Clients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 benefits of participating in our two-sided marketplace and leveraging our software solutions.</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Prices of certain commodity products, including gas prices, are historically volatile and subject to fluctuations arising from changes in domestic and international supply and demand, labor costs, competition, market speculation, government regulations, trade restrictions and tariffs, inflation, the military conflict between Russia and Ukraine and the recent state of war between Israel and Hamas and the related risk of a larger regional conflict. Increasing prices in the component materials for the goods or services of our clients may impact their ability to maintain or increase their spend with us and their ability to pay their invoices on time. Rapid and significant changes in commodity prices may negatively affect our revenue if our clients are unable to mitigate inflationary increases through various customer pricing actions and cost reduction initiatives. This could also negatively impact our net dollar retention and our collections on accounts receivable.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Regulation and Maturation of Cannabis Markets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believe that we will have significant opportunities for greater growth as more jurisdictions legalize cannabis for medical and/or adult-use and the regulatory environment continues to develop. Currently, thirty-nine states, the District of Columbia, Puerto Rico, the Virgin Islands, Guam and the Northern Mariana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We intend to explore new expansion opportunities as additional jurisdictions legalize cannabis for medical or adult use and leverage our business model informed by our 15-year operating history to enter new markets.</w:t>
      </w:r>
    </w:p>
    <w:p>
      <w:pPr>
        <w:spacing w:after="0" w:line="8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also have a significant opportunity to monetize transactions originating from users engaging with a retailer on the Weedmaps marketplace or tracked via one of our Weedmaps for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Weedmaps for Business solutions. A change in U.S. federal regulations could result in our ability to engage in such monetization efforts without adverse consequences to our business. A change in U.S. federal regulations could also increase access to capital and remove limitations of Section 280E of the Internal Revenue Code of 1986, as amended, thus allowing deduction or credit for certain expenses of cannabis business to increase our cash flow and liquidity, as well as those of many industry participants.</w:t>
      </w:r>
    </w:p>
    <w:p>
      <w:pPr>
        <w:spacing w:after="0" w:line="86"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Furthermore, we compete with cannabis-focused and general two-sided marketplaces, internet search engines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 Our current and future competitors may also enjoy other competitive advantages, such as greater name recognition, more offerings and larger marketing budgets.</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Brand Recognition and Reputation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expect to shift and accelerate our marketing spend to additional online and traditional channels, such as broadcast television or radio, as they become available to us. Further, we have begun reinvesting in our own on-the-ground and field marketing presence and are increasing the types and cadence of client events. These events and in-store activations allow Weedmaps to engage with consumers at the point of purchase and also afford Weedmaps with the opportunity to engage directly with our clients, understand their needs and challenges and foster goodwill.</w:t>
      </w:r>
    </w:p>
    <w:p>
      <w:pPr>
        <w:spacing w:after="0" w:line="8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Growth</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intend to continue to make focused organic and inorganic investments to grow our revenue and scale operations to support that growth.</w:t>
      </w:r>
    </w:p>
    <w:p>
      <w:pPr>
        <w:spacing w:after="0" w:line="5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Weedmaps for Business offering. We expect significant near-term investments to enhance our data assets and evolve our current listings and software offerings to our brand clients, among other areas. We anticipate undertaking such investments in order to be positioned to capitalize on the rapidly expanding cannabis market.</w:t>
      </w:r>
    </w:p>
    <w:p>
      <w:pPr>
        <w:spacing w:after="0" w:line="80"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operating expenses and capital expenditures fluctuate over time, we may accordingly experience short-term, negative impacts to our operating results and cash flows.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revenues are derived primarily from monthly subscriptions to Weedmaps for Business, featured and deal listings and other WM Ad solutions. Our Weedmaps for Business subscriptions generally have one-month terms that automatically renew unless notice of cancellation is provided in advance. Featured and deal listings and other WM Ad solutions are offered as add-on products to the Weedmaps for Business subscriptions. Featured and deal listings provide customers with premium placement ad solutions and discount and promotion pricing tools. Other WM Ad solutions include banner ads and promotion tiles on the Company’s marketplace ad as well as other advertising products on and off the Weedmaps marketplace. We have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products are provided. We rarely need to allocate the transaction price to separate performance obligations. In the rare case that allocation of the transaction price is needed, we recognize revenue in proportion to the standalone selling prices of the underlying services at contract inception.</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Our cost structure has two components: cost of revenues and operating expenses. Our operating expenses include costs related to selling and marketing, product development, general and administrative functions and depreciation and amortization. Certain of our costs and expenses, including those associated with the operation of our technical infrastructure as well as components of our operating expenses, are generally less variable in nature and may not correlate to changes in revenue.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(Exclusive of Depreciation and Amortization)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Cost of revenues excludes depreciation and amortization expense and primarily consists of web hosting, internet service and credit card processing costs. Cost of revenues is primarily driven by fluctuations in revenue leading to increases or decreases in credit card processing and web hosting cost. We expect our cost of revenue to continue to increase on an absolute basis and remain relatively flat as a percentage of revenue as we scale our business and inventory costs related to multi-media offerings.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Selling and marketing expenses consist of salaries and benefits, stock-based compensation expense, travel expense and incentive compensation for our sales and marketing employees. In addition, sales and marketing expenses include customer acquisition marketing, events cost and branding and advertising costs. Over the longer term, we expect sales and marketing expense to increase in a manner consistent with revenue growth, however, we may experience fluctuations in some periods as we enter and develop new markets or have large one-time marketing projects.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 Expenses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Product development costs consist of salaries and benefits and stock-based compensation expense for employees, including engineering and technical teams who are responsible for building new products, as well as maintaining and improving existing products. Product development costs that do not meet the criteria for capitalization are expensed as incurred. Amortization expense related to capitalized software development cost is included in depreciation, amortization and asset impairment expense in the consolidated statements of operations. We believe that continued investment in our platform is important for our growth and expect our product development expenses will increase in a manner consistent with revenue growth as our operations grow.</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left="300" w:right="319"/>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benefit costs and stock-based compensation expense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provision for doubtful accounts and professional and outside services related to legal and other consulting services. General and administrative expenses are primarily driven by headcount required to support our business and meet our obligations as a public company. We expect general and administrative expenses to decline as percentage of revenue as we scale our business and leverage investments in these areas.</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expenses primarily consist of depreciation on computer equipment, furniture and fixtures, leasehold improvements, capitalized software development costs and amortization of intangibles. We expect depreciation and amortization expenses to increase on an absolute basis for the foreseeable future as we scale our business.</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Asset Impairment Charges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Asset impairment charges primarily consist of impairment of ROU assets related to our operating leases, impairment of intangible assets, impairment of equity securities and impairment of property and equipment.</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Other income (expense), net consists primarily of discharge of holdback obligation related to prior acquisition, changes in fair value of warrant liability, change in TRA liability, transaction related bonus, legal settlements and other legal costs, reduction in force, and interest expense.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account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 applicable to the periods in which the temporary differences are expected to reverse. Any effects of changes in income tax rates or laws are included in income tax expense in the period of enactment. A valuation allowance is recognized if we determine it is more-likely-than-not that all or a portion of a deferred tax asset will not be recognized. In making such determination, we consider all available evidence, including scheduled reversals of deferred tax liabilities, projected future taxable income, tax planning strategies and recent and expected future results of operation. See Note 2, “Summary of Significant Accounting Policies” to our condensed consolidated financial statements included in our Quarterly Report on Form 10-Q for further information.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March 31, 2024 and 2023</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express the relationship of certain line items as a percentage of net sales for those periods. The period-to-period comparison of financial results is not necessarily indicative of future results.</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560" w:type="dxa"/>
            <w:vAlign w:val="bottom"/>
            <w:gridSpan w:val="1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50"/>
        </w:trPr>
        <w:tc>
          <w:tcPr>
            <w:tcW w:w="52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318"/>
        </w:trPr>
        <w:tc>
          <w:tcPr>
            <w:tcW w:w="5280" w:type="dxa"/>
            <w:vAlign w:val="bottom"/>
          </w:tcPr>
          <w:p>
            <w:pPr>
              <w:spacing w:after="0"/>
              <w:rPr>
                <w:sz w:val="24"/>
                <w:szCs w:val="24"/>
                <w:color w:val="auto"/>
              </w:rPr>
            </w:pPr>
          </w:p>
        </w:tc>
        <w:tc>
          <w:tcPr>
            <w:tcW w:w="102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23"/>
                <w:szCs w:val="23"/>
                <w:b w:val="1"/>
                <w:bCs w:val="1"/>
                <w:color w:val="auto"/>
                <w:vertAlign w:val="superscript"/>
              </w:rPr>
              <w:t>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7"/>
        </w:trPr>
        <w:tc>
          <w:tcPr>
            <w:tcW w:w="5280" w:type="dxa"/>
            <w:vAlign w:val="bottom"/>
          </w:tcPr>
          <w:p>
            <w:pPr>
              <w:spacing w:after="0"/>
              <w:rPr>
                <w:sz w:val="19"/>
                <w:szCs w:val="19"/>
                <w:color w:val="auto"/>
              </w:rPr>
            </w:pPr>
          </w:p>
        </w:tc>
        <w:tc>
          <w:tcPr>
            <w:tcW w:w="720" w:type="dxa"/>
            <w:vAlign w:val="bottom"/>
            <w:tcBorders>
              <w:top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Revenue</w:t>
            </w:r>
          </w:p>
        </w:tc>
        <w:tc>
          <w:tcPr>
            <w:tcW w:w="140" w:type="dxa"/>
            <w:vAlign w:val="bottom"/>
          </w:tcPr>
          <w:p>
            <w:pPr>
              <w:spacing w:after="0"/>
              <w:rPr>
                <w:sz w:val="19"/>
                <w:szCs w:val="19"/>
                <w:color w:val="auto"/>
              </w:rPr>
            </w:pPr>
          </w:p>
        </w:tc>
        <w:tc>
          <w:tcPr>
            <w:tcW w:w="720" w:type="dxa"/>
            <w:vAlign w:val="bottom"/>
            <w:tcBorders>
              <w:top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 Revenue</w:t>
            </w:r>
          </w:p>
        </w:tc>
      </w:tr>
      <w:tr>
        <w:trPr>
          <w:trHeight w:val="51"/>
        </w:trPr>
        <w:tc>
          <w:tcPr>
            <w:tcW w:w="52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gridSpan w:val="2"/>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5280" w:type="dxa"/>
            <w:vAlign w:val="bottom"/>
          </w:tcPr>
          <w:p>
            <w:pPr>
              <w:spacing w:after="0"/>
              <w:rPr>
                <w:sz w:val="19"/>
                <w:szCs w:val="19"/>
                <w:color w:val="auto"/>
              </w:rPr>
            </w:pPr>
          </w:p>
        </w:tc>
        <w:tc>
          <w:tcPr>
            <w:tcW w:w="3140" w:type="dxa"/>
            <w:vAlign w:val="bottom"/>
            <w:gridSpan w:val="1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r>
      <w:tr>
        <w:trPr>
          <w:trHeight w:val="50"/>
        </w:trPr>
        <w:tc>
          <w:tcPr>
            <w:tcW w:w="5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720" w:type="dxa"/>
            <w:vAlign w:val="bottom"/>
            <w:tcBorders>
              <w:bottom w:val="single" w:sz="8" w:color="CCEEFF"/>
            </w:tcBorders>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w w:val="95"/>
              </w:rPr>
              <w:t>$44,389</w:t>
            </w:r>
          </w:p>
        </w:tc>
        <w:tc>
          <w:tcPr>
            <w:tcW w:w="7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86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$46,416</w:t>
            </w:r>
          </w:p>
        </w:tc>
        <w:tc>
          <w:tcPr>
            <w:tcW w:w="7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r>
      <w:tr>
        <w:trPr>
          <w:trHeight w:val="324"/>
        </w:trPr>
        <w:tc>
          <w:tcPr>
            <w:tcW w:w="5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04"/>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5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r>
      <w:tr>
        <w:trPr>
          <w:trHeight w:val="270"/>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40" w:type="dxa"/>
            <w:vAlign w:val="bottom"/>
          </w:tcPr>
          <w:p>
            <w:pPr>
              <w:spacing w:after="0"/>
              <w:rPr>
                <w:sz w:val="23"/>
                <w:szCs w:val="23"/>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3,494</w:t>
            </w:r>
          </w:p>
        </w:tc>
        <w:tc>
          <w:tcPr>
            <w:tcW w:w="140" w:type="dxa"/>
            <w:vAlign w:val="bottom"/>
          </w:tcPr>
          <w:p>
            <w:pPr>
              <w:spacing w:after="0"/>
              <w:rPr>
                <w:sz w:val="23"/>
                <w:szCs w:val="23"/>
                <w:color w:val="auto"/>
              </w:rPr>
            </w:pP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r>
      <w:tr>
        <w:trPr>
          <w:trHeight w:val="54"/>
        </w:trPr>
        <w:tc>
          <w:tcPr>
            <w:tcW w:w="5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04"/>
        </w:trPr>
        <w:tc>
          <w:tcPr>
            <w:tcW w:w="5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9,634</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12,060</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r>
      <w:tr>
        <w:trPr>
          <w:trHeight w:val="270"/>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140" w:type="dxa"/>
            <w:vAlign w:val="bottom"/>
          </w:tcPr>
          <w:p>
            <w:pPr>
              <w:spacing w:after="0"/>
              <w:rPr>
                <w:sz w:val="23"/>
                <w:szCs w:val="23"/>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10,934</w:t>
            </w:r>
          </w:p>
        </w:tc>
        <w:tc>
          <w:tcPr>
            <w:tcW w:w="140" w:type="dxa"/>
            <w:vAlign w:val="bottom"/>
          </w:tcPr>
          <w:p>
            <w:pPr>
              <w:spacing w:after="0"/>
              <w:rPr>
                <w:sz w:val="23"/>
                <w:szCs w:val="23"/>
                <w:color w:val="auto"/>
              </w:rPr>
            </w:pP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r>
      <w:tr>
        <w:trPr>
          <w:trHeight w:val="54"/>
        </w:trPr>
        <w:tc>
          <w:tcPr>
            <w:tcW w:w="5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04"/>
        </w:trPr>
        <w:tc>
          <w:tcPr>
            <w:tcW w:w="5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16,526</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20,909</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r>
      <w:tr>
        <w:trPr>
          <w:trHeight w:val="257"/>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40" w:type="dxa"/>
            <w:vAlign w:val="bottom"/>
          </w:tcPr>
          <w:p>
            <w:pPr>
              <w:spacing w:after="0"/>
              <w:rPr>
                <w:sz w:val="22"/>
                <w:szCs w:val="22"/>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140" w:type="dxa"/>
            <w:vAlign w:val="bottom"/>
          </w:tcPr>
          <w:p>
            <w:pPr>
              <w:spacing w:after="0"/>
              <w:rPr>
                <w:sz w:val="22"/>
                <w:szCs w:val="22"/>
                <w:color w:val="auto"/>
              </w:rPr>
            </w:pP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r>
      <w:tr>
        <w:trPr>
          <w:trHeight w:val="61"/>
        </w:trPr>
        <w:tc>
          <w:tcPr>
            <w:tcW w:w="528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70"/>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40,628</w:t>
            </w:r>
          </w:p>
        </w:tc>
        <w:tc>
          <w:tcPr>
            <w:tcW w:w="140" w:type="dxa"/>
            <w:vAlign w:val="bottom"/>
            <w:shd w:val="clear" w:color="auto" w:fill="CCEEFF"/>
          </w:tcPr>
          <w:p>
            <w:pPr>
              <w:spacing w:after="0"/>
              <w:rPr>
                <w:sz w:val="23"/>
                <w:szCs w:val="23"/>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50,564</w:t>
            </w:r>
          </w:p>
        </w:tc>
        <w:tc>
          <w:tcPr>
            <w:tcW w:w="140" w:type="dxa"/>
            <w:vAlign w:val="bottom"/>
            <w:shd w:val="clear" w:color="auto" w:fill="CCEEFF"/>
          </w:tcPr>
          <w:p>
            <w:pPr>
              <w:spacing w:after="0"/>
              <w:rPr>
                <w:sz w:val="23"/>
                <w:szCs w:val="23"/>
                <w:color w:val="auto"/>
              </w:rPr>
            </w:pPr>
          </w:p>
        </w:tc>
        <w:tc>
          <w:tcPr>
            <w:tcW w:w="7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w:t>
            </w:r>
          </w:p>
        </w:tc>
      </w:tr>
      <w:tr>
        <w:trPr>
          <w:trHeight w:val="61"/>
        </w:trPr>
        <w:tc>
          <w:tcPr>
            <w:tcW w:w="52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r>
      <w:tr>
        <w:trPr>
          <w:trHeight w:val="283"/>
        </w:trPr>
        <w:tc>
          <w:tcPr>
            <w:tcW w:w="5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income (loss)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w:t>
            </w:r>
          </w:p>
        </w:tc>
        <w:tc>
          <w:tcPr>
            <w:tcW w:w="140" w:type="dxa"/>
            <w:vAlign w:val="bottom"/>
          </w:tcPr>
          <w:p>
            <w:pPr>
              <w:spacing w:after="0"/>
              <w:rPr>
                <w:sz w:val="24"/>
                <w:szCs w:val="24"/>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(4,148)</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54"/>
        </w:trPr>
        <w:tc>
          <w:tcPr>
            <w:tcW w:w="5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04"/>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5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r>
      <w:tr>
        <w:trPr>
          <w:trHeight w:val="270"/>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7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(850)</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725</w:t>
            </w: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r>
      <w:tr>
        <w:trPr>
          <w:trHeight w:val="54"/>
        </w:trPr>
        <w:tc>
          <w:tcPr>
            <w:tcW w:w="5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04"/>
        </w:trPr>
        <w:tc>
          <w:tcPr>
            <w:tcW w:w="5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72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(543)</w:t>
            </w:r>
          </w:p>
        </w:tc>
        <w:tc>
          <w:tcPr>
            <w:tcW w:w="7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7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(400)</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(446)</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61"/>
        </w:trPr>
        <w:tc>
          <w:tcPr>
            <w:tcW w:w="528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318"/>
        </w:trPr>
        <w:tc>
          <w:tcPr>
            <w:tcW w:w="52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8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(3,969)</w:t>
            </w:r>
          </w:p>
        </w:tc>
        <w:tc>
          <w:tcPr>
            <w:tcW w:w="7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57"/>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5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528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318"/>
        </w:trPr>
        <w:tc>
          <w:tcPr>
            <w:tcW w:w="5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8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(3,969)</w:t>
            </w:r>
          </w:p>
        </w:tc>
        <w:tc>
          <w:tcPr>
            <w:tcW w:w="7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57"/>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40" w:type="dxa"/>
            <w:vAlign w:val="bottom"/>
          </w:tcPr>
          <w:p>
            <w:pPr>
              <w:spacing w:after="0"/>
              <w:rPr>
                <w:sz w:val="22"/>
                <w:szCs w:val="22"/>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(1,494)</w:t>
            </w:r>
          </w:p>
        </w:tc>
        <w:tc>
          <w:tcPr>
            <w:tcW w:w="7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61"/>
        </w:trPr>
        <w:tc>
          <w:tcPr>
            <w:tcW w:w="528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r>
      <w:tr>
        <w:trPr>
          <w:trHeight w:val="270"/>
        </w:trPr>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$ 1,240</w:t>
            </w:r>
          </w:p>
        </w:tc>
        <w:tc>
          <w:tcPr>
            <w:tcW w:w="140" w:type="dxa"/>
            <w:vAlign w:val="bottom"/>
            <w:shd w:val="clear" w:color="auto" w:fill="CCEEFF"/>
          </w:tcPr>
          <w:p>
            <w:pPr>
              <w:spacing w:after="0"/>
              <w:rPr>
                <w:sz w:val="23"/>
                <w:szCs w:val="23"/>
                <w:color w:val="auto"/>
              </w:rPr>
            </w:pP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(2,475)</w:t>
            </w:r>
          </w:p>
        </w:tc>
        <w:tc>
          <w:tcPr>
            <w:tcW w:w="7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48"/>
        </w:trPr>
        <w:tc>
          <w:tcPr>
            <w:tcW w:w="52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-4191000</wp:posOffset>
            </wp:positionV>
            <wp:extent cx="857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-4191000</wp:posOffset>
            </wp:positionV>
            <wp:extent cx="857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-4191000</wp:posOffset>
            </wp:positionV>
            <wp:extent cx="857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jc w:val="both"/>
        <w:ind w:left="640" w:right="319" w:hanging="348"/>
        <w:spacing w:after="0" w:line="241" w:lineRule="auto"/>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March 31, 2023, net revenues and general and administrative expenses have been retrospectively adjusted to reflect the restatement of previously reported revenue and credit losses. See Note 2, “Summary of Significant Accounting Policies,” to our condensed consolidated financial statements included in our Quarterly Report on Form 10-Q for further information.</w:t>
      </w:r>
    </w:p>
    <w:p>
      <w:pPr>
        <w:spacing w:after="0" w:line="3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2024 and 2023</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gridSpan w:val="2"/>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50"/>
        </w:trPr>
        <w:tc>
          <w:tcPr>
            <w:tcW w:w="518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317"/>
        </w:trPr>
        <w:tc>
          <w:tcPr>
            <w:tcW w:w="5180" w:type="dxa"/>
            <w:vAlign w:val="bottom"/>
          </w:tcPr>
          <w:p>
            <w:pPr>
              <w:spacing w:after="0"/>
              <w:rPr>
                <w:sz w:val="24"/>
                <w:szCs w:val="24"/>
                <w:color w:val="auto"/>
              </w:rPr>
            </w:pPr>
          </w:p>
        </w:tc>
        <w:tc>
          <w:tcPr>
            <w:tcW w:w="8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tcBorders>
              <w:bottom w:val="single" w:sz="8" w:color="auto"/>
            </w:tcBorders>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23"/>
                <w:szCs w:val="23"/>
                <w:b w:val="1"/>
                <w:bCs w:val="1"/>
                <w:color w:val="auto"/>
                <w:vertAlign w:val="superscript"/>
              </w:rPr>
              <w:t>1</w:t>
            </w: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6"/>
        </w:trPr>
        <w:tc>
          <w:tcPr>
            <w:tcW w:w="5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9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40" w:type="dxa"/>
            <w:vAlign w:val="bottom"/>
          </w:tcPr>
          <w:p>
            <w:pPr>
              <w:spacing w:after="0"/>
              <w:rPr>
                <w:sz w:val="19"/>
                <w:szCs w:val="19"/>
                <w:color w:val="auto"/>
              </w:rPr>
            </w:pPr>
          </w:p>
        </w:tc>
      </w:tr>
      <w:tr>
        <w:trPr>
          <w:trHeight w:val="51"/>
        </w:trPr>
        <w:tc>
          <w:tcPr>
            <w:tcW w:w="5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83"/>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8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$44,389</w:t>
            </w:r>
          </w:p>
        </w:tc>
        <w:tc>
          <w:tcPr>
            <w:tcW w:w="11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$46,416</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97"/>
              </w:rPr>
              <w:t>$(2,027)</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54"/>
        </w:trPr>
        <w:tc>
          <w:tcPr>
            <w:tcW w:w="518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5208905</wp:posOffset>
            </wp:positionH>
            <wp:positionV relativeFrom="paragraph">
              <wp:posOffset>-402590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4745990</wp:posOffset>
            </wp:positionH>
            <wp:positionV relativeFrom="paragraph">
              <wp:posOffset>-402590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-402590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jc w:val="both"/>
        <w:ind w:left="640" w:right="319" w:hanging="348"/>
        <w:spacing w:after="0" w:line="241" w:lineRule="auto"/>
        <w:tabs>
          <w:tab w:leader="none" w:pos="6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March 31, 2023, net revenues have been retrospectively adjusted to reflect the restatement of previously reported revenue. See Note 2, “Summary of Significant Accounting Policies,” to our condensed consolidated financial statements included in our Quarterly Report on Form 10-Q for further information.</w:t>
      </w:r>
    </w:p>
    <w:p>
      <w:pPr>
        <w:spacing w:after="0" w:line="73"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Total revenues decreased by $2.0 million or 4% for the three months ended March 31, 2024 compared to the same period in 2023. The decrease was primarily due to a decrease in revenue from our Featured Listing and WM Deal products of $4.1 million, partially offset by an increase in revenue from our Weedmaps for Business of $2.0 million and an increase in revenue from other WM Ad solutions of $0.1 million.</w:t>
      </w:r>
    </w:p>
    <w:p>
      <w:pPr>
        <w:spacing w:after="0" w:line="7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Featured Listing and WM Deal products, Weedmaps for Business and other ad solutions represented approximately 63%, 30% and 7% our total net revenues,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041"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shows our total costs and expenses:</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23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0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51"/>
        </w:trPr>
        <w:tc>
          <w:tcPr>
            <w:tcW w:w="48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317"/>
        </w:trPr>
        <w:tc>
          <w:tcPr>
            <w:tcW w:w="4800" w:type="dxa"/>
            <w:vAlign w:val="bottom"/>
          </w:tcPr>
          <w:p>
            <w:pPr>
              <w:spacing w:after="0"/>
              <w:rPr>
                <w:sz w:val="24"/>
                <w:szCs w:val="24"/>
                <w:color w:val="auto"/>
              </w:rPr>
            </w:pPr>
          </w:p>
        </w:tc>
        <w:tc>
          <w:tcPr>
            <w:tcW w:w="7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6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23"/>
                <w:szCs w:val="23"/>
                <w:b w:val="1"/>
                <w:bCs w:val="1"/>
                <w:color w:val="auto"/>
                <w:vertAlign w:val="superscript"/>
              </w:rPr>
              <w:t>1</w:t>
            </w: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27"/>
        </w:trPr>
        <w:tc>
          <w:tcPr>
            <w:tcW w:w="4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51"/>
        </w:trPr>
        <w:tc>
          <w:tcPr>
            <w:tcW w:w="4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$ 2,302</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$ 3,494</w:t>
            </w:r>
          </w:p>
        </w:tc>
        <w:tc>
          <w:tcPr>
            <w:tcW w:w="1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$(1,192)</w:t>
            </w:r>
          </w:p>
        </w:tc>
        <w:tc>
          <w:tcPr>
            <w:tcW w:w="46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7"/>
              </w:rPr>
              <w:t>(34)%</w:t>
            </w:r>
          </w:p>
        </w:tc>
      </w:tr>
      <w:tr>
        <w:trPr>
          <w:trHeight w:val="27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9,634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12,060</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(2,426)</w:t>
            </w:r>
          </w:p>
        </w:tc>
        <w:tc>
          <w:tcPr>
            <w:tcW w:w="4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(20)%</w:t>
            </w:r>
          </w:p>
        </w:tc>
      </w:tr>
      <w:tr>
        <w:trPr>
          <w:trHeight w:val="54"/>
        </w:trPr>
        <w:tc>
          <w:tcPr>
            <w:tcW w:w="4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04"/>
        </w:trPr>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10,934</w:t>
            </w:r>
          </w:p>
        </w:tc>
        <w:tc>
          <w:tcPr>
            <w:tcW w:w="1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(1,705)</w:t>
            </w:r>
          </w:p>
        </w:tc>
        <w:tc>
          <w:tcPr>
            <w:tcW w:w="46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7"/>
              </w:rPr>
              <w:t>(16)%</w:t>
            </w:r>
          </w:p>
        </w:tc>
      </w:tr>
      <w:tr>
        <w:trPr>
          <w:trHeight w:val="270"/>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16,526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20,909</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(4,383)</w:t>
            </w:r>
          </w:p>
        </w:tc>
        <w:tc>
          <w:tcPr>
            <w:tcW w:w="4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(21)%</w:t>
            </w:r>
          </w:p>
        </w:tc>
      </w:tr>
      <w:tr>
        <w:trPr>
          <w:trHeight w:val="54"/>
        </w:trPr>
        <w:tc>
          <w:tcPr>
            <w:tcW w:w="4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7"/>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(230)</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61"/>
        </w:trPr>
        <w:tc>
          <w:tcPr>
            <w:tcW w:w="48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right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auto"/>
              <w:right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r>
      <w:tr>
        <w:trPr>
          <w:trHeight w:val="270"/>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40,628</w:t>
            </w:r>
          </w:p>
        </w:tc>
        <w:tc>
          <w:tcPr>
            <w:tcW w:w="580" w:type="dxa"/>
            <w:vAlign w:val="bottom"/>
          </w:tcPr>
          <w:p>
            <w:pPr>
              <w:spacing w:after="0"/>
              <w:rPr>
                <w:sz w:val="23"/>
                <w:szCs w:val="23"/>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50,564</w:t>
            </w:r>
          </w:p>
        </w:tc>
        <w:tc>
          <w:tcPr>
            <w:tcW w:w="220" w:type="dxa"/>
            <w:vAlign w:val="bottom"/>
          </w:tcPr>
          <w:p>
            <w:pPr>
              <w:spacing w:after="0"/>
              <w:rPr>
                <w:sz w:val="23"/>
                <w:szCs w:val="23"/>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(9,936)</w:t>
            </w:r>
          </w:p>
        </w:tc>
        <w:tc>
          <w:tcPr>
            <w:tcW w:w="4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7"/>
              </w:rPr>
              <w:t>(20)%</w:t>
            </w:r>
          </w:p>
        </w:tc>
      </w:tr>
      <w:tr>
        <w:trPr>
          <w:trHeight w:val="20"/>
        </w:trPr>
        <w:tc>
          <w:tcPr>
            <w:tcW w:w="4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5106035</wp:posOffset>
            </wp:positionH>
            <wp:positionV relativeFrom="paragraph">
              <wp:posOffset>-1414145</wp:posOffset>
            </wp:positionV>
            <wp:extent cx="1371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-1414145</wp:posOffset>
            </wp:positionV>
            <wp:extent cx="1371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-1414145</wp:posOffset>
            </wp:positionV>
            <wp:extent cx="1371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2" w:lineRule="exact"/>
        <w:rPr>
          <w:sz w:val="20"/>
          <w:szCs w:val="20"/>
          <w:color w:val="auto"/>
        </w:rPr>
      </w:pPr>
    </w:p>
    <w:p>
      <w:pPr>
        <w:jc w:val="both"/>
        <w:ind w:left="640" w:right="299" w:hanging="348"/>
        <w:spacing w:after="0" w:line="241" w:lineRule="auto"/>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March 31, 2023, general and administrative expenses have been retrospectively adjusted to reflect the restatement of previously reported credit losses. See Note 2, “Summary of Significant Accounting Policies,” to our condensed consolidated financial statements included in our Quarterly Report on Form 10-Q for further information.</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Cost of revenues was $2.3 million or 5% of net revenues, for the three months ended March 31, 2024 compared to $3.5 million, or 8% of net revenues, for the same period in 2023. The decrease of $1.2 million was primarily related to a decrease of $0.9 million for cost of revenues associated with multi-channel marketing and cloud communication platforms primarily due to the sunset of WM CRM, WM Screens and WM AdSuite and a decrease of $0.3 million in server costs.</w:t>
      </w:r>
    </w:p>
    <w:p>
      <w:pPr>
        <w:spacing w:after="0" w:line="3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decrease in sales and marketing expenses was primarily related to a decrease in personnel-related costs of $3.6 million, outside services expense of $0.3 million, branding and advertising expenses of $0.3 million, partially offset by an increase in web advertising of $1.0 million, an increase in print and products expense of $0.4 million and an increase in events expense of $0.2 million. The decrease in personnel-related costs was primarily related to a decrease in transaction related bonuses of $1.8 million and the impact of a reduction in workforce, including decreases in salaries and wages of $1.0 million and stock-based compensation expense of $0.5 million.</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Product Development Expenses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decrease in product development expenses was primarily due to a decrease in personnel-related costs of $2.0 million, partially offset by an increase in outside services expense of $0.2 million. The decrease in personnel-related costs was primarily related to the impact of a reduction in workforce, including decreases in salaries and wages of $1.1 million and stock-based compensation expense of $0.3 million and a decrease in transaction related bonuses of $1.0 million.</w:t>
      </w:r>
    </w:p>
    <w:p>
      <w:pPr>
        <w:spacing w:after="0" w:line="3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decrease in general and administrative expenses was primarily due to decreases in provision (benefit) for credit losses of $1.1 million, stock-based compensation expense of $0.7 million, salaries and wages of $0.7 million, insurance expense of $0.5 million, software expense of $0.5 million, employee benefits expense of $0.3 million, professional fees of $0.2 million and facilities expense of $0.2 million.</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decrease in depreciation and amortization expense was primarily due lower amortization expense related to intangible assets that have been fully amortized of 0.5 million, partially offset by an increase in depreciation of $0.1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226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8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50"/>
        </w:trPr>
        <w:tc>
          <w:tcPr>
            <w:tcW w:w="47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r>
      <w:tr>
        <w:trPr>
          <w:trHeight w:val="227"/>
        </w:trPr>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1"/>
        </w:trPr>
        <w:tc>
          <w:tcPr>
            <w:tcW w:w="47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r>
      <w:tr>
        <w:trPr>
          <w:trHeight w:val="227"/>
        </w:trPr>
        <w:tc>
          <w:tcPr>
            <w:tcW w:w="4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50"/>
        </w:trPr>
        <w:tc>
          <w:tcPr>
            <w:tcW w:w="4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18"/>
        </w:trPr>
        <w:tc>
          <w:tcPr>
            <w:tcW w:w="4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(850)</w:t>
            </w:r>
          </w:p>
        </w:tc>
        <w:tc>
          <w:tcPr>
            <w:tcW w:w="10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$ 725</w:t>
            </w:r>
          </w:p>
        </w:tc>
        <w:tc>
          <w:tcPr>
            <w:tcW w:w="2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$(1,575)</w:t>
            </w:r>
          </w:p>
        </w:tc>
        <w:tc>
          <w:tcPr>
            <w:tcW w:w="5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217%</w:t>
            </w:r>
          </w:p>
        </w:tc>
      </w:tr>
      <w:tr>
        <w:trPr>
          <w:trHeight w:val="27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(543)</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(443)</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(443)%</w:t>
            </w:r>
          </w:p>
        </w:tc>
      </w:tr>
      <w:tr>
        <w:trPr>
          <w:trHeight w:val="54"/>
        </w:trPr>
        <w:tc>
          <w:tcPr>
            <w:tcW w:w="4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(446)</w:t>
            </w:r>
          </w:p>
        </w:tc>
        <w:tc>
          <w:tcPr>
            <w:tcW w:w="20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r>
      <w:tr>
        <w:trPr>
          <w:trHeight w:val="61"/>
        </w:trPr>
        <w:tc>
          <w:tcPr>
            <w:tcW w:w="47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r>
      <w:tr>
        <w:trPr>
          <w:trHeight w:val="28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$(1,793)</w:t>
            </w: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$ 179</w:t>
            </w:r>
          </w:p>
        </w:tc>
        <w:tc>
          <w:tcPr>
            <w:tcW w:w="200" w:type="dxa"/>
            <w:vAlign w:val="bottom"/>
          </w:tcPr>
          <w:p>
            <w:pPr>
              <w:spacing w:after="0"/>
              <w:rPr>
                <w:sz w:val="24"/>
                <w:szCs w:val="24"/>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$(1,972)</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1102%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5054600</wp:posOffset>
            </wp:positionH>
            <wp:positionV relativeFrom="paragraph">
              <wp:posOffset>-1002030</wp:posOffset>
            </wp:positionV>
            <wp:extent cx="1200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-1002030</wp:posOffset>
            </wp:positionV>
            <wp:extent cx="1200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-1002030</wp:posOffset>
            </wp:positionV>
            <wp:extent cx="1200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2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decrease in other income (expense) net was primarily due to comparatively unfavorable changes in fair value of warrant liability of $1.6 million.</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5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80" w:type="dxa"/>
            <w:vAlign w:val="bottom"/>
          </w:tcPr>
          <w:p>
            <w:pPr>
              <w:spacing w:after="0"/>
              <w:rPr>
                <w:sz w:val="16"/>
                <w:szCs w:val="16"/>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51"/>
        </w:trPr>
        <w:tc>
          <w:tcPr>
            <w:tcW w:w="506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227"/>
        </w:trPr>
        <w:tc>
          <w:tcPr>
            <w:tcW w:w="5060" w:type="dxa"/>
            <w:vAlign w:val="bottom"/>
          </w:tcPr>
          <w:p>
            <w:pPr>
              <w:spacing w:after="0"/>
              <w:rPr>
                <w:sz w:val="19"/>
                <w:szCs w:val="19"/>
                <w:color w:val="auto"/>
              </w:rPr>
            </w:pPr>
          </w:p>
        </w:tc>
        <w:tc>
          <w:tcPr>
            <w:tcW w:w="82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0"/>
        </w:trPr>
        <w:tc>
          <w:tcPr>
            <w:tcW w:w="506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227"/>
        </w:trPr>
        <w:tc>
          <w:tcPr>
            <w:tcW w:w="5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51"/>
        </w:trPr>
        <w:tc>
          <w:tcPr>
            <w:tcW w:w="50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83"/>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8"/>
                <w:szCs w:val="18"/>
                <w:color w:val="auto"/>
              </w:rPr>
              <w:t>$9</w:t>
            </w:r>
          </w:p>
        </w:tc>
        <w:tc>
          <w:tcPr>
            <w:tcW w:w="170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$9</w:t>
            </w:r>
          </w:p>
        </w:tc>
        <w:tc>
          <w:tcPr>
            <w:tcW w:w="660" w:type="dxa"/>
            <w:vAlign w:val="bottom"/>
            <w:shd w:val="clear" w:color="auto" w:fill="CCEEFF"/>
          </w:tcPr>
          <w:p>
            <w:pPr>
              <w:jc w:val="center"/>
              <w:ind w:left="202"/>
              <w:spacing w:after="0"/>
              <w:rPr>
                <w:sz w:val="20"/>
                <w:szCs w:val="20"/>
                <w:color w:val="auto"/>
              </w:rPr>
            </w:pPr>
            <w:r>
              <w:rPr>
                <w:rFonts w:ascii="Times New Roman" w:cs="Times New Roman" w:eastAsia="Times New Roman" w:hAnsi="Times New Roman"/>
                <w:sz w:val="18"/>
                <w:szCs w:val="18"/>
                <w:color w:val="auto"/>
                <w:w w:val="99"/>
              </w:rPr>
              <w:t>N/M</w:t>
            </w:r>
          </w:p>
        </w:tc>
      </w:tr>
      <w:tr>
        <w:trPr>
          <w:trHeight w:val="54"/>
        </w:trPr>
        <w:tc>
          <w:tcPr>
            <w:tcW w:w="506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40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4814570</wp:posOffset>
            </wp:positionH>
            <wp:positionV relativeFrom="paragraph">
              <wp:posOffset>-402590</wp:posOffset>
            </wp:positionV>
            <wp:extent cx="4972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-402590</wp:posOffset>
            </wp:positionV>
            <wp:extent cx="1968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0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2024 and March 31, 2023, the Company recorded $9 thousand in income tax provisions due to the impact of the full valuation allowance on its net deferred assets. See Note 2, “Summary of Significant Accounting Policies,” to our consolidated financial statements included in our Quarterly Report on Form 10-Q for further information.</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tables show our cash, accounts receivable and working capital as of the dates indicated:</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50"/>
        </w:trPr>
        <w:tc>
          <w:tcPr>
            <w:tcW w:w="6040" w:type="dxa"/>
            <w:vAlign w:val="bottom"/>
          </w:tcPr>
          <w:p>
            <w:pPr>
              <w:spacing w:after="0"/>
              <w:rPr>
                <w:sz w:val="4"/>
                <w:szCs w:val="4"/>
                <w:color w:val="auto"/>
              </w:rPr>
            </w:pPr>
          </w:p>
        </w:tc>
        <w:tc>
          <w:tcPr>
            <w:tcW w:w="2380" w:type="dxa"/>
            <w:vAlign w:val="bottom"/>
            <w:tcBorders>
              <w:bottom w:val="single" w:sz="8" w:color="auto"/>
            </w:tcBorders>
            <w:gridSpan w:val="2"/>
          </w:tcPr>
          <w:p>
            <w:pPr>
              <w:spacing w:after="0"/>
              <w:rPr>
                <w:sz w:val="4"/>
                <w:szCs w:val="4"/>
                <w:color w:val="auto"/>
              </w:rPr>
            </w:pPr>
          </w:p>
        </w:tc>
      </w:tr>
      <w:tr>
        <w:trPr>
          <w:trHeight w:val="227"/>
        </w:trPr>
        <w:tc>
          <w:tcPr>
            <w:tcW w:w="6040" w:type="dxa"/>
            <w:vAlign w:val="bottom"/>
          </w:tcPr>
          <w:p>
            <w:pPr>
              <w:spacing w:after="0"/>
              <w:rPr>
                <w:sz w:val="19"/>
                <w:szCs w:val="19"/>
                <w:color w:val="auto"/>
              </w:rPr>
            </w:pPr>
          </w:p>
        </w:tc>
        <w:tc>
          <w:tcPr>
            <w:tcW w:w="2380" w:type="dxa"/>
            <w:vAlign w:val="bottom"/>
            <w:gridSpan w:val="2"/>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50"/>
        </w:trPr>
        <w:tc>
          <w:tcPr>
            <w:tcW w:w="60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18"/>
        </w:trPr>
        <w:tc>
          <w:tcPr>
            <w:tcW w:w="6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80" w:type="dxa"/>
            <w:vAlign w:val="bottom"/>
            <w:tcBorders>
              <w:bottom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$35,717</w:t>
            </w:r>
          </w:p>
        </w:tc>
        <w:tc>
          <w:tcPr>
            <w:tcW w:w="1300" w:type="dxa"/>
            <w:vAlign w:val="bottom"/>
            <w:tcBorders>
              <w:bottom w:val="single" w:sz="8" w:color="CCEEFF"/>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$34,350</w:t>
            </w: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08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7,893</w:t>
            </w:r>
          </w:p>
        </w:tc>
        <w:tc>
          <w:tcPr>
            <w:tcW w:w="130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11,158</w:t>
            </w:r>
          </w:p>
        </w:tc>
      </w:tr>
      <w:tr>
        <w:trPr>
          <w:trHeight w:val="54"/>
        </w:trPr>
        <w:tc>
          <w:tcPr>
            <w:tcW w:w="60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08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20,266</w:t>
            </w:r>
          </w:p>
        </w:tc>
        <w:tc>
          <w:tcPr>
            <w:tcW w:w="130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17,771</w:t>
            </w:r>
          </w:p>
        </w:tc>
      </w:tr>
      <w:tr>
        <w:trPr>
          <w:trHeight w:val="54"/>
        </w:trPr>
        <w:tc>
          <w:tcPr>
            <w:tcW w:w="604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-813435</wp:posOffset>
            </wp:positionV>
            <wp:extent cx="137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of March 31, 2024 and December 31, 2023, we had cash of $35.7 million and $34.4 million, respectively. Our funds are being used for funding our current operations and potential strategic acquisitions in the future. We also intend to increase our capital expenditures to support the organic growth in our business and operations. We expect to fund our liquidity requirements from cash and working capital on hand at March 31, 2024, as well as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left="300" w:right="319"/>
        <w:spacing w:after="0" w:line="255" w:lineRule="auto"/>
        <w:rPr>
          <w:sz w:val="20"/>
          <w:szCs w:val="20"/>
          <w:color w:val="auto"/>
        </w:rPr>
      </w:pPr>
      <w:r>
        <w:rPr>
          <w:rFonts w:ascii="Times New Roman" w:cs="Times New Roman" w:eastAsia="Times New Roman" w:hAnsi="Times New Roman"/>
          <w:sz w:val="18"/>
          <w:szCs w:val="18"/>
          <w:color w:val="auto"/>
        </w:rPr>
        <w:t>We primarily finance our operations and capital expenditures through cash flows generated by operations. 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50"/>
        </w:trPr>
        <w:tc>
          <w:tcPr>
            <w:tcW w:w="630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27"/>
        </w:trPr>
        <w:tc>
          <w:tcPr>
            <w:tcW w:w="6300" w:type="dxa"/>
            <w:vAlign w:val="bottom"/>
          </w:tcPr>
          <w:p>
            <w:pPr>
              <w:spacing w:after="0"/>
              <w:rPr>
                <w:sz w:val="19"/>
                <w:szCs w:val="19"/>
                <w:color w:val="auto"/>
              </w:rPr>
            </w:pPr>
          </w:p>
        </w:tc>
        <w:tc>
          <w:tcPr>
            <w:tcW w:w="110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51"/>
        </w:trPr>
        <w:tc>
          <w:tcPr>
            <w:tcW w:w="6300" w:type="dxa"/>
            <w:vAlign w:val="bottom"/>
          </w:tcPr>
          <w:p>
            <w:pPr>
              <w:spacing w:after="0"/>
              <w:rPr>
                <w:sz w:val="4"/>
                <w:szCs w:val="4"/>
                <w:color w:val="auto"/>
              </w:rPr>
            </w:pPr>
          </w:p>
        </w:tc>
        <w:tc>
          <w:tcPr>
            <w:tcW w:w="2120" w:type="dxa"/>
            <w:vAlign w:val="bottom"/>
            <w:tcBorders>
              <w:bottom w:val="single" w:sz="8" w:color="auto"/>
            </w:tcBorders>
            <w:gridSpan w:val="2"/>
          </w:tcPr>
          <w:p>
            <w:pPr>
              <w:spacing w:after="0"/>
              <w:rPr>
                <w:sz w:val="4"/>
                <w:szCs w:val="4"/>
                <w:color w:val="auto"/>
              </w:rPr>
            </w:pPr>
          </w:p>
        </w:tc>
      </w:tr>
      <w:tr>
        <w:trPr>
          <w:trHeight w:val="227"/>
        </w:trPr>
        <w:tc>
          <w:tcPr>
            <w:tcW w:w="6300" w:type="dxa"/>
            <w:vAlign w:val="bottom"/>
          </w:tcPr>
          <w:p>
            <w:pPr>
              <w:spacing w:after="0"/>
              <w:rPr>
                <w:sz w:val="19"/>
                <w:szCs w:val="19"/>
                <w:color w:val="auto"/>
              </w:rPr>
            </w:pPr>
          </w:p>
        </w:tc>
        <w:tc>
          <w:tcPr>
            <w:tcW w:w="21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50"/>
        </w:trPr>
        <w:tc>
          <w:tcPr>
            <w:tcW w:w="6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318"/>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$ 7,402</w:t>
            </w:r>
          </w:p>
        </w:tc>
        <w:tc>
          <w:tcPr>
            <w:tcW w:w="1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$ 2,157</w:t>
            </w: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$(4,540)</w:t>
            </w:r>
          </w:p>
        </w:tc>
        <w:tc>
          <w:tcPr>
            <w:tcW w:w="10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$(3,226)</w:t>
            </w:r>
          </w:p>
        </w:tc>
      </w:tr>
      <w:tr>
        <w:trPr>
          <w:trHeight w:val="54"/>
        </w:trPr>
        <w:tc>
          <w:tcPr>
            <w:tcW w:w="6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7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$(1,495)</w:t>
            </w:r>
          </w:p>
        </w:tc>
        <w:tc>
          <w:tcPr>
            <w:tcW w:w="1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$(1,612)</w:t>
            </w:r>
          </w:p>
        </w:tc>
      </w:tr>
      <w:tr>
        <w:trPr>
          <w:trHeight w:val="54"/>
        </w:trPr>
        <w:tc>
          <w:tcPr>
            <w:tcW w:w="630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-813435</wp:posOffset>
            </wp:positionV>
            <wp:extent cx="137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Cash from operating activities consists primarily of net income (loss) adjusted for certain non-cash items, including depreciation and amortization, change in fair value of warrant liability, change in TRA liability, stock-based compensation, deferred taxes, provision (benefit) for credit losses, net of recoveries and the effect of changes in working capital.</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March 31, 2024 was $7.4 million, which resulted from net income of $2.0 million, together with net cash outflows of $2.2 million from changes in operating assets and liabilities, and non-cash items of $7.7 million, consisting of depreciation and amortization of $2.9 million, fair value of warrant liability of $0.9 million, stock-based compensation of $2.8 million, amortization of right-of-use lease assets of $1.2 million, and change in tax receivable agreement of $0.5 million, partially offset by provision (benefit) for credit losses, net of recoveries of $0.7 million. Net cash outflows from changes in operating assets and liabilities was primarily due to a decrease in accounts payable and accrued expenses of $3.7 million, a decrease in operating lease liabilities of $1.7 million, an increase in prepaid expenses and other current assets of $0.7 million, a decrease in deferred revenue of $0.1 million, partially offset by a decrease in accounts receivable of $3.9 million. The changes in operating assets and liabilities are mostly due to fluctuations in timing of cash receipts and payments.</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March 31, 2023 was $2.2 million, which resulted from net loss of approximately $4.0 million, together with net cash outflows of approximately $2.4 million from changes in operating assets and liabilities, and non-cash items of $8.5 million, consisting of depreciation and amortization of $3.2 million, fair value of warrant liability of $0.7 million, stock-based compensation of $4.4 million, amortization of right-of-use lease assets of $1.2 million, provision (benefit) for credit losses of $0.4 million and change in tax receivable agreement of $0.1 million.</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Net cash outflows from changes in operating assets and liabilities were primarily due to a decrease in accounts payable and accrued expenses of $5.1 million and a decrease in operating lease liabilities of $1.5 million, offset by a decrease in accounts receivables of $1.7 million, an increase in deferred revenue of $0.1 million and a decrease in prepaid expenses and other current assets of $2.4 million. The changes in operating assets and liabilities are mostly due to fluctuations in timing of cash receipts and payments.</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for the three months ended March 31, 2024 was $4.5 million, which resulted from $4.5 million cash paid for capital expenditures which include purchases of property and equipment and capitalized software development costs.</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for the three months ended March 31, 2023 was $3.2 million, which resulted from $3.2 million cash paid for purchases of property and equipment, which includes capitalized software development cost.</w:t>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Cash outflows from financing activities for the three months ended March 31, 2024 was $1.5 million, which primarily consists of $1.6 million in distributions payments to members of WMH LLC and $0.1 million in proceeds from collection of related party note receivable.</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Cash outflows from financing activities for three months ended March 31, 2023 was $1.6 million, which primarily consists of $1.5 million in repayments of insurance premium financing, $0.3 million in distributions payments to members of WMH LLC, and $0.1 million in proceeds from collection of related party note receivable.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2023 and 2022</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 and expresses the relationship of certain line items as a percentage of net revenues for those periods. The period-to-period comparison of financial results is not necessarily indicative of future results.</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gridSpan w:val="7"/>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51"/>
        </w:trPr>
        <w:tc>
          <w:tcPr>
            <w:tcW w:w="47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42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4"/>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4"/>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50"/>
        </w:trPr>
        <w:tc>
          <w:tcPr>
            <w:tcW w:w="47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Revenue</w:t>
            </w:r>
          </w:p>
        </w:tc>
        <w:tc>
          <w:tcPr>
            <w:tcW w:w="18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Revenue</w:t>
            </w:r>
          </w:p>
        </w:tc>
      </w:tr>
      <w:tr>
        <w:trPr>
          <w:trHeight w:val="50"/>
        </w:trPr>
        <w:tc>
          <w:tcPr>
            <w:tcW w:w="474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60" w:type="dxa"/>
            <w:vAlign w:val="bottom"/>
            <w:gridSpan w:val="7"/>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51"/>
        </w:trPr>
        <w:tc>
          <w:tcPr>
            <w:tcW w:w="474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$187,993</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9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$ 215,531</w:t>
            </w:r>
          </w:p>
        </w:tc>
        <w:tc>
          <w:tcPr>
            <w:tcW w:w="2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r>
      <w:tr>
        <w:trPr>
          <w:trHeight w:val="324"/>
        </w:trPr>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04"/>
        </w:trPr>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right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r>
      <w:tr>
        <w:trPr>
          <w:trHeight w:val="252"/>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4"/>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12,527</w:t>
            </w:r>
          </w:p>
        </w:tc>
        <w:tc>
          <w:tcPr>
            <w:tcW w:w="80" w:type="dxa"/>
            <w:vAlign w:val="bottom"/>
          </w:tcPr>
          <w:p>
            <w:pPr>
              <w:spacing w:after="0"/>
              <w:rPr>
                <w:sz w:val="20"/>
                <w:szCs w:val="20"/>
                <w:color w:val="auto"/>
              </w:rPr>
            </w:pPr>
          </w:p>
        </w:tc>
        <w:tc>
          <w:tcPr>
            <w:tcW w:w="9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15,407</w:t>
            </w:r>
          </w:p>
        </w:tc>
        <w:tc>
          <w:tcPr>
            <w:tcW w:w="280" w:type="dxa"/>
            <w:vAlign w:val="bottom"/>
          </w:tcPr>
          <w:p>
            <w:pPr>
              <w:spacing w:after="0"/>
              <w:rPr>
                <w:sz w:val="20"/>
                <w:szCs w:val="20"/>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r>
      <w:tr>
        <w:trPr>
          <w:trHeight w:val="54"/>
        </w:trPr>
        <w:tc>
          <w:tcPr>
            <w:tcW w:w="4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04"/>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47,073</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w:t>
            </w:r>
          </w:p>
        </w:tc>
        <w:tc>
          <w:tcPr>
            <w:tcW w:w="9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82,624</w:t>
            </w:r>
          </w:p>
        </w:tc>
        <w:tc>
          <w:tcPr>
            <w:tcW w:w="2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38.3%</w:t>
            </w:r>
          </w:p>
        </w:tc>
      </w:tr>
      <w:tr>
        <w:trPr>
          <w:trHeight w:val="270"/>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10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36,001</w:t>
            </w:r>
          </w:p>
        </w:tc>
        <w:tc>
          <w:tcPr>
            <w:tcW w:w="80" w:type="dxa"/>
            <w:vAlign w:val="bottom"/>
          </w:tcPr>
          <w:p>
            <w:pPr>
              <w:spacing w:after="0"/>
              <w:rPr>
                <w:sz w:val="23"/>
                <w:szCs w:val="23"/>
                <w:color w:val="auto"/>
              </w:rPr>
            </w:pPr>
          </w:p>
        </w:tc>
        <w:tc>
          <w:tcPr>
            <w:tcW w:w="9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19.2%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50,520</w:t>
            </w:r>
          </w:p>
        </w:tc>
        <w:tc>
          <w:tcPr>
            <w:tcW w:w="280" w:type="dxa"/>
            <w:vAlign w:val="bottom"/>
          </w:tcPr>
          <w:p>
            <w:pPr>
              <w:spacing w:after="0"/>
              <w:rPr>
                <w:sz w:val="23"/>
                <w:szCs w:val="23"/>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23.4%</w:t>
            </w:r>
          </w:p>
        </w:tc>
      </w:tr>
      <w:tr>
        <w:trPr>
          <w:trHeight w:val="54"/>
        </w:trPr>
        <w:tc>
          <w:tcPr>
            <w:tcW w:w="4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04"/>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74,313</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39.5%</w:t>
            </w:r>
          </w:p>
        </w:tc>
        <w:tc>
          <w:tcPr>
            <w:tcW w:w="9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120,787</w:t>
            </w:r>
          </w:p>
        </w:tc>
        <w:tc>
          <w:tcPr>
            <w:tcW w:w="2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56.0%</w:t>
            </w:r>
          </w:p>
        </w:tc>
      </w:tr>
      <w:tr>
        <w:trPr>
          <w:trHeight w:val="270"/>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23"/>
                <w:szCs w:val="23"/>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80" w:type="dxa"/>
            <w:vAlign w:val="bottom"/>
          </w:tcPr>
          <w:p>
            <w:pPr>
              <w:spacing w:after="0"/>
              <w:rPr>
                <w:sz w:val="23"/>
                <w:szCs w:val="23"/>
                <w:color w:val="auto"/>
              </w:rPr>
            </w:pPr>
          </w:p>
        </w:tc>
        <w:tc>
          <w:tcPr>
            <w:tcW w:w="9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11,498</w:t>
            </w:r>
          </w:p>
        </w:tc>
        <w:tc>
          <w:tcPr>
            <w:tcW w:w="280" w:type="dxa"/>
            <w:vAlign w:val="bottom"/>
          </w:tcPr>
          <w:p>
            <w:pPr>
              <w:spacing w:after="0"/>
              <w:rPr>
                <w:sz w:val="23"/>
                <w:szCs w:val="23"/>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r>
      <w:tr>
        <w:trPr>
          <w:trHeight w:val="54"/>
        </w:trPr>
        <w:tc>
          <w:tcPr>
            <w:tcW w:w="4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7"/>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1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80" w:type="dxa"/>
            <w:vAlign w:val="bottom"/>
            <w:shd w:val="clear" w:color="auto" w:fill="CCEEFF"/>
          </w:tcPr>
          <w:p>
            <w:pPr>
              <w:spacing w:after="0"/>
              <w:rPr>
                <w:sz w:val="22"/>
                <w:szCs w:val="22"/>
                <w:color w:val="auto"/>
              </w:rPr>
            </w:pPr>
          </w:p>
        </w:tc>
        <w:tc>
          <w:tcPr>
            <w:tcW w:w="9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w:t>
            </w: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280" w:type="dxa"/>
            <w:vAlign w:val="bottom"/>
            <w:shd w:val="clear" w:color="auto" w:fill="CCEEFF"/>
          </w:tcPr>
          <w:p>
            <w:pPr>
              <w:spacing w:after="0"/>
              <w:rPr>
                <w:sz w:val="22"/>
                <w:szCs w:val="22"/>
                <w:color w:val="auto"/>
              </w:rPr>
            </w:pPr>
          </w:p>
        </w:tc>
        <w:tc>
          <w:tcPr>
            <w:tcW w:w="7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r>
      <w:tr>
        <w:trPr>
          <w:trHeight w:val="61"/>
        </w:trPr>
        <w:tc>
          <w:tcPr>
            <w:tcW w:w="4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auto"/>
              <w:right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r>
      <w:tr>
        <w:trPr>
          <w:trHeight w:val="270"/>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206,450</w:t>
            </w:r>
          </w:p>
        </w:tc>
        <w:tc>
          <w:tcPr>
            <w:tcW w:w="80" w:type="dxa"/>
            <w:vAlign w:val="bottom"/>
          </w:tcPr>
          <w:p>
            <w:pPr>
              <w:spacing w:after="0"/>
              <w:rPr>
                <w:sz w:val="23"/>
                <w:szCs w:val="23"/>
                <w:color w:val="auto"/>
              </w:rPr>
            </w:pPr>
          </w:p>
        </w:tc>
        <w:tc>
          <w:tcPr>
            <w:tcW w:w="9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109.8%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285,153</w:t>
            </w:r>
          </w:p>
        </w:tc>
        <w:tc>
          <w:tcPr>
            <w:tcW w:w="280" w:type="dxa"/>
            <w:vAlign w:val="bottom"/>
          </w:tcPr>
          <w:p>
            <w:pPr>
              <w:spacing w:after="0"/>
              <w:rPr>
                <w:sz w:val="23"/>
                <w:szCs w:val="23"/>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132.3%</w:t>
            </w:r>
          </w:p>
        </w:tc>
      </w:tr>
      <w:tr>
        <w:trPr>
          <w:trHeight w:val="61"/>
        </w:trPr>
        <w:tc>
          <w:tcPr>
            <w:tcW w:w="47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r>
      <w:tr>
        <w:trPr>
          <w:trHeight w:val="318"/>
        </w:trPr>
        <w:tc>
          <w:tcPr>
            <w:tcW w:w="4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(18,457)</w:t>
            </w:r>
          </w:p>
        </w:tc>
        <w:tc>
          <w:tcPr>
            <w:tcW w:w="9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c>
          <w:tcPr>
            <w:tcW w:w="12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(69,622)</w:t>
            </w:r>
          </w:p>
        </w:tc>
        <w:tc>
          <w:tcPr>
            <w:tcW w:w="7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(32.3)%</w:t>
            </w:r>
          </w:p>
        </w:tc>
      </w:tr>
      <w:tr>
        <w:trPr>
          <w:trHeight w:val="27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54"/>
        </w:trPr>
        <w:tc>
          <w:tcPr>
            <w:tcW w:w="4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04"/>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c>
          <w:tcPr>
            <w:tcW w:w="9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25,370</w:t>
            </w:r>
          </w:p>
        </w:tc>
        <w:tc>
          <w:tcPr>
            <w:tcW w:w="2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w:t>
            </w:r>
          </w:p>
        </w:tc>
      </w:tr>
      <w:tr>
        <w:trPr>
          <w:trHeight w:val="270"/>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00" w:type="dxa"/>
            <w:vAlign w:val="bottom"/>
          </w:tcPr>
          <w:p>
            <w:pPr>
              <w:spacing w:after="0"/>
              <w:rPr>
                <w:sz w:val="23"/>
                <w:szCs w:val="23"/>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(1,256)</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142,352</w:t>
            </w:r>
          </w:p>
        </w:tc>
        <w:tc>
          <w:tcPr>
            <w:tcW w:w="280" w:type="dxa"/>
            <w:vAlign w:val="bottom"/>
          </w:tcPr>
          <w:p>
            <w:pPr>
              <w:spacing w:after="0"/>
              <w:rPr>
                <w:sz w:val="23"/>
                <w:szCs w:val="23"/>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66.0%</w:t>
            </w:r>
          </w:p>
        </w:tc>
      </w:tr>
      <w:tr>
        <w:trPr>
          <w:trHeight w:val="54"/>
        </w:trPr>
        <w:tc>
          <w:tcPr>
            <w:tcW w:w="4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7"/>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80" w:type="dxa"/>
            <w:vAlign w:val="bottom"/>
            <w:shd w:val="clear" w:color="auto" w:fill="CCEEFF"/>
          </w:tcPr>
          <w:p>
            <w:pPr>
              <w:spacing w:after="0"/>
              <w:rPr>
                <w:sz w:val="22"/>
                <w:szCs w:val="22"/>
                <w:color w:val="auto"/>
              </w:rPr>
            </w:pPr>
          </w:p>
        </w:tc>
        <w:tc>
          <w:tcPr>
            <w:tcW w:w="9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(1,674)</w:t>
            </w:r>
          </w:p>
        </w:tc>
        <w:tc>
          <w:tcPr>
            <w:tcW w:w="7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r>
      <w:tr>
        <w:trPr>
          <w:trHeight w:val="61"/>
        </w:trPr>
        <w:tc>
          <w:tcPr>
            <w:tcW w:w="4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auto"/>
              <w:right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r>
      <w:tr>
        <w:trPr>
          <w:trHeight w:val="284"/>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tcPr>
          <w:p>
            <w:pPr>
              <w:spacing w:after="0"/>
              <w:rPr>
                <w:sz w:val="24"/>
                <w:szCs w:val="24"/>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7"/>
              </w:rPr>
              <w:t>(15,634)</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96,426</w:t>
            </w:r>
          </w:p>
        </w:tc>
        <w:tc>
          <w:tcPr>
            <w:tcW w:w="280" w:type="dxa"/>
            <w:vAlign w:val="bottom"/>
          </w:tcPr>
          <w:p>
            <w:pPr>
              <w:spacing w:after="0"/>
              <w:rPr>
                <w:sz w:val="24"/>
                <w:szCs w:val="24"/>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44.7%</w:t>
            </w:r>
          </w:p>
        </w:tc>
      </w:tr>
      <w:tr>
        <w:trPr>
          <w:trHeight w:val="54"/>
        </w:trPr>
        <w:tc>
          <w:tcPr>
            <w:tcW w:w="4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7"/>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0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179,077</w:t>
            </w:r>
          </w:p>
        </w:tc>
        <w:tc>
          <w:tcPr>
            <w:tcW w:w="280" w:type="dxa"/>
            <w:vAlign w:val="bottom"/>
            <w:shd w:val="clear" w:color="auto" w:fill="CCEEFF"/>
          </w:tcPr>
          <w:p>
            <w:pPr>
              <w:spacing w:after="0"/>
              <w:rPr>
                <w:sz w:val="22"/>
                <w:szCs w:val="22"/>
                <w:color w:val="auto"/>
              </w:rPr>
            </w:pPr>
          </w:p>
        </w:tc>
        <w:tc>
          <w:tcPr>
            <w:tcW w:w="7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83.1%</w:t>
            </w:r>
          </w:p>
        </w:tc>
      </w:tr>
      <w:tr>
        <w:trPr>
          <w:trHeight w:val="61"/>
        </w:trPr>
        <w:tc>
          <w:tcPr>
            <w:tcW w:w="4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auto"/>
              <w:right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r>
      <w:tr>
        <w:trPr>
          <w:trHeight w:val="284"/>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24"/>
                <w:szCs w:val="24"/>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7"/>
              </w:rPr>
              <w:t>(15,727)</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(82,651)</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(38.3)%</w:t>
            </w:r>
          </w:p>
        </w:tc>
      </w:tr>
      <w:tr>
        <w:trPr>
          <w:trHeight w:val="54"/>
        </w:trPr>
        <w:tc>
          <w:tcPr>
            <w:tcW w:w="4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7"/>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income attributable to noncontrolling interests</w:t>
            </w:r>
          </w:p>
        </w:tc>
        <w:tc>
          <w:tcPr>
            <w:tcW w:w="100" w:type="dxa"/>
            <w:vAlign w:val="bottom"/>
            <w:shd w:val="clear" w:color="auto" w:fill="CCEEFF"/>
          </w:tcPr>
          <w:p>
            <w:pPr>
              <w:spacing w:after="0"/>
              <w:rPr>
                <w:sz w:val="22"/>
                <w:szCs w:val="22"/>
                <w:color w:val="auto"/>
              </w:rPr>
            </w:pP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(5,829)</w:t>
            </w:r>
          </w:p>
        </w:tc>
        <w:tc>
          <w:tcPr>
            <w:tcW w:w="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33,338</w:t>
            </w:r>
          </w:p>
        </w:tc>
        <w:tc>
          <w:tcPr>
            <w:tcW w:w="280" w:type="dxa"/>
            <w:vAlign w:val="bottom"/>
            <w:shd w:val="clear" w:color="auto" w:fill="CCEEFF"/>
          </w:tcPr>
          <w:p>
            <w:pPr>
              <w:spacing w:after="0"/>
              <w:rPr>
                <w:sz w:val="22"/>
                <w:szCs w:val="22"/>
                <w:color w:val="auto"/>
              </w:rPr>
            </w:pPr>
          </w:p>
        </w:tc>
        <w:tc>
          <w:tcPr>
            <w:tcW w:w="7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w:t>
            </w:r>
          </w:p>
        </w:tc>
      </w:tr>
      <w:tr>
        <w:trPr>
          <w:trHeight w:val="61"/>
        </w:trPr>
        <w:tc>
          <w:tcPr>
            <w:tcW w:w="4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auto"/>
              <w:right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r>
      <w:tr>
        <w:trPr>
          <w:trHeight w:val="270"/>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attributable to WM Technology, Inc.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(9,898)</w:t>
            </w:r>
          </w:p>
        </w:tc>
        <w:tc>
          <w:tcPr>
            <w:tcW w:w="9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(115,989)</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(53.8)%</w:t>
            </w:r>
          </w:p>
        </w:tc>
      </w:tr>
      <w:tr>
        <w:trPr>
          <w:trHeight w:val="20"/>
        </w:trPr>
        <w:tc>
          <w:tcPr>
            <w:tcW w:w="4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4917440</wp:posOffset>
            </wp:positionH>
            <wp:positionV relativeFrom="paragraph">
              <wp:posOffset>-4499610</wp:posOffset>
            </wp:positionV>
            <wp:extent cx="12001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-4499610</wp:posOffset>
            </wp:positionV>
            <wp:extent cx="12001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-4499610</wp:posOffset>
            </wp:positionV>
            <wp:extent cx="12001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2023 and 2022</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our disaggregated net revenue information:</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21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 w:type="dxa"/>
            <w:vAlign w:val="bottom"/>
          </w:tcPr>
          <w:p>
            <w:pPr>
              <w:spacing w:after="0"/>
              <w:rPr>
                <w:sz w:val="16"/>
                <w:szCs w:val="16"/>
                <w:color w:val="auto"/>
              </w:rPr>
            </w:pPr>
          </w:p>
        </w:tc>
        <w:tc>
          <w:tcPr>
            <w:tcW w:w="10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Pr>
          <w:p>
            <w:pPr>
              <w:spacing w:after="0"/>
              <w:rPr>
                <w:sz w:val="16"/>
                <w:szCs w:val="16"/>
                <w:color w:val="auto"/>
              </w:rPr>
            </w:pPr>
          </w:p>
        </w:tc>
      </w:tr>
      <w:tr>
        <w:trPr>
          <w:trHeight w:val="50"/>
        </w:trPr>
        <w:tc>
          <w:tcPr>
            <w:tcW w:w="478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r>
      <w:tr>
        <w:trPr>
          <w:trHeight w:val="226"/>
        </w:trPr>
        <w:tc>
          <w:tcPr>
            <w:tcW w:w="4780" w:type="dxa"/>
            <w:vAlign w:val="bottom"/>
          </w:tcPr>
          <w:p>
            <w:pPr>
              <w:spacing w:after="0"/>
              <w:rPr>
                <w:sz w:val="19"/>
                <w:szCs w:val="19"/>
                <w:color w:val="auto"/>
              </w:rPr>
            </w:pPr>
          </w:p>
        </w:tc>
        <w:tc>
          <w:tcPr>
            <w:tcW w:w="76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0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9"/>
                <w:szCs w:val="19"/>
                <w:color w:val="auto"/>
              </w:rPr>
            </w:pPr>
          </w:p>
        </w:tc>
        <w:tc>
          <w:tcPr>
            <w:tcW w:w="74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9"/>
                <w:szCs w:val="19"/>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1"/>
        </w:trPr>
        <w:tc>
          <w:tcPr>
            <w:tcW w:w="478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r>
      <w:tr>
        <w:trPr>
          <w:trHeight w:val="226"/>
        </w:trPr>
        <w:tc>
          <w:tcPr>
            <w:tcW w:w="4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50"/>
        </w:trPr>
        <w:tc>
          <w:tcPr>
            <w:tcW w:w="4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8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$187,993</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$215,531</w:t>
            </w:r>
          </w:p>
        </w:tc>
        <w:tc>
          <w:tcPr>
            <w:tcW w:w="2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$(27,538)</w:t>
            </w:r>
          </w:p>
        </w:tc>
        <w:tc>
          <w:tcPr>
            <w:tcW w:w="3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(13)%</w:t>
            </w:r>
          </w:p>
        </w:tc>
      </w:tr>
      <w:tr>
        <w:trPr>
          <w:trHeight w:val="54"/>
        </w:trPr>
        <w:tc>
          <w:tcPr>
            <w:tcW w:w="478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-401955</wp:posOffset>
            </wp:positionV>
            <wp:extent cx="18859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-401955</wp:posOffset>
            </wp:positionV>
            <wp:extent cx="18859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revenues decreased by $27.5 million, or 13%, for the year ended December 31, 2023 compared to the same period in 2022. The decrease was primarily driven by a decrease in average monthly revenue per paying client primarily as a result of a decrease in revenue from our Featured Listings and WM Deal products of $23.1 million, Weedmaps for Business of $3.9 million and other WM Ad solutions of $0.5 million.</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featured and deal listings, Weedmaps for Business and other ad solutions represented 67%, 25% and 8% of our total net revenues, respectively.</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we approved plans to reduce our workforce as part of certain cost-reduction initiatives intended to reduce operating expenses and sharpen our focus on key growth priorities. The decreases in our sales and marketing expenses, product development expenses and general and administrative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69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expenses are primarily driven by the reduction in employee headcount. As of December 31, 2023, we had 440 full-time employees and 19 temporary employees, including 196 in engineering, product and design, 181 in sales and marketing and 82 in general and administrative. As of December 31, 2022, we had 580 full-time employees and 3 temporary employees, including 224 in engineering, product and design, 245 in sales and marketing and 114 in general and administrative. Of these employees, 573 are located in the United States and 10 are located in Canada. The following table shows our total costs and expenses:</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174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60" w:type="dxa"/>
            <w:vAlign w:val="bottom"/>
          </w:tcPr>
          <w:p>
            <w:pPr>
              <w:spacing w:after="0"/>
              <w:rPr>
                <w:sz w:val="16"/>
                <w:szCs w:val="16"/>
                <w:color w:val="auto"/>
              </w:rPr>
            </w:pPr>
          </w:p>
        </w:tc>
        <w:tc>
          <w:tcPr>
            <w:tcW w:w="136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50"/>
        </w:trPr>
        <w:tc>
          <w:tcPr>
            <w:tcW w:w="516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5160" w:type="dxa"/>
            <w:vAlign w:val="bottom"/>
          </w:tcPr>
          <w:p>
            <w:pPr>
              <w:spacing w:after="0"/>
              <w:rPr>
                <w:sz w:val="19"/>
                <w:szCs w:val="19"/>
                <w:color w:val="auto"/>
              </w:rPr>
            </w:pPr>
          </w:p>
        </w:tc>
        <w:tc>
          <w:tcPr>
            <w:tcW w:w="7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9"/>
                <w:szCs w:val="19"/>
                <w:color w:val="auto"/>
              </w:rPr>
            </w:pPr>
          </w:p>
        </w:tc>
        <w:tc>
          <w:tcPr>
            <w:tcW w:w="68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9"/>
                <w:szCs w:val="19"/>
                <w:color w:val="auto"/>
              </w:rPr>
            </w:pPr>
          </w:p>
        </w:tc>
        <w:tc>
          <w:tcPr>
            <w:tcW w:w="8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1"/>
        </w:trPr>
        <w:tc>
          <w:tcPr>
            <w:tcW w:w="516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5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00" w:type="dxa"/>
            <w:vAlign w:val="bottom"/>
            <w:gridSpan w:val="8"/>
          </w:tcPr>
          <w:p>
            <w:pPr>
              <w:ind w:left="5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50"/>
        </w:trPr>
        <w:tc>
          <w:tcPr>
            <w:tcW w:w="5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$ 12,527</w:t>
            </w:r>
          </w:p>
        </w:tc>
        <w:tc>
          <w:tcPr>
            <w:tcW w:w="2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$ 15,407</w:t>
            </w:r>
          </w:p>
        </w:tc>
        <w:tc>
          <w:tcPr>
            <w:tcW w:w="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(2,880)</w:t>
            </w:r>
          </w:p>
        </w:tc>
        <w:tc>
          <w:tcPr>
            <w:tcW w:w="1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27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47,073</w:t>
            </w:r>
          </w:p>
        </w:tc>
        <w:tc>
          <w:tcPr>
            <w:tcW w:w="2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82,624</w:t>
            </w:r>
          </w:p>
        </w:tc>
        <w:tc>
          <w:tcPr>
            <w:tcW w:w="60" w:type="dxa"/>
            <w:vAlign w:val="bottom"/>
          </w:tcPr>
          <w:p>
            <w:pPr>
              <w:spacing w:after="0"/>
              <w:rPr>
                <w:sz w:val="23"/>
                <w:szCs w:val="23"/>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(35,551)</w:t>
            </w:r>
          </w:p>
        </w:tc>
        <w:tc>
          <w:tcPr>
            <w:tcW w:w="160" w:type="dxa"/>
            <w:vAlign w:val="bottom"/>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r>
      <w:tr>
        <w:trPr>
          <w:trHeight w:val="54"/>
        </w:trPr>
        <w:tc>
          <w:tcPr>
            <w:tcW w:w="5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04"/>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36,001</w:t>
            </w:r>
          </w:p>
        </w:tc>
        <w:tc>
          <w:tcPr>
            <w:tcW w:w="2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50,520</w:t>
            </w:r>
          </w:p>
        </w:tc>
        <w:tc>
          <w:tcPr>
            <w:tcW w:w="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(14,519)</w:t>
            </w:r>
          </w:p>
        </w:tc>
        <w:tc>
          <w:tcPr>
            <w:tcW w:w="1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r>
        <w:trPr>
          <w:trHeight w:val="27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74,313</w:t>
            </w:r>
          </w:p>
        </w:tc>
        <w:tc>
          <w:tcPr>
            <w:tcW w:w="2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120,787</w:t>
            </w:r>
          </w:p>
        </w:tc>
        <w:tc>
          <w:tcPr>
            <w:tcW w:w="60" w:type="dxa"/>
            <w:vAlign w:val="bottom"/>
          </w:tcPr>
          <w:p>
            <w:pPr>
              <w:spacing w:after="0"/>
              <w:rPr>
                <w:sz w:val="23"/>
                <w:szCs w:val="23"/>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(46,474)</w:t>
            </w:r>
          </w:p>
        </w:tc>
        <w:tc>
          <w:tcPr>
            <w:tcW w:w="160" w:type="dxa"/>
            <w:vAlign w:val="bottom"/>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54"/>
        </w:trPr>
        <w:tc>
          <w:tcPr>
            <w:tcW w:w="51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04"/>
        </w:trPr>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2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w:t>
            </w:r>
          </w:p>
        </w:tc>
        <w:tc>
          <w:tcPr>
            <w:tcW w:w="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r>
      <w:tr>
        <w:trPr>
          <w:trHeight w:val="257"/>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260" w:type="dxa"/>
            <w:vAlign w:val="bottom"/>
          </w:tcPr>
          <w:p>
            <w:pPr>
              <w:spacing w:after="0"/>
              <w:rPr>
                <w:sz w:val="22"/>
                <w:szCs w:val="22"/>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4,317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20,086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5"/>
              </w:rPr>
              <w:t>465%</w:t>
            </w:r>
          </w:p>
        </w:tc>
      </w:tr>
      <w:tr>
        <w:trPr>
          <w:trHeight w:val="61"/>
        </w:trPr>
        <w:tc>
          <w:tcPr>
            <w:tcW w:w="51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r>
      <w:tr>
        <w:trPr>
          <w:trHeight w:val="27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206,450</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285,153</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(78,703)</w:t>
            </w:r>
          </w:p>
        </w:tc>
        <w:tc>
          <w:tcPr>
            <w:tcW w:w="16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r>
        <w:trPr>
          <w:trHeight w:val="48"/>
        </w:trPr>
        <w:tc>
          <w:tcPr>
            <w:tcW w:w="5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-1653540</wp:posOffset>
            </wp:positionV>
            <wp:extent cx="1028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-1653540</wp:posOffset>
            </wp:positionV>
            <wp:extent cx="1028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decrease in cost of revenues in 2023 compared with 2022 was primarily related to a decrease of $3.7 million in cost of revenues associated with outside services expense for WM CRM, WM Screens and WM AdSuite which were sunset in December 2023, partially offset by an increase of $0.9 million for server costs.</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decrease in sales and marketing expenses was primarily related to a decrease in personnel-related costs of $27.0 million, a decrease in outside service of $5.7 million, a decrease in web advertising expense of $2.3 million, a decrease in travel expense of $0.4 million, a decrease in print and products expense of $0.4 million and a decrease in events expense of $0.4 million, partially offset by an increase in branding and advertising expense of $0.4 million. The decrease in personnel-related costs of $27.0 million were primarily due to decreased headcount of approximately 26% in 2023 compared to prior year and includes decrease in salaries and wages of $12.1 million, bonus expense of $5.5 million, stock-based compensation expense of $3.7 million and payroll tax expense of $0.7 million and a decrease in transaction related bonuses of $4.9 million.</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Product Development Expenses</w:t>
      </w:r>
    </w:p>
    <w:p>
      <w:pPr>
        <w:spacing w:after="0" w:line="11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decrease in product development expenses was primarily due to decreases in personnel-related costs of $11.7 million, outside services expense of $2.6 million and travel expense of $0.1 million. The decrease in personnel-related costs was primarily due to a decline in headcount of approximately 13% in 2023 compared to prior year and includes decreases in salaries and wages of $6.4 million, bonus expense of $3.8 million, stock-based compensation expense of $1.1 million and payroll tax expense of $0.4 million.</w:t>
      </w: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decrease in general and administrative expenses was primarily due to decreases in provision for credit losses of $15.7 million, severance expense of $5.8 million, stock-based compensation expense of $5.3 million, salaries and wages of $5.2 million, insurance costs of $5.1 million, professional fees of $3.1 million, software expense of $1.9 million, employee benefits expense of $1.9 million, facilities expense of $0.6 million, bonus expense of $0.6 million, outside service expense of $0.6 million, donation expense of $0.5 million and payroll tax expense of $0.5 million. The decrease in compensation expense were due to decreased headcount of approximately 28% in 2023 compared to the prior year.</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increase in depreciation and amortization expense was primarily due to an increase in capitalized software amortization of $2.2 million, partially offset by a decrease in depreciation expense related to other assets of $1.6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Asset Impairment Charges</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increase in asset impairment charges was primarily due to $10.9 million in impairment of operating lease ROU asset and $1.3 million in impairment of leasehold improvement associated with our second headquarter space in Los Angeles, California, $8.7 million in impairment of intangible assets, capitalized software and property and equipment associated with the sunset of certain product offerings in December 2023 and $3.5 million related to the impairment of an equity investment. See Note 2, “Summary of Significant Accounting Policies” and Note 4, “Leases,” to our consolidated financial statements included in our Annual Report on Form 10-K for additional information.</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5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170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Pr>
          <w:p>
            <w:pPr>
              <w:spacing w:after="0"/>
              <w:rPr>
                <w:sz w:val="16"/>
                <w:szCs w:val="16"/>
                <w:color w:val="auto"/>
              </w:rPr>
            </w:pPr>
          </w:p>
        </w:tc>
        <w:tc>
          <w:tcPr>
            <w:tcW w:w="148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51"/>
        </w:trPr>
        <w:tc>
          <w:tcPr>
            <w:tcW w:w="51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5100" w:type="dxa"/>
            <w:vAlign w:val="bottom"/>
          </w:tcPr>
          <w:p>
            <w:pPr>
              <w:spacing w:after="0"/>
              <w:rPr>
                <w:sz w:val="19"/>
                <w:szCs w:val="19"/>
                <w:color w:val="auto"/>
              </w:rPr>
            </w:pP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9"/>
                <w:szCs w:val="19"/>
                <w:color w:val="auto"/>
              </w:rPr>
            </w:pP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9"/>
                <w:szCs w:val="19"/>
                <w:color w:val="auto"/>
              </w:rPr>
            </w:pPr>
          </w:p>
        </w:tc>
        <w:tc>
          <w:tcPr>
            <w:tcW w:w="8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0"/>
        </w:trPr>
        <w:tc>
          <w:tcPr>
            <w:tcW w:w="51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5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1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50"/>
        </w:trPr>
        <w:tc>
          <w:tcPr>
            <w:tcW w:w="5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318"/>
        </w:trPr>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$ 1,505</w:t>
            </w:r>
          </w:p>
        </w:tc>
        <w:tc>
          <w:tcPr>
            <w:tcW w:w="3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$ 25,370</w:t>
            </w:r>
          </w:p>
        </w:tc>
        <w:tc>
          <w:tcPr>
            <w:tcW w:w="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(23,865)</w:t>
            </w: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r>
      <w:tr>
        <w:trPr>
          <w:trHeight w:val="27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960" w:type="dxa"/>
            <w:vAlign w:val="bottom"/>
            <w:gridSpan w:val="3"/>
          </w:tcPr>
          <w:p>
            <w:pPr>
              <w:jc w:val="right"/>
              <w:ind w:right="188"/>
              <w:spacing w:after="0"/>
              <w:rPr>
                <w:sz w:val="20"/>
                <w:szCs w:val="20"/>
                <w:color w:val="auto"/>
              </w:rPr>
            </w:pPr>
            <w:r>
              <w:rPr>
                <w:rFonts w:ascii="Times New Roman" w:cs="Times New Roman" w:eastAsia="Times New Roman" w:hAnsi="Times New Roman"/>
                <w:sz w:val="18"/>
                <w:szCs w:val="18"/>
                <w:color w:val="auto"/>
              </w:rPr>
              <w:t>(1,256)</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142,352</w:t>
            </w:r>
          </w:p>
        </w:tc>
        <w:tc>
          <w:tcPr>
            <w:tcW w:w="80" w:type="dxa"/>
            <w:vAlign w:val="bottom"/>
          </w:tcPr>
          <w:p>
            <w:pPr>
              <w:spacing w:after="0"/>
              <w:rPr>
                <w:sz w:val="23"/>
                <w:szCs w:val="23"/>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(143,608)</w:t>
            </w:r>
          </w:p>
        </w:tc>
        <w:tc>
          <w:tcPr>
            <w:tcW w:w="140" w:type="dxa"/>
            <w:vAlign w:val="bottom"/>
          </w:tcPr>
          <w:p>
            <w:pPr>
              <w:spacing w:after="0"/>
              <w:rPr>
                <w:sz w:val="23"/>
                <w:szCs w:val="23"/>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(101)%</w:t>
            </w:r>
          </w:p>
        </w:tc>
      </w:tr>
      <w:tr>
        <w:trPr>
          <w:trHeight w:val="54"/>
        </w:trPr>
        <w:tc>
          <w:tcPr>
            <w:tcW w:w="5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7"/>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960" w:type="dxa"/>
            <w:vAlign w:val="bottom"/>
            <w:gridSpan w:val="3"/>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2,574</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(254)%</w:t>
            </w:r>
          </w:p>
        </w:tc>
      </w:tr>
      <w:tr>
        <w:trPr>
          <w:trHeight w:val="61"/>
        </w:trPr>
        <w:tc>
          <w:tcPr>
            <w:tcW w:w="51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r>
      <w:tr>
        <w:trPr>
          <w:trHeight w:val="270"/>
        </w:trPr>
        <w:tc>
          <w:tcPr>
            <w:tcW w:w="5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$ 2,823</w:t>
            </w:r>
          </w:p>
        </w:tc>
        <w:tc>
          <w:tcPr>
            <w:tcW w:w="320" w:type="dxa"/>
            <w:vAlign w:val="bottom"/>
          </w:tcPr>
          <w:p>
            <w:pPr>
              <w:spacing w:after="0"/>
              <w:rPr>
                <w:sz w:val="23"/>
                <w:szCs w:val="2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166,048</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(163,225)</w:t>
            </w:r>
          </w:p>
        </w:tc>
        <w:tc>
          <w:tcPr>
            <w:tcW w:w="140" w:type="dxa"/>
            <w:vAlign w:val="bottom"/>
          </w:tcPr>
          <w:p>
            <w:pPr>
              <w:spacing w:after="0"/>
              <w:rPr>
                <w:sz w:val="23"/>
                <w:szCs w:val="23"/>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5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-1002030</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-1002030</wp:posOffset>
            </wp:positionV>
            <wp:extent cx="85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Other income (expense), net decreased by $163.2 million for the year ended December 31, 2023 compared to the same period in 2022. The decrease was primarily due to changes in TRA liability of $143.6 million and comparatively favorable changes in fair value of warrant liability of $23.9 million partially offset by an increase of $4.2 million related to a non-cash gain of $3.7 million associated with the discharge of a holdback obligation related to a prior acquisition and a decrease in political contribution expense of $0.5 million.</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Pr>
          <w:p>
            <w:pPr>
              <w:spacing w:after="0"/>
              <w:rPr>
                <w:sz w:val="16"/>
                <w:szCs w:val="16"/>
                <w:color w:val="auto"/>
              </w:rPr>
            </w:pPr>
          </w:p>
        </w:tc>
        <w:tc>
          <w:tcPr>
            <w:tcW w:w="148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50"/>
        </w:trPr>
        <w:tc>
          <w:tcPr>
            <w:tcW w:w="51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27"/>
        </w:trPr>
        <w:tc>
          <w:tcPr>
            <w:tcW w:w="5100" w:type="dxa"/>
            <w:vAlign w:val="bottom"/>
          </w:tcPr>
          <w:p>
            <w:pPr>
              <w:spacing w:after="0"/>
              <w:rPr>
                <w:sz w:val="19"/>
                <w:szCs w:val="19"/>
                <w:color w:val="auto"/>
              </w:rPr>
            </w:pPr>
          </w:p>
        </w:tc>
        <w:tc>
          <w:tcPr>
            <w:tcW w:w="56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4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94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9"/>
                <w:szCs w:val="19"/>
                <w:color w:val="auto"/>
              </w:rPr>
            </w:pPr>
          </w:p>
        </w:tc>
        <w:tc>
          <w:tcPr>
            <w:tcW w:w="54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50"/>
        </w:trPr>
        <w:tc>
          <w:tcPr>
            <w:tcW w:w="510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27"/>
        </w:trPr>
        <w:tc>
          <w:tcPr>
            <w:tcW w:w="5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40" w:type="dxa"/>
            <w:vAlign w:val="bottom"/>
          </w:tcPr>
          <w:p>
            <w:pPr>
              <w:spacing w:after="0"/>
              <w:rPr>
                <w:sz w:val="19"/>
                <w:szCs w:val="19"/>
                <w:color w:val="auto"/>
              </w:rPr>
            </w:pPr>
          </w:p>
        </w:tc>
      </w:tr>
      <w:tr>
        <w:trPr>
          <w:trHeight w:val="50"/>
        </w:trPr>
        <w:tc>
          <w:tcPr>
            <w:tcW w:w="5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84"/>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5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$93</w:t>
            </w:r>
          </w:p>
        </w:tc>
        <w:tc>
          <w:tcPr>
            <w:tcW w:w="11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$179,077</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$(178,984)</w:t>
            </w: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r>
      <w:tr>
        <w:trPr>
          <w:trHeight w:val="54"/>
        </w:trPr>
        <w:tc>
          <w:tcPr>
            <w:tcW w:w="510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-402590</wp:posOffset>
            </wp:positionV>
            <wp:extent cx="857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-402590</wp:posOffset>
            </wp:positionV>
            <wp:extent cx="857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Provision for income taxes decreased by $179.0 million for the year ended December 31, 2023 compared to the same period in 2022. The decrease was primarily due to a full valuation allowance that was recorded against our deferred tax assets during the year ended December 31, 2022. See Note 16, “Income Taxes,” to our consolidated financial statements included in our Annual Report on Form 10-K .</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tables show our cash, accounts receivable and working capital as of the dates indicated:</w:t>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50"/>
        </w:trPr>
        <w:tc>
          <w:tcPr>
            <w:tcW w:w="674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227"/>
        </w:trPr>
        <w:tc>
          <w:tcPr>
            <w:tcW w:w="6740" w:type="dxa"/>
            <w:vAlign w:val="bottom"/>
          </w:tcPr>
          <w:p>
            <w:pPr>
              <w:spacing w:after="0"/>
              <w:rPr>
                <w:sz w:val="19"/>
                <w:szCs w:val="19"/>
                <w:color w:val="auto"/>
              </w:rPr>
            </w:pPr>
          </w:p>
        </w:tc>
        <w:tc>
          <w:tcPr>
            <w:tcW w:w="84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4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50"/>
        </w:trPr>
        <w:tc>
          <w:tcPr>
            <w:tcW w:w="6740" w:type="dxa"/>
            <w:vAlign w:val="bottom"/>
          </w:tcPr>
          <w:p>
            <w:pPr>
              <w:spacing w:after="0"/>
              <w:rPr>
                <w:sz w:val="4"/>
                <w:szCs w:val="4"/>
                <w:color w:val="auto"/>
              </w:rPr>
            </w:pPr>
          </w:p>
        </w:tc>
        <w:tc>
          <w:tcPr>
            <w:tcW w:w="1680" w:type="dxa"/>
            <w:vAlign w:val="bottom"/>
            <w:tcBorders>
              <w:bottom w:val="single" w:sz="8" w:color="auto"/>
            </w:tcBorders>
            <w:gridSpan w:val="2"/>
          </w:tcPr>
          <w:p>
            <w:pPr>
              <w:spacing w:after="0"/>
              <w:rPr>
                <w:sz w:val="4"/>
                <w:szCs w:val="4"/>
                <w:color w:val="auto"/>
              </w:rPr>
            </w:pPr>
          </w:p>
        </w:tc>
      </w:tr>
      <w:tr>
        <w:trPr>
          <w:trHeight w:val="227"/>
        </w:trPr>
        <w:tc>
          <w:tcPr>
            <w:tcW w:w="6740" w:type="dxa"/>
            <w:vAlign w:val="bottom"/>
          </w:tcPr>
          <w:p>
            <w:pPr>
              <w:spacing w:after="0"/>
              <w:rPr>
                <w:sz w:val="19"/>
                <w:szCs w:val="19"/>
                <w:color w:val="auto"/>
              </w:rPr>
            </w:pP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50"/>
        </w:trPr>
        <w:tc>
          <w:tcPr>
            <w:tcW w:w="67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318"/>
        </w:trPr>
        <w:tc>
          <w:tcPr>
            <w:tcW w:w="6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840" w:type="dxa"/>
            <w:vAlign w:val="bottom"/>
            <w:tcBorders>
              <w:bottom w:val="single" w:sz="8" w:color="CCEEFF"/>
            </w:tcBorders>
            <w:shd w:val="clear" w:color="auto" w:fill="CCEEFF"/>
          </w:tcPr>
          <w:p>
            <w:pPr>
              <w:jc w:val="center"/>
              <w:ind w:right="179"/>
              <w:spacing w:after="0"/>
              <w:rPr>
                <w:sz w:val="20"/>
                <w:szCs w:val="20"/>
                <w:color w:val="auto"/>
              </w:rPr>
            </w:pPr>
            <w:r>
              <w:rPr>
                <w:rFonts w:ascii="Times New Roman" w:cs="Times New Roman" w:eastAsia="Times New Roman" w:hAnsi="Times New Roman"/>
                <w:sz w:val="18"/>
                <w:szCs w:val="18"/>
                <w:color w:val="auto"/>
                <w:w w:val="99"/>
              </w:rPr>
              <w:t>$34,350</w:t>
            </w:r>
          </w:p>
        </w:tc>
        <w:tc>
          <w:tcPr>
            <w:tcW w:w="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9"/>
              </w:rPr>
              <w:t>$28,583</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840" w:type="dxa"/>
            <w:vAlign w:val="bottom"/>
          </w:tcPr>
          <w:p>
            <w:pPr>
              <w:jc w:val="center"/>
              <w:ind w:right="179"/>
              <w:spacing w:after="0"/>
              <w:rPr>
                <w:sz w:val="20"/>
                <w:szCs w:val="20"/>
                <w:color w:val="auto"/>
              </w:rPr>
            </w:pPr>
            <w:r>
              <w:rPr>
                <w:rFonts w:ascii="Times New Roman" w:cs="Times New Roman" w:eastAsia="Times New Roman" w:hAnsi="Times New Roman"/>
                <w:sz w:val="18"/>
                <w:szCs w:val="18"/>
                <w:color w:val="auto"/>
                <w:w w:val="99"/>
              </w:rPr>
              <w:t>$11,158</w:t>
            </w:r>
          </w:p>
        </w:tc>
        <w:tc>
          <w:tcPr>
            <w:tcW w:w="8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$17,438</w:t>
            </w:r>
          </w:p>
        </w:tc>
      </w:tr>
      <w:tr>
        <w:trPr>
          <w:trHeight w:val="54"/>
        </w:trPr>
        <w:tc>
          <w:tcPr>
            <w:tcW w:w="67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7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840" w:type="dxa"/>
            <w:vAlign w:val="bottom"/>
            <w:shd w:val="clear" w:color="auto" w:fill="CCEEFF"/>
          </w:tcPr>
          <w:p>
            <w:pPr>
              <w:jc w:val="center"/>
              <w:ind w:right="179"/>
              <w:spacing w:after="0"/>
              <w:rPr>
                <w:sz w:val="20"/>
                <w:szCs w:val="20"/>
                <w:color w:val="auto"/>
              </w:rPr>
            </w:pPr>
            <w:r>
              <w:rPr>
                <w:rFonts w:ascii="Times New Roman" w:cs="Times New Roman" w:eastAsia="Times New Roman" w:hAnsi="Times New Roman"/>
                <w:sz w:val="18"/>
                <w:szCs w:val="18"/>
                <w:color w:val="auto"/>
                <w:w w:val="99"/>
              </w:rPr>
              <w:t>$17,771</w:t>
            </w:r>
          </w:p>
        </w:tc>
        <w:tc>
          <w:tcPr>
            <w:tcW w:w="8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$ 8,660</w:t>
            </w:r>
          </w:p>
        </w:tc>
      </w:tr>
      <w:tr>
        <w:trPr>
          <w:trHeight w:val="54"/>
        </w:trPr>
        <w:tc>
          <w:tcPr>
            <w:tcW w:w="674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4848860</wp:posOffset>
            </wp:positionH>
            <wp:positionV relativeFrom="paragraph">
              <wp:posOffset>-814070</wp:posOffset>
            </wp:positionV>
            <wp:extent cx="30861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0861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of December 31, 2023 and December 31, 2022, we had cash of $34.4 million and $28.6 million, respectively. Our funds are being used for funding our current operations and potential strategic acquisitions in the future. We also intend to increase our capital expenditures to support the organic growth in our business and operations. We expect to fund our liquidity requirements from cash and working capital on hand at December 31, 2023, as well as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primarily finance our operations and capital expenditures through cash flows generated by operations.</w:t>
      </w:r>
    </w:p>
    <w:p>
      <w:pPr>
        <w:spacing w:after="0" w:line="11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3"/>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1"/>
        </w:trPr>
        <w:tc>
          <w:tcPr>
            <w:tcW w:w="58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27"/>
        </w:trPr>
        <w:tc>
          <w:tcPr>
            <w:tcW w:w="5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50"/>
        </w:trPr>
        <w:tc>
          <w:tcPr>
            <w:tcW w:w="58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27"/>
        </w:trPr>
        <w:tc>
          <w:tcPr>
            <w:tcW w:w="5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9"/>
                <w:szCs w:val="19"/>
                <w:color w:val="auto"/>
              </w:rPr>
            </w:pPr>
          </w:p>
        </w:tc>
      </w:tr>
      <w:tr>
        <w:trPr>
          <w:trHeight w:val="50"/>
        </w:trPr>
        <w:tc>
          <w:tcPr>
            <w:tcW w:w="5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318"/>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22,928</w:t>
            </w:r>
          </w:p>
        </w:tc>
        <w:tc>
          <w:tcPr>
            <w:tcW w:w="1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$(11,621)</w:t>
            </w:r>
          </w:p>
        </w:tc>
        <w:tc>
          <w:tcPr>
            <w:tcW w:w="7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$ 30,190</w:t>
            </w:r>
          </w:p>
        </w:tc>
      </w:tr>
      <w:tr>
        <w:trPr>
          <w:trHeight w:val="27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$(11,871)</w:t>
            </w:r>
          </w:p>
        </w:tc>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$(17,768)</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$(30,435)</w:t>
            </w:r>
          </w:p>
        </w:tc>
      </w:tr>
      <w:tr>
        <w:trPr>
          <w:trHeight w:val="54"/>
        </w:trPr>
        <w:tc>
          <w:tcPr>
            <w:tcW w:w="5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7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1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(9,805)</w:t>
            </w: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$ 48,103</w:t>
            </w:r>
          </w:p>
        </w:tc>
      </w:tr>
      <w:tr>
        <w:trPr>
          <w:trHeight w:val="54"/>
        </w:trPr>
        <w:tc>
          <w:tcPr>
            <w:tcW w:w="58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-814070</wp:posOffset>
            </wp:positionV>
            <wp:extent cx="1371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-814070</wp:posOffset>
            </wp:positionV>
            <wp:extent cx="137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Cash Provided by (Used In) Operating Activities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Cash from operating activities consists primarily of net income (loss) adjusted for certain non-cash items, including depreciation, amortization and asset impairments, change in fair value of warrant liability, change in TRA liability, stock-based compensation, deferred taxes, impairment loss, provision for doubtful accounts and the effect of changes in working capital.</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is also impacted by the effects of changes in operating assets and liabilities such as: accounts receivable which is impacted by the timing of customer billings and related collections from our customers; accounts payable and accrued expenses due to timing of payments; accrued personnel costs which are impacted by employee performance targets and the timing of payments related to employee bonus incentives.</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for the year ended December 31, 2023 was $22.9 million, which resulted from net loss of $15.7 million, non-cash items of $52.8 million, consisting of asset impairment charges of $24.4 million, stock-based compensation expense of $13.5 million, depreciation and amortization of $12.1 million, amortization of right of use lease assets of $4.9 million, provision for credit losses of $1.8 million, TRA remeasurement of $1.3 million, partially offset by a gain from the discharge of a holdback obligation related to a prior acquisition of $3.7 million, and the change in fair value of warrant liability of $1.5 million. The increase in net cash provided by operating activities was also impacted by net cash outflows of $14.2 million from changes in operating assets and liabilities. The net cash outflows from changes in operating assets and liabilities were primarily due to a decrease in accounts payable and accrued expenses of $15.3 million, a decrease in operating lease liabilities of $6.3 million and a decrease in deferred revenue of $0.3 million, partially offset by a decrease in accounts receivable of $4.5 million and a decrease in prepaid expenses and other assets of $3.3 million. The changes in operating assets and liabilities are mostly due to fluctuations in timing of cash receipts and payments.</w:t>
      </w:r>
    </w:p>
    <w:p>
      <w:pPr>
        <w:spacing w:after="0" w:line="8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2022 was $11.6 million, which resulted from net loss of $82.7 million, together with net cash outflows of $1.5 million from changes in operating assets and liabilities and non-cash items of $72.5 million, consisting of depreciation and amortization of $11.5 million, fair value of warrant liability of $25.4 million, asset impairment charges of $4.3 million, stock-based compensation expense of $23.5 million, TRA remeasurement of $142.4 million, amortization of right of use lease assets of $4.7 million, changes in deferred tax assets of $179.1 million and provision for doubtful accounts of $17.2 million. The net cash outflows from changes in operating assets and liabilities were primarily due to an increase in accounts receivables of $16.3 million, a decrease in deferred revenue of $1.9 million, a decrease in operating lease liabilities of $5.5 million, partially offset by a decrease in prepaid expenses and other current assets of $7.2 million and an increase in accounts payable and accrued expenses of $14.9 million. The changes in operating assets and liabilities are mostly due to fluctuations in timing of cash receipts and payments.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11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2023 was $11.9 million, which resulted from $11.9 million cash paid for purchases of property and equipment, including certain capitalized software development cost.</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2022 was $17.8 million, which resulted from $16.1 million cash paid for purchases of property and equipment, including certain capitalized software development cost, $1.0 million cash paid for other investments and $0.7 million net cash paid for acquisitions,</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Net Cash Provided by (Used in) Financing Activities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2023 was $5.3 million, which resulted from $7.2 million of distribution payments to members of WMH LLC, $1.5 million for repayment of insurance premium financing and $0.4 million in proceeds from collection of related party note receivable.</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Net cash from financing activities for the year ended December 31, 2022 was $9.8 million, which resulted from $7.3 million for repayment of insurance premium financing and $2.4 million of distribution payments to members of WMH LLC.</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have non-cancellable contractual agreements primarily related to leases and other purchase obligations. As of December 31, 2023, future payments on our operating leases were $45.0 million. See Note 4, “Leases,” to our consolidated financial statements included in our Annual Report on Form 10-K. We also have minimum outstanding purchase obligations of $7.1 million in 2024, $7.3 million in 2025 and $7.5 million in 2026, due under software license agreements, of which the majority relates to our three-year AWS Enterprise agreement.</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of December 31, 2023 and 2022, our TRA liability was $1.8 million and $0.5 million, respectively. We expect that the payments we will be required to make under the TRA will not be substantial, and therefore, in conjunction with the recording of a full valuation allowance on the related TRA deferred tax assets, we have also adjusted the TRA liabilities as of December 31, 2023.</w:t>
      </w:r>
    </w:p>
    <w:p>
      <w:pPr>
        <w:spacing w:after="0" w:line="7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will continue to evaluate the realization of the TRA tax attributes, and in the future, we may conclude that the TRA liability is probable of payment, and if the TRA is reinstated, the payments would be substantial. Assuming a reinstatement of the TRA liability, there are several assumptions that would be relevant such as, no material changes in relevant tax law, that there are no future redemptions or exchanges of Class A Units and that we earn sufficient taxable income to realize all tax benefits that are subject to the TRA, the tax savings associated with acquisitions of common units in the Business Combination would aggregate to approximately $166.3 million, as of December 31, 2023, over 15 years from Closing Date. Under this scenario, we would be required to pay to the Class A Unit holders approximately 85% of such amount, or $141.3 million, as of December 31, 2023, over the 15-year period from the Closing Date. The actual amounts we will be required to pay may materially differ from these hypothetical amounts, because potential future tax savings that we will be deemed to realize, and the TRA payments made by us, will be calculated based in part on the market value of the Class A Common Stock at the time of each redemption or exchange under the Exchange Agreement and the prevailing applicable tax rates applicable to us over the life of the TRA and will depend on us generating sufficient taxable income to realize the tax benefits that are subject to the TRA. Payments under the TRA are not conditioned on the Class A Unit holders’ continued ownership of us. See Note 16, “Income Taxes,” to our consolidated financial statements included in our Annual Report on Form 10-K .</w:t>
      </w:r>
    </w:p>
    <w:p>
      <w:pPr>
        <w:spacing w:after="0" w:line="2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condensed consolidated financial statements and our consolidated financial statements are prepared in accordance with GAAP. The preparation of these condensed consolidated financial statements and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revenue recognition, income taxes, stock-based compensation, capitalized software development costs, provision for doubtful accounts, goodwill and intangible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assets and fair value measurements to have the greatest potential impact on our consolidated financial statements. Therefore, we consider these to be our critical accounting policies and estimates. For further information on all of our significant accounting policies, see Note 2, “Summary of Significant Accounting Policies,” to our consolidated financial statements included in our Annual Report on Form 10-K .</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We recognize revenue when the fundamental criteria for revenue recognition are met. We recognize revenue by applying the following five steps: the contract with the customer is identified; the performance obligations in the contract are identified; the transaction price is determined; the transaction price is allocated to the performance obligations in the contract; and revenue is recognized when (or as) we satisfy these performance obligations in an amount that reflects the consideration it expects to be entitled to in exchange for those services. We exclude sales taxes and other similar taxes from the measurement of the transaction price. The transaction price reflects the amount we expect to receive for such goods, net of discounts. Discounts issued are primarily related to our Together for Equity Access and Legislation, (“WM Teal”), program, through which we provide discounts including free software, advertising, educational materials and training programs to applicants or licenses under social equity licensing programs. We provide a discount to license holders who were awarded special status by the state based on owner qualifications. These are typically given in new markets to add more diversity and inclusion in the cannabis space. We validate a license’s social equity status on the applicable state’s website. For the years ended December 31, 2023, 2022 and 2021, total discounts issued were $4.2 million, $4.5 million and $2.6 million, respectively. For clients that pay in advance for listing and other services, we record deferred revenue and recognize revenue over the applicable subscription term.</w:t>
      </w:r>
    </w:p>
    <w:p>
      <w:pPr>
        <w:spacing w:after="0" w:line="88"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Our revenues are derived primarily from monthly subscriptions to Weedmaps for Business, featured and deal listings and other WM Ad solutions. Our Weedmaps for Business subscriptions generally have one-month terms that automatically renew unless notice of cancellation is provided in advance. Featured and deal listings and other WM Ad solutions are offered as add-on products to the Weedmaps for Business subscriptions. Featured and deal listings provide customers with premium placement ad solutions and discount and promotion pricing tools. Other WM Ad solutions include banner ads and promotion tiles on our marketplace ad as well as other advertising products on and off the Weedmaps marketplace. We have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products are provided. We rarely need to allocate the transaction price to separate performance obligations. In the rare case that allocation of the transaction price is needed, We recognize revenue in proportion to the standalone selling prices of the underlying services at contract inception. The determination of the performance obligations and the timing of satisfaction of such obligations either over time or at a point-in-time requires us to make significant judgment and estimates.</w:t>
      </w:r>
    </w:p>
    <w:p>
      <w:pPr>
        <w:spacing w:after="0" w:line="8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When a customer is identified to be a significant collection risk, the Company fully reserves for all outstanding accounts receivable and records a credit loss for these receivables. Revenue for any new service provided to the customer is not probable of collection until the Company has collected or reached a settlement on the customers old outstanding accounts receivable balances. The Company applies all payments received against the customers oldest invoices and does not recognize revenue for any new services provided until the company has collected or reached a settlement on all prior outstanding accounts receivable.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See “Restatement of Previously Reported 2023 Quarterly Revenue and Credit Losses” of Note 2, “Summary of Significant Accounting Policies and Note 3, “Revenue from Contracts with Customers,” to our condensed consolidated financial statements included in our Quarterly Report on Form 10-Q for further discussion.</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u w:val="single" w:color="auto"/>
          <w:color w:val="auto"/>
        </w:rPr>
        <w:t>Critical Accounting Estimates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January 1 to June 16, 2021 as this period was prior to the Business Combination. Any taxable income or loss generated by WMH LLC is passed through to and included in the taxable income or loss of its members, including WM Technology, Inc. following the Business Combination, on a pro rata basis. WM Technology, Inc. is subject to U.S. federal income taxes, in addition to state and local income taxes with respect to its allocable share of any taxable income of WMH LLC following the Business Combination. We are also subject to taxes in foreign jurisdictions. Tax laws and regulations are complex and periodically changing and the determination of our provision for income taxes, including our taxable income, deferred tax assets and TRA liability, requires us to make significant judgment, assumptions and estimates.</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we entered into a TRA with continuing members that provides for a payment to the continuing members of 85% of the amount of tax benefits, if any, that WM Technology, Inc. realizes, or is deemed to realize, as a result of redemptions or exchanges of WMH Units. In connection with such potential future tax benefits resulting from the Business Combination and subsequent redemptions or exchanges of WMH Units, we have established a deferred tax asset for the additional tax basis and a corresponding TRA liability of 85% of the expected benefit. The remaining 15% is recorded within paid-in capital. Our calculation of the TRA asset and liability requires estimates of its future qualified taxable income over the term of the TRA as a basis to determine if the related tax benefits are expected to be realized. As of December 31, 2023 and 2022, TRA liability were $1.8 million and $0.5 million.</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Based on the weight of all available evidence, both positive and negative, we determined during the three months ended December 31, 2022 that a full valuation allowance was required against our net deferred tax assets. We continued the remeasurement of the valuation allowance during the year ended December 31, 2023 and determined that a full valuation allowance was required as of December 31, 2023. See Note 16, “Income Taxes,” to our consolidated financial statements included in our Annual Report on Form 10-K .</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measure fair value of employee stock-based compensation awards on the date of grant and allocate the related expense over the requisite service period. The fair value of restricted stock units (“RSUs”) and performance-based restricted stock units (“PRSUs”) is equal to the market price of our Class A common stock on the date of grant. The fair value of the Class P Units is measured using the Black-Scholes-Merton valuation model. When awards include a performance condition that impacts the vesting of the award, we record compensation cost when it becomes probable that the performance condition will be met. The level of achievement of such goals in the performance-based restricted stock awards may cause the actual number of units that ultimately vest to range from 0% to 200% of the original units granted. Forfeitures of stock-based awards are recognized as they occur. For the years ended December 31, 2023 and 2022, we recognized stock-based compensation expense of $13.5 million and $23.5 million, respectively. See Note 14, “Stock-based Compensation,” to our consolidated financial statements included in our Annual Report on Form 10-K .</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 Development Costs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capitalize certain costs related to the development and enhancement of the Weedmaps platform and SaaS solutions. In accordance with authoritative guidance, we capitalize these costs when the preliminary development project stage is completed, management has authorized further funding for the completion of the project, and it is probable that the project will be completed and performed as intended. Such costs are amortized when placed in service, on a straight-line basis over the estimated useful life of the related asset, generally estimated to be three years. Costs incurred prior to meeting these criteria together with costs incurred for training and maintenance are expensed as incurred and recorded in product development expenses on our consolidated statements of operations. Costs incurred for enhancements that were expected to result in additional features or functionality are capitalized and expensed over the estimated useful life of the enhancements, generally three years. The accounting for website and internal-use software costs requires us to make significant judgment, assumptions and estimates related to the timing and amount of recognized capitalized software development costs. For the years ended December 31, 2023 and 2022, we capitalized $13.1 million and $15.5 million of costs related to the development of software applications.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We measure credit losses on our trade accounts receivable using the current expected credit loss model under Accounting Standards Codification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which is based on the expected losses rather than incurred losses. Under the credit loss model, lifetime expected credit losses are measured and recognized at each reporting date based on historical, current and forecast information.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calculate the expected credit losses on a pool basis for those trade receivables that have similar risk characteristics. For those trade receivables that do not share similar risk characteristics, the allowance for expected credit losses is calculated on an individual basis. Risk characteristics relevant to our accounts receivable include balance of customer account and aging status. The allowance for credit losses was $8.7 million and $12.2 million as of December 31, 2023 and December 31, 2022, respectively. See Note 2, “Summary of Significant Accounting Policies,” to our consolidated financial statements included in our Annual Report on Form 10-K for additional information.</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Assets and liabilities acquired from acquisitions are recorded at their estimated fair values. The excess of the purchase price over the estimated fair values of the net assets acquired, including identifiable intangible assets, is recorded as goodwill. The accounting for goodwill and intangible assets requires us to make significant judgement, estimates and assumptions. Significant estimates and assumptions in valuing acquired intangible assets and liabilities include projected cash flows attributable to the assets or liabilities, asset useful lives and discount rates.</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Goodwill is not amortized and is subject to annual impairment testing, or between annual tests if an event or change in circumstance occurs that would more likely than not reduce the fair value of a reporting unit below its carrying value. Intangible assets deemed to have finite lives are amortized on a straight-line basis over their estimated useful lives, where the useful life is the period over which the asset is expected to contribute directly, or indirectly, to our future cash flows. Intangible assets are reviewed for impairment on an interim basis when certain events or circumstances exist. For amortizable intangible assets, impairment exists when the carrying amount of the intangible asset exceeds its fair value. At least annually, the remaining useful life is evaluated. We recorded an impairment charge of $6.1 million for the year ended December 31, 2023 related to intangible assets associated with certain product offerings that were sunset in December 2023, which is included in asset impairment charges in the consolidated statements of operations. No intangible asset impairment charges have been recorded for the years ended December 31, 2022 and 2021. See Note 2, “Summary of Significant Accounting Policies,” and Note 9, “Goodwill and Intangible Assets,” to our consolidated financial statements included in our Annual Report on Form 10-K for additional information.</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Long-Lived Assets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assess potential impairments to our long-lived assets, which includes property and equipment and operating lease assets, at least annually or whenever events or circumstances indicate that the carrying amount of an asset may not be recoverable. As of December 31, 2023 and 2022, our operating leases had a weighted average remaining lease term of 6.3 years and 6.8 years and a weighted-average discount rate of 9.8%. Our lease agreements do not provide an implicit rate and as a result, we used an estimated incremental borrowing rate, which was derived from third-party information available at the time we adopted ASC 842 in determining the present value of future lease payments. The rate used is for a secured borrowing of a similar term as the right of use asset. The fair value was estimated using an income approach based on management’s forecast of future cash flows expected to be derived based on current sublease market rent.</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assess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fair values of ROU assets were estimated using an income approach based on management’s forecast of future cash flows expected to be derived based on the sublease market rent. First, we test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we perform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we rely on a discounted cash flow approach using market participant assumptions of the expected cash flows.</w:t>
      </w:r>
    </w:p>
    <w:p>
      <w:pPr>
        <w:spacing w:after="0" w:line="80"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2023,we recognized a ROU asset impairment charge of $10.9 million driven by updated sublease assumptions for our second headquarter space in Los Angeles, California, pursuant to an operating lease that expires in 2031. 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addition, we recognized ROU asset impairment charges of $0.6 million and $2.4 million during the years ended December 31, 2022 and 2021, respectively, related to certain ROU assets reducing the carrying values of the lease assets to their estimated fair values based on the discounted cash flows of estimated net rental income for the office spaces subleased. The ROU impairment charges are included in general and administrative expenses in the consolidated statements of operations.</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assess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 For the year ended December 31, 2023, we recorded impairment charges of $3.9 million of which $2.7 million related to property and equipment associated with certain product offerings that were sunset in December 2023 and $1.3 million related to leasehold improvements associated with the impairment of a ROU asset both of which are included in asset impairment charges in the consolidated statements of operations. No impairments to property and equipment were recorded during the years ended December 31, 2022 and 2021.</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Business Combination, we assumed 12,499,993 Public Warrants and 7,000,000 Private Placement Warrants. As of December 31, 2023, 12,499,973 of the Public Warrant and all of the Private Placement Warrants remained outstanding . The warrants are measured at fair value under ASC 820 -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Measurements</w:t>
      </w:r>
      <w:r>
        <w:rPr>
          <w:rFonts w:ascii="Times New Roman" w:cs="Times New Roman" w:eastAsia="Times New Roman" w:hAnsi="Times New Roman"/>
          <w:sz w:val="18"/>
          <w:szCs w:val="18"/>
          <w:color w:val="auto"/>
        </w:rPr>
        <w:t>. The fair value of the Public Warrants is classified as Level 1 financial instruments and is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publicly listed trading price of our Public Warrants. The fair value of the Private Warrants is determined with Level 3 inputs using the Black-Scholes model. The fair value of the Private Placement Warrants may change significantly as additional data is obtained.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and such changes could materially impact our results of operations in future periods. As of December 31, 2023 and December 31, 2022, warrant liability was $0.6 million and $2.1 million, respectively. See Note 6, “Fair Value Measurements,” to our consolidated financial statements included in our Annual Report on Form 10-K .</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currently have no material recent accounting pronouncements yet to be adopted.</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have operations both within the United States and in foreign jurisdictions, and we are exposed to market risks in the ordinary course of our business, including the effects of foreign currency fluctuations, interest rate changes and inflation. Information relating to quantitative and qualitative disclosures about these market risks is set forth below.</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years ended December 31, 2023, 2022 and 2021. For all periods presented, we believe the exposure to foreign currency fluctuation from operating expenses is immaterial as the related costs do not constitute a significant portion of our total expenses.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consider all highly liquid investments with an original maturity of three months or less to be cash equivalents.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December 31, 2023, we did not have any cash equivalents.</w:t>
      </w:r>
    </w:p>
    <w:p>
      <w:pPr>
        <w:spacing w:after="0" w:line="9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principal while maximizing income without significantly increasing risk. Because we only hold cash, our portfolio’s fair value is insensitive to interest rate changes. In future periods, we will continue to evaluate our investment policy in order to ensure that we continue to meet our overall objectives. A hypothetical 100 basis point increase or decrease in interest rates would not have a material effect on our financial results.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financial instruments are potentially subject to concentrations of credit risk. We place our cash with high quality credit institutions. From time to time, we maintain cash balances at certain institutions in excess of the Federal Deposit Insurance Corporation limit. As of December 31, 2023, we had cash balances that exceeded the deposit insurance limit with five financial institutions. Management believes that the risk of loss is not significant and has not experienced any losses in such accounts.</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Other than as set forth in the note above titled “Growth and Retention of Our Paying Clients”, 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 We do not believe that inflation has had a material effect on our business, financial condition or results of operations during the years ended December 31, 2023, 2022 and 2021.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On the Closing Date, and in connection with the closing of the Business Combination, Silver Spike was domesticated and continues as a Delaware corporation, and changed its name to WM Technology, Inc.</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Our business primarily consists of our commerce-driven marketplace (“Weedmaps”), and our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(“POS”) solutions, to provide consumers with the ability to browse by strain, price, cannabinoids and other information regarding locally available cannabis products, through our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We believe the size, loyalty and engagement of our user base and the frequency of consumption of cannabis by our user base makes the Weedmaps marketplace highly valuable to our clients.</w:t>
      </w:r>
    </w:p>
    <w:p>
      <w:pPr>
        <w:spacing w:after="0" w:line="8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Weedmaps for Business, our SaaS offering, is a comprehensive set of eCommerce and compliance software solutions catered towards cannabis retailers, delivery services and brands that streamline front and back-end operations and help manage compliance needs. These tools support cannabis businesses at every stage in the consumer funnel, enabling them to:</w:t>
      </w:r>
    </w:p>
    <w:p>
      <w:pPr>
        <w:spacing w:after="0" w:line="72" w:lineRule="exact"/>
        <w:rPr>
          <w:sz w:val="20"/>
          <w:szCs w:val="20"/>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Strategically reach prospective cannabis consumers.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pickup, delivery and inventory in compliance with local regulations.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 improve the customer experience by creating online browsing and ordering functionality on a brand or retailer (including delivery) operator’s website.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 customer loyalty and re-engage with segments of consumers.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the Weedmaps for Business products in conjunction with any other preferred software solutions via integrations and application programming interfaces (“APIs”).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informed marketing and merchandising decisions using performance analytics and consumer and brand insights to promote products to specific consumer groups.</w:t>
      </w:r>
    </w:p>
    <w:p>
      <w:pPr>
        <w:spacing w:after="0" w:line="5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offer this functionality through a packaged software solution that includes (based on availability within any given market and state-level regulations) (i) a listing page with product menu on weedmaps.com, our iOS Weedmaps mobile application and our Android Weedmaps mobile application, which allows clients to disclose their license information, hours of operation, contact information, discount policies and other information that may be required under applicable state law, (ii) the ability to reserve products for pickup by consumers or delivery to consumers (either through weedmaps.com, on a white labeled WM Store website or third-party websites through our orders and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menu embed product), (iii) customizable menus for brands, retailers and delivery operators to embed on their website, (iv) access to our APIs, including real-time connectivity between Weedmaps for Business to a POS to streamline workflows and promote compliance through accuracy and (v) analytics dashboards. We also offer add-on and a la carte products and services for additional fees, as discussed below.</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state-legal cannabis industry in the United States has grown consistently in recent years and was estimated to be between approximately $27-$28 billion in 2023, according to Wall Street analyst estimates, and is expected by some</w:t>
      </w:r>
    </w:p>
    <w:p>
      <w:pPr>
        <w:jc w:val="both"/>
        <w:ind w:left="300" w:right="299"/>
        <w:spacing w:after="0" w:line="241" w:lineRule="auto"/>
        <w:rPr>
          <w:sz w:val="20"/>
          <w:szCs w:val="20"/>
          <w:color w:val="auto"/>
        </w:rPr>
      </w:pPr>
      <w:r>
        <w:rPr>
          <w:rFonts w:ascii="Times New Roman" w:cs="Times New Roman" w:eastAsia="Times New Roman" w:hAnsi="Times New Roman"/>
          <w:sz w:val="18"/>
          <w:szCs w:val="18"/>
          <w:color w:val="auto"/>
        </w:rPr>
        <w:t>estimates to grow to $40 billion by 2027, assuming a continued pace of new state legalization, with 70%</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of U.S. adults since 2020 in support of having legal access to cannabis. Currently, thirty-nine states, the District of Columbia, Puerto Rico, the Virgin Islands, Guam and the Northern Mariana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Despite expectations of growth, the regulated cannabis market in the United States is still nascent and fragmented, with significant challenges facing both consumers seeking to understand cannabis and find the right products for them and businesses seeking to operate compliantly and to effectively reach and market to cannabis consumers. Within the U.S., cannabis users (defined as adults, aged 21 and older, who have consumed cannabis in the past year) represent less than 22% of the total U.S. adult, aged 21 and</w:t>
      </w:r>
    </w:p>
    <w:p>
      <w:pPr>
        <w:spacing w:after="0" w:line="3" w:lineRule="exact"/>
        <w:rPr>
          <w:sz w:val="20"/>
          <w:szCs w:val="20"/>
          <w:color w:val="auto"/>
        </w:rPr>
      </w:pPr>
    </w:p>
    <w:p>
      <w:pPr>
        <w:jc w:val="both"/>
        <w:ind w:left="300" w:right="299"/>
        <w:spacing w:after="0" w:line="231" w:lineRule="auto"/>
        <w:rPr>
          <w:sz w:val="20"/>
          <w:szCs w:val="20"/>
          <w:color w:val="auto"/>
        </w:rPr>
      </w:pPr>
      <w:r>
        <w:rPr>
          <w:rFonts w:ascii="Times New Roman" w:cs="Times New Roman" w:eastAsia="Times New Roman" w:hAnsi="Times New Roman"/>
          <w:sz w:val="18"/>
          <w:szCs w:val="18"/>
          <w:color w:val="auto"/>
        </w:rPr>
        <w:t>older, population today (and less than 16% for those that consumed in the past month)</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On the client side, as of December 31, 2023, there were approximately 11,900 retail licenses across the United States with medical and/or adult-use regulations in place, which is an effective retail density of approximately one retail license per 21,570 residents across these markets in the aggregate, based on data available from individual governmental cannabis license databases and the U.S. Census Bureau estimates for both licenses and population.</w:t>
      </w:r>
    </w:p>
    <w:p>
      <w:pPr>
        <w:spacing w:after="0" w:line="9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addition to these nascent consumer and business dynamics, cannabis itself is a highly complex, regulated and diverse, non-shelf stable consumer good that spans hundreds of strains and a growing set of form factors available for consumption, including flower, pre-rolls, vapes, edibles, tinctures and concentrates. Despite these complexities, consumers still expect the same product information, discovery and comparison options across multiple channels from cannabis businesses that they expect from other retailers or brands. These consumer expectations, coupled with the lack of normalized product information in the industry, in addition to the unique attributes of cannabis as a nascent and highly regulated consumer product, create significant challenges for retailers and brands who serve cannabis consumers. Retailers and brands must meet these consumer expectations and provide omni-channel engagement opportunities with the same (i) level of service, (ii) richness of product information, (iii) ability to compare prices, and (iv) ease of product and brand discovery that consumers would receive when researching other consumer product categories. Further, brands are limited in their ability to market and sell directly and need to find ways to communicate to consumers. At the same time, these businesses must comply with a rapidly evolving legal and regulatory landscape that differs by state and across cities and counties within each state, creating challenges in the ability to scale in a capital-efficient way.</w:t>
      </w:r>
    </w:p>
    <w:p>
      <w:pPr>
        <w:spacing w:after="0" w:line="15" w:lineRule="exact"/>
        <w:rPr>
          <w:sz w:val="20"/>
          <w:szCs w:val="20"/>
          <w:color w:val="auto"/>
        </w:rPr>
      </w:pPr>
    </w:p>
    <w:p>
      <w:pPr>
        <w:ind w:left="460" w:hanging="168"/>
        <w:spacing w:after="0"/>
        <w:tabs>
          <w:tab w:leader="none" w:pos="460" w:val="left"/>
        </w:tabs>
        <w:numPr>
          <w:ilvl w:val="0"/>
          <w:numId w:val="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news.gallup.com - Grassroots Support for Legalizing Marijuana Hits Record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-127000</wp:posOffset>
            </wp:positionV>
            <wp:extent cx="8229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 w:lineRule="exact"/>
        <w:rPr>
          <w:sz w:val="20"/>
          <w:szCs w:val="20"/>
          <w:color w:val="auto"/>
        </w:rPr>
      </w:pPr>
    </w:p>
    <w:p>
      <w:pPr>
        <w:ind w:left="460" w:right="299" w:hanging="168"/>
        <w:spacing w:after="0" w:line="195" w:lineRule="auto"/>
        <w:tabs>
          <w:tab w:leader="none" w:pos="460" w:val="left"/>
        </w:tabs>
        <w:numPr>
          <w:ilvl w:val="0"/>
          <w:numId w:val="3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Numbers of users aged 21 and older are from the 2022 National Survey on Drug Use and Health, number of adults in the United States aged 21 and older are from U.S. Census data</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5" w:name="page76"/>
    <w:bookmarkEnd w:id="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Product and Solution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182880</wp:posOffset>
            </wp:positionV>
            <wp:extent cx="5280660" cy="2922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280660"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1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solutions are designed to address the challenges facing cannabis consumers and businesses. The Weedmaps marketplace allows cannabis consumers to search for and browse cannabis products from retailers and brands, and ultimately reserve products from certain local retailers, in a manner similar to other technology platforms with breadth and depth of product, brand and retailer selection. With the development of Weedmaps for Business, we offer an end-to-end platform for licensed cannabis retailers to comply with state law. We sell a monthly subscription offering to retailer and brand clients as well as upsell and add-on offerings to licensed clients.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current Weedmaps for Business monthly subscription package includes:</w:t>
      </w:r>
    </w:p>
    <w:p>
      <w:pPr>
        <w:spacing w:after="0" w:line="117" w:lineRule="exact"/>
        <w:rPr>
          <w:sz w:val="20"/>
          <w:szCs w:val="20"/>
          <w:color w:val="auto"/>
        </w:rPr>
      </w:pPr>
    </w:p>
    <w:p>
      <w:pPr>
        <w:jc w:val="both"/>
        <w:ind w:left="1000" w:right="319" w:hanging="348"/>
        <w:spacing w:after="0" w:line="261"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Listings: A listing page with product menu for a retailer or brand on the Weedmaps marketplace, enabling our clients to be discovered by the marketplace’s users. This also allows clients to disclose their license information, hours of operation, contact information, discount policies and other information that may be required under applicable state law.</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Orders: Software for retailers to receive pickup and delivery orders directly from a Weedmaps listing and connect orders directly with a client’s POS system (for certain POS systems). The marketplace also 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9"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Store: Customizable order and menus embed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spacing w:after="0" w:line="294"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58" w:lineRule="auto"/>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also offer other add-on products for additional fees, including:</w:t>
      </w:r>
    </w:p>
    <w:p>
      <w:pPr>
        <w:spacing w:after="0" w:line="117" w:lineRule="exact"/>
        <w:rPr>
          <w:sz w:val="20"/>
          <w:szCs w:val="20"/>
          <w:color w:val="auto"/>
        </w:rPr>
      </w:pPr>
    </w:p>
    <w:p>
      <w:pPr>
        <w:ind w:left="1000" w:right="31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Ads: Ad solutions on the Weedmaps marketplace designed for clients to amplify their businesses and reach more highly engaged cannabis consumers throughout their buying journey including:</w:t>
      </w:r>
    </w:p>
    <w:p>
      <w:pPr>
        <w:sectPr>
          <w:pgSz w:w="11900" w:h="16838" w:orient="portrait"/>
          <w:cols w:equalWidth="0" w:num="1">
            <w:col w:w="9019"/>
          </w:cols>
          <w:pgMar w:left="1440" w:top="263" w:right="1440" w:bottom="1440" w:gutter="0" w:footer="0" w:header="0"/>
        </w:sectPr>
      </w:pPr>
    </w:p>
    <w:p>
      <w:pPr>
        <w:spacing w:after="0" w:line="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both"/>
        <w:ind w:right="319"/>
        <w:spacing w:after="0" w:line="266" w:lineRule="auto"/>
        <w:rPr>
          <w:sz w:val="20"/>
          <w:szCs w:val="20"/>
          <w:color w:val="auto"/>
        </w:rPr>
      </w:pPr>
      <w:r>
        <w:rPr>
          <w:rFonts w:ascii="Times New Roman" w:cs="Times New Roman" w:eastAsia="Times New Roman" w:hAnsi="Times New Roman"/>
          <w:sz w:val="18"/>
          <w:szCs w:val="18"/>
          <w:color w:val="auto"/>
        </w:rPr>
        <w:t>Featured Listings: Premium placement ad solutions on high visibility locations on the Weedmaps marketplace (desktop and mobile) to amplify our clients’ businesses and maximize clients’ listings and deal presence.</w:t>
      </w:r>
    </w:p>
    <w:p>
      <w:pPr>
        <w:spacing w:after="0" w:line="68" w:lineRule="exact"/>
        <w:rPr>
          <w:sz w:val="20"/>
          <w:szCs w:val="20"/>
          <w:color w:val="auto"/>
        </w:rPr>
      </w:pPr>
    </w:p>
    <w:p>
      <w:pPr>
        <w:jc w:val="both"/>
        <w:ind w:right="319"/>
        <w:spacing w:after="0" w:line="266" w:lineRule="auto"/>
        <w:rPr>
          <w:sz w:val="20"/>
          <w:szCs w:val="20"/>
          <w:color w:val="auto"/>
        </w:rPr>
      </w:pPr>
      <w:r>
        <w:rPr>
          <w:rFonts w:ascii="Times New Roman" w:cs="Times New Roman" w:eastAsia="Times New Roman" w:hAnsi="Times New Roman"/>
          <w:sz w:val="18"/>
          <w:szCs w:val="18"/>
          <w:color w:val="auto"/>
        </w:rPr>
        <w:t>WM Deals: Discount and promotion pricing tools that let clients strategically reach prospective price-conscious cannabis customers with deals or discounts to drive conversion. In some jurisdictions, it is required by applicable law to showcase discounts.</w:t>
      </w:r>
    </w:p>
    <w:p>
      <w:pPr>
        <w:spacing w:after="0" w:line="68" w:lineRule="exact"/>
        <w:rPr>
          <w:sz w:val="20"/>
          <w:szCs w:val="20"/>
          <w:color w:val="auto"/>
        </w:rPr>
      </w:pPr>
    </w:p>
    <w:p>
      <w:pPr>
        <w:jc w:val="both"/>
        <w:ind w:right="319"/>
        <w:spacing w:after="0" w:line="266" w:lineRule="auto"/>
        <w:rPr>
          <w:sz w:val="20"/>
          <w:szCs w:val="20"/>
          <w:color w:val="auto"/>
        </w:rPr>
      </w:pPr>
      <w:r>
        <w:rPr>
          <w:rFonts w:ascii="Times New Roman" w:cs="Times New Roman" w:eastAsia="Times New Roman" w:hAnsi="Times New Roman"/>
          <w:sz w:val="18"/>
          <w:szCs w:val="18"/>
          <w:color w:val="auto"/>
        </w:rPr>
        <w:t>Other WM Ads solutions: Includes banner ads and promotion tiles on our marketplace as well as banner ads that can be tied to keyword searches. These products provide clients with targeted ad solutions in highly visible slots across our digital surfaces.</w:t>
      </w:r>
    </w:p>
    <w:p>
      <w:pPr>
        <w:spacing w:after="0" w:line="68" w:lineRule="exact"/>
        <w:rPr>
          <w:sz w:val="20"/>
          <w:szCs w:val="20"/>
          <w:color w:val="auto"/>
        </w:rPr>
      </w:pPr>
    </w:p>
    <w:p>
      <w:pPr>
        <w:sectPr>
          <w:pgSz w:w="11900" w:h="16838" w:orient="portrait"/>
          <w:cols w:equalWidth="0" w:num="2">
            <w:col w:w="1080" w:space="280"/>
            <w:col w:w="7659"/>
          </w:cols>
          <w:pgMar w:left="1440" w:top="263" w:right="1440" w:bottom="1440" w:gutter="0" w:footer="0" w:header="0"/>
          <w:type w:val="continuous"/>
        </w:sectPr>
      </w:pPr>
    </w:p>
    <w:p>
      <w:pPr>
        <w:jc w:val="both"/>
        <w:ind w:left="1000" w:right="319" w:hanging="348"/>
        <w:spacing w:after="0" w:line="266" w:lineRule="auto"/>
        <w:tabs>
          <w:tab w:leader="none" w:pos="1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Dispatch: Compliant, automated and optimized logistics and fulfillment last-mile delivery software (including driver apps) that helps clients manage their delivery fleets. This product streamlines the delivery experience from in-store to front-door.</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December 2023, we completed the sunset of WM AdSuite, WM CRM and WM Screens product offerings as we continue to focus our efforts on other Weedmaps for Business products that support the Weedmaps marketplace and improve the eCommerce experience for our clients and users.</w:t>
      </w:r>
    </w:p>
    <w:p>
      <w:pPr>
        <w:spacing w:after="0" w:line="6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sell our Weedmaps for Business suite in the United States and have a limited number of non-monetized listings in several other countries including Austria, Canada, Germany, the Netherlands, Spain and Switzerland. We operate in the United States, Canada and other foreign jurisdictions where medical and/or adult cannabis use is legal under state or national law. As of December 31, 2023, we actively operated in over 35 U.S. states and territories that have adult-use and/or medical-use regulations in place. We define actively operated markets as those U.S. states or territories with greater than $1,000 monthly revenue. Substantially all of our revenue was generated in the United States.</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mission is to power a transparent and inclusive global cannabis economy. Our technology addresses the challenges facing both consumers seeking to understand cannabis products and businesses who serve cannabis users in a legally compliant fashion. Since our founding in 2008, Weedmaps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hold a strong belief in the importance of enabling safe, legal access to cannabis for consumers worldwide. We believe we offer the only comprehensive software platform that allows cannabis retailers to reach their target audience, quickly and cost effectively, addressing a wide range of needs. We are committed to building the software solutions that power cannabis businesses compliantly in the industry, to advocating for legalization, licensing and social equity of cannabis and to facilitating further learning through partnership with subject matter experts to provide detailed, accurate information about cannabis.</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we continue to expand the presence and increase the number of consumers on the Weedmaps marketplace and broaden our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77" w:name="page78"/>
    <w:bookmarkEnd w:id="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making investments in raising brand awareness, increasing penetration within existing markets and expanding to new markets, as well as continuing to develop and monetize new solutions to extend the functionality of our platform. These investments serve to deepen the consumer experience with our platform and continue to provide a high level of support to our business clients.</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While the cannabis industry is still in the early innings of what could be decades of growth, we have established a leading position and a recognized brand given our 15-year operating history. Over the coming years, we plan to continue expanding our solutions and service offerings.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Challenges in Our End-Markets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Despite cannabis being a large and growing sector in the United States, we believe that cannabis is unlike many other consumer goods and retail categories for a number of reasons:</w:t>
      </w:r>
    </w:p>
    <w:p>
      <w:pPr>
        <w:spacing w:after="0" w:line="54" w:lineRule="exact"/>
        <w:rPr>
          <w:sz w:val="20"/>
          <w:szCs w:val="20"/>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as a regulated industry is still in a nascent stage of development.</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35"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users (defined as adults, aged 21 and older, who have consumed cannabis in the past year) represent less than 22% of the total U.S. adult, aged 21 and older, population today</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(and less than 16% for those that consumed in the past month)</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without a “typical” user profile</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governing cannabis are complex and vary state-by-state and by city and county within states.</w:t>
      </w:r>
    </w:p>
    <w:p>
      <w:pPr>
        <w:spacing w:after="0" w:line="9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has wide variance in characteristics that make it complex for consumers to make an informed purchase decision.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is a perishable good with a lack of product homogeneity.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Brands are only in the early stages of establishing a consumer presence.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the illicit market is still an issue, particularly in states like California.</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industry has experienced periods of price deflation, including over the past two years, impacting the financial performance of businesses across the value chain.</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access to capital (relative to other industries) and limitations under Section 280E of the Internal Revenue Code of 1986, as amended (the “Code”) on deduction or credit for certain expenses of cannabis business can reduce the cash flow and liquidity of many industry participants.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Since our founding in 2008, we have grown to become a leading provider of technology solutions to the cannabis industry by leveraging our competitive strengths, including:</w:t>
      </w:r>
    </w:p>
    <w:p>
      <w:pPr>
        <w:spacing w:after="0" w:line="50" w:lineRule="exact"/>
        <w:rPr>
          <w:sz w:val="20"/>
          <w:szCs w:val="20"/>
          <w:color w:val="auto"/>
        </w:rPr>
      </w:pPr>
    </w:p>
    <w:p>
      <w:pPr>
        <w:jc w:val="both"/>
        <w:ind w:left="1000" w:right="319" w:hanging="348"/>
        <w:spacing w:after="0" w:line="257"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Long History as a Technology Leader Serving the Cannabis Industry. </w:t>
      </w:r>
      <w:r>
        <w:rPr>
          <w:rFonts w:ascii="Times New Roman" w:cs="Times New Roman" w:eastAsia="Times New Roman" w:hAnsi="Times New Roman"/>
          <w:sz w:val="18"/>
          <w:szCs w:val="18"/>
          <w:color w:val="auto"/>
        </w:rPr>
        <w:t>Founded in 2008, we have a long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history and established relationships with cannabis businesses and consumers across the United States. This long history has given us several competitive advantages, such as scale, attractive operating margins and local insights into emerging consumer and business trends across many markets. Our policy expertise allows us to anticipate and react quickly to changes in cannabis regulations and informs all aspects of our business, including our product ideation, development and go-to-market strategies.</w:t>
      </w:r>
    </w:p>
    <w:p>
      <w:pPr>
        <w:spacing w:after="0" w:line="74"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Largest Two-Sided Platform for Cannabis Businesses and Consumers. </w:t>
      </w:r>
      <w:r>
        <w:rPr>
          <w:rFonts w:ascii="Times New Roman" w:cs="Times New Roman" w:eastAsia="Times New Roman" w:hAnsi="Times New Roman"/>
          <w:sz w:val="18"/>
          <w:szCs w:val="18"/>
          <w:color w:val="auto"/>
        </w:rPr>
        <w:t>With $188.0 million in revenue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5,419 average monthly paying clients for the year ended December 31, 2023, we believe we are the largest two-sided platform for cannabis businesses and consumers in the United States. As we increase the number of users on our platform, we generate more engagements and can more easily persuade our business clients to consolidate their service providers by switching to our value-priced Weedmaps for Business bundled solution. As we continue to increase the number of businesses on our marketplace, we in turn become a more compelling platform for users. As more businesses and users join the platform, we gain a richer trove of industry data to perform market research and assist in product development and improvement. The result is a self-reinforcing, mutually beneficial, two-sided network effect, which we believe is difficult to replicate.</w:t>
      </w:r>
    </w:p>
    <w:p>
      <w:pPr>
        <w:spacing w:after="0" w:line="91" w:lineRule="exact"/>
        <w:rPr>
          <w:sz w:val="20"/>
          <w:szCs w:val="20"/>
          <w:color w:val="auto"/>
        </w:rPr>
      </w:pPr>
    </w:p>
    <w:p>
      <w:pPr>
        <w:ind w:left="460" w:right="319" w:hanging="168"/>
        <w:spacing w:after="0" w:line="184" w:lineRule="auto"/>
        <w:tabs>
          <w:tab w:leader="none" w:pos="460" w:val="left"/>
        </w:tabs>
        <w:numPr>
          <w:ilvl w:val="0"/>
          <w:numId w:val="4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Numbers of users 21 and above are from the 2022 National Survey on Drug Use and Health, number of 21 and above adults in the United States are from U.S. Census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-229235</wp:posOffset>
            </wp:positionV>
            <wp:extent cx="82296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ind w:left="460" w:hanging="168"/>
        <w:spacing w:after="0" w:line="210" w:lineRule="auto"/>
        <w:tabs>
          <w:tab w:leader="none" w:pos="460" w:val="left"/>
        </w:tabs>
        <w:numPr>
          <w:ilvl w:val="0"/>
          <w:numId w:val="4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Per 2022 National Survey of Drug Use and Health and U.S. Census data</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8" w:name="page79"/>
    <w:bookmarkEnd w:id="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1000" w:right="299" w:hanging="348"/>
        <w:spacing w:after="0" w:line="254"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 Fully-Integrated Business-in-a-Box SaaS Solution Specific to the Cannabis Industry. </w:t>
      </w:r>
      <w:r>
        <w:rPr>
          <w:rFonts w:ascii="Times New Roman" w:cs="Times New Roman" w:eastAsia="Times New Roman" w:hAnsi="Times New Roman"/>
          <w:sz w:val="18"/>
          <w:szCs w:val="18"/>
          <w:color w:val="auto"/>
        </w:rPr>
        <w:t>We believe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Weedmaps for Business is the industry’s only comprehensive business-in-a-box solution and incorporates embedded compliance functionality so that our clients comply with state law through integrated software solutions ranging from live menus, logistics and fulfillment, POS integrations, inventory management and data and analytics. We also believe we are the only platform servicing cannabis that combines both a scaled marketplace and software - most other technology providers offer software solutions without the marketplace or a marketplace without software. We also believe we offer the most comprehensive software platform that allows cannabis retailers to reach their target audience, quickly and cost effectively, addressing a wide range of needs. Our platform features self-service administrative functionality that enables clients to manage their listings page, including adding images, adjusting their menus, editing product information and responding to reviews as well as analyzing traffic trends.</w:t>
      </w:r>
    </w:p>
    <w:p>
      <w:pPr>
        <w:spacing w:after="0" w:line="74"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Unique and Growing Data Asset. </w:t>
      </w:r>
      <w:r>
        <w:rPr>
          <w:rFonts w:ascii="Times New Roman" w:cs="Times New Roman" w:eastAsia="Times New Roman" w:hAnsi="Times New Roman"/>
          <w:sz w:val="18"/>
          <w:szCs w:val="18"/>
          <w:color w:val="auto"/>
        </w:rPr>
        <w:t>As a result our established presence, scale and the breadth of product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offerings that provide us with a high volume of retail-level information and user insights, we have a growing and unique first-party data asset. Currently, the cannabis industry has few reliable sources of fulsome datasets. Our data gives us insights on local market trends and the shape of the consumer journey from exploration and discovery to point of direct interaction with retailers across multiple retailers, brands and products. As our network of clients and consumers continues to grow, our data set will become deeper and richer, increasing its value and our potential monetization opportunities.</w:t>
      </w:r>
    </w:p>
    <w:p>
      <w:pPr>
        <w:spacing w:after="0" w:line="74"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Ability to Innovate Rapidly and Launch New Products Efficiently at Scale. </w:t>
      </w:r>
      <w:r>
        <w:rPr>
          <w:rFonts w:ascii="Times New Roman" w:cs="Times New Roman" w:eastAsia="Times New Roman" w:hAnsi="Times New Roman"/>
          <w:sz w:val="18"/>
          <w:szCs w:val="18"/>
          <w:color w:val="auto"/>
        </w:rPr>
        <w:t>We have an agile product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innovation and deployment process. Our sales team frequently engages with our paid clients about the products they use, as well as their business objectives and performance. We constantly strive to generate product ideas through this deep engagement with our clients, as well as empirical research. During the initial development phases, we test a proposed offering with relevant areas of our business such as sales, compliance, legal, marketing and technology, and use the resulting cross-functional input to develop a clear business rationale and explicit articulation of the goals, client problems that need to be solved, compliance features that need to be incorporated, and potential product-market fit prior to the investment of developer time and company resources. We leverage reusable microservices architecture and modular technology that can be redeployed across multiple new offerings for quicker development cycles. This streamlined approach yields smaller initiatives requiring less investment, enabling us to deliver cost-effective product innovation at a rapid pace.</w:t>
      </w:r>
    </w:p>
    <w:p>
      <w:pPr>
        <w:spacing w:after="0" w:line="81"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Capital-Efficient Business Model with Historical Track Record of Positive Cash Flows. </w:t>
      </w:r>
      <w:r>
        <w:rPr>
          <w:rFonts w:ascii="Times New Roman" w:cs="Times New Roman" w:eastAsia="Times New Roman" w:hAnsi="Times New Roman"/>
          <w:sz w:val="18"/>
          <w:szCs w:val="18"/>
          <w:color w:val="auto"/>
        </w:rPr>
        <w:t>We operate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cloud-based platform, and unlike other cannabis-related businesses, we require minimal physical footprint and are not directly exposed to fluctuations in product input costs. We do not require real estate or other significant capital outlays to enter new markets. Our offerings can be efficiently customized to new markets to facilitate expansion, which provides significant flexibility to scale and enter new markets with minimal investment. The capital-efficiency of our business model is evidenced by our historical robust margin profile and, prior to 2022, our track record of positive Adjusted EBITDA and cash flows from operating activities,</w:t>
      </w:r>
    </w:p>
    <w:p>
      <w:pPr>
        <w:spacing w:after="0" w:line="76"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Operationally-Focused Management Team with Deep Experience. </w:t>
      </w:r>
      <w:r>
        <w:rPr>
          <w:rFonts w:ascii="Times New Roman" w:cs="Times New Roman" w:eastAsia="Times New Roman" w:hAnsi="Times New Roman"/>
          <w:sz w:val="18"/>
          <w:szCs w:val="18"/>
          <w:color w:val="auto"/>
        </w:rPr>
        <w:t>Our executive leadership team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extensive and relevant professional experience spanning the technology, consumer, retail, legal and financial services industries, with a track record of operational execution and driving growth. Our Executive Chair and Principal Executive Officer, Douglas Francis is a co-founder of WM Technology and, prior to 2019, had served as its Chief Executive Officer. We believe our deep knowledge of our end-markets and broad-based operational expertise spanning several industry sectors provides a key competitive advantage in executing against our growth strategy.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9" w:name="page80"/>
    <w:bookmarkEnd w:id="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a leading marketplace and software platform, our goal is not only to grow our market share but to grow the entire market by promoting wider access to licensed cannabis, educating consumers on how to shop for cannabis and providing licensed operators with the tools they need to access users and grow their businesses. We believe we are well-positioned to capitalize on underlying growth across our end-markets by executing against our strategy as follows:</w:t>
      </w:r>
    </w:p>
    <w:p>
      <w:pPr>
        <w:spacing w:after="0" w:line="71" w:lineRule="exact"/>
        <w:rPr>
          <w:sz w:val="20"/>
          <w:szCs w:val="20"/>
          <w:color w:val="auto"/>
        </w:rPr>
      </w:pPr>
    </w:p>
    <w:p>
      <w:pPr>
        <w:jc w:val="both"/>
        <w:ind w:left="1000" w:right="299" w:hanging="348"/>
        <w:spacing w:after="0" w:line="256"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Grow Our Two-Sided Marketplace. </w:t>
      </w:r>
      <w:r>
        <w:rPr>
          <w:rFonts w:ascii="Times New Roman" w:cs="Times New Roman" w:eastAsia="Times New Roman" w:hAnsi="Times New Roman"/>
          <w:sz w:val="18"/>
          <w:szCs w:val="18"/>
          <w:color w:val="auto"/>
        </w:rPr>
        <w:t>Our goal is to be the center of commerce for consumers seeking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cannabis. To support this goal, we intend to continue growing the number of consumers on our platform through original content that educates, entertains, facilitates discovery of new products, increases awareness of our platform and encourages repeat usage. As we grow our users and user engagements, we will continue to engage with our clients to demonstrate the value we believe they receive on our platform and can convince more businesses to increase adoption of our Weedmaps for Business services through our Weedmaps for Business subscription offering and additional add-ons.</w:t>
      </w:r>
    </w:p>
    <w:p>
      <w:pPr>
        <w:spacing w:after="0" w:line="74" w:lineRule="exact"/>
        <w:rPr>
          <w:rFonts w:ascii="Times New Roman" w:cs="Times New Roman" w:eastAsia="Times New Roman" w:hAnsi="Times New Roman"/>
          <w:sz w:val="18"/>
          <w:szCs w:val="18"/>
          <w:color w:val="auto"/>
        </w:rPr>
      </w:pPr>
    </w:p>
    <w:p>
      <w:pPr>
        <w:jc w:val="both"/>
        <w:ind w:left="1000" w:right="299" w:hanging="348"/>
        <w:spacing w:after="0" w:line="25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Our Existing Markets and Enter New Markets. </w:t>
      </w:r>
      <w:r>
        <w:rPr>
          <w:rFonts w:ascii="Times New Roman" w:cs="Times New Roman" w:eastAsia="Times New Roman" w:hAnsi="Times New Roman"/>
          <w:sz w:val="18"/>
          <w:szCs w:val="18"/>
          <w:color w:val="auto"/>
        </w:rPr>
        <w:t>We have a significant opportunity to grow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client base both within existing markets that are continuing to grow and new markets as they become open to regulated cannabis. We believe we are a nationally-recognized brand in the cannabis industry, and we are monetizing our platform in over 35 U.S. states and territories, as of December 31, 2023. Based on our internal research, we believe the minimum level of acceptable retail density to have a healthy and functioning licensed market is one licensed retailer per 10,000 residents. Many of the U.S. states where we operate today are still under-penetrated with low levels of licensed retail density. We believe that there are tremendous growth opportunities for us within our existing markets as retail licenses continue to be issued, and states move towards, and eventually beyond, the one retail license per 10,000 people ratio. As of December 31, 2023, there were approximately 11,900 existing retail and delivery licenses across the United States. Assuming no cap on the number of licenses issued or other restrictions on the number of licenses issued, if these same markets were to issue enough licenses to match a ratio of one retail license per 10,000 residents, approximately 22,000 new retail licenses would be issued. This may require continued liberalization of license restrictions across cities and counties within certain states where we do business today. In addition, we believe that legalization by additional states and eventually the U.S. government is inevitable. Assuming no other restrictions on the number of licenses issued, if the entire United States reached a minimum level of density of one retail license per 10,000 residents, the total universe of retail licenses would reach approximately 34,000, which is approximately 2.8 times the current count of retail licenses in the United States. If our assumptions and projections are correct, this represents a significant growth opportunity for us as every new retail license issued is an opportunity to onboard a new client onto our platform and increase their monthly spend as they leverage more of our services, solutions and upsell / add-on products.</w:t>
      </w:r>
    </w:p>
    <w:p>
      <w:pPr>
        <w:spacing w:after="0" w:line="78"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Our Weedmaps for Business Solutions and Monetize Gross Merchandise Value (“GMV”) Consistent with Federal and State Laws. </w:t>
      </w:r>
      <w:r>
        <w:rPr>
          <w:rFonts w:ascii="Times New Roman" w:cs="Times New Roman" w:eastAsia="Times New Roman" w:hAnsi="Times New Roman"/>
          <w:sz w:val="18"/>
          <w:szCs w:val="18"/>
          <w:color w:val="auto"/>
        </w:rPr>
        <w:t>We intend to continue expanding our suite of valuable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advertising and software solutions and the functionality of our Weedmaps for Business solutions through additional offerings of premium analytics and loyalty tools, among other solutions, which we intend to monetize through additional higher priced tiers within our subscription offering. We will continue to expand the availability of our POS integrations across additional states. We also are continuously improving the base-level functionality across our Weedmaps for Business solutions. We believe these initiatives will result in a more engaged client who utilizes more of our services across our platform and is more ripe for monetization opportunities over time. While we do not believe GMV is a driver of our revenue currently, GMV could represent significant monetization potential over time when and if U.S. federal regulations allow us to monetize our clients’ currently off-platform transaction activity through take-rates or payment fees.</w:t>
      </w:r>
    </w:p>
    <w:p>
      <w:pPr>
        <w:spacing w:after="0" w:line="81" w:lineRule="exact"/>
        <w:rPr>
          <w:rFonts w:ascii="Times New Roman" w:cs="Times New Roman" w:eastAsia="Times New Roman" w:hAnsi="Times New Roman"/>
          <w:sz w:val="18"/>
          <w:szCs w:val="18"/>
          <w:color w:val="auto"/>
        </w:rPr>
      </w:pPr>
    </w:p>
    <w:p>
      <w:pPr>
        <w:jc w:val="both"/>
        <w:ind w:left="1000" w:right="319" w:hanging="348"/>
        <w:spacing w:after="0" w:line="268"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Pursue Strategic Acquisitions. </w:t>
      </w:r>
      <w:r>
        <w:rPr>
          <w:rFonts w:ascii="Times New Roman" w:cs="Times New Roman" w:eastAsia="Times New Roman" w:hAnsi="Times New Roman"/>
          <w:sz w:val="18"/>
          <w:szCs w:val="18"/>
          <w:color w:val="auto"/>
        </w:rPr>
        <w:t>We take a measured approach to acquisition-related growth. We intend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continue selectively pursuing opportunities to invest in and acquire technology offerings that either complement our existing products and services or allow us to accelerate our growth.</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0" w:name="page81"/>
    <w:bookmarkEnd w:id="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Our direct competitors for individual components or parts of our platform include cannabis-focused, technology companies like Leafly, Dutchie and Jane Technologies and a variety of cannabis-focused marketing and advertising technology solutions. In addition, for our retail listing pages, our platform may also compete with current or potential products and solutions offered by internet search engines and advertising networks like Google, Yelp, various other newspaper, television and media companies, as well as outdoor billboard advertising. We believe that the principal competitive factors in our market include the scale of our network, comprehensiveness of offerings, ease of adoption and use, ability to facilitate compliance with the complex, disparate regulations applicable to businesses operating in the cannabis industry and the breadth and trustworthiness of information available to consumers and brand. We believe we compete favorably based on these factors. On May 16, 2024, President Biden announced that the U.S. Attorney General initiated proceedings to transfer cannabis from Schedule I to Schedule III, through a Notice of Proposed Rulemaking (“NPRM”) published on May 21, 2024 This decision is expected to have far reaching implications that are not yet fully understood. For example, rescheduling may increase competitors in this space if non-cannabis technology companies who have previously avoided the space now decide to enter the market.</w:t>
      </w:r>
    </w:p>
    <w:p>
      <w:pPr>
        <w:spacing w:after="0" w:line="8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the risks to our business related to competition, see the section entitled “Risk Factors-Risks Related to our Business and Industry—We currently face intense competition in the market and we expect competition to further intensify as the cannabis industry continues to evolve.”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Our sales team is primarily based out of our Irvine, California headquarters. Members of our sales team are knowledgeable about the products and add-ons that we offer and assist new and existing clients with our platform.</w:t>
      </w:r>
    </w:p>
    <w:p>
      <w:pPr>
        <w:spacing w:after="0" w:line="5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generate many leads for new listing pages through the applicable state cannabis regulators’ lists of licensees. Other leads are created from inbound requests by applicants for cannabis licenses to begin establishing their business’ presence on our platform pending an expected cannabis license.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Marketing</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believe the quality and strength of our platform is our most valuable marketing asset. Our marketing strategy, across both business-to-consumer and business-to-business commerce, consists of user acquisition, brand marketing, communications and field marketing.</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key marketing efforts consist of driving awareness of the marketplace, new user acquisition, and increasing platform engagement with existing users. To drive awareness, we apply a range of strategies from broad integrated</w:t>
      </w:r>
    </w:p>
    <w:p>
      <w:pPr>
        <w:jc w:val="both"/>
        <w:ind w:left="300" w:right="299"/>
        <w:spacing w:after="0" w:line="236" w:lineRule="auto"/>
        <w:rPr>
          <w:sz w:val="20"/>
          <w:szCs w:val="20"/>
          <w:color w:val="auto"/>
        </w:rPr>
      </w:pPr>
      <w:r>
        <w:rPr>
          <w:rFonts w:ascii="Times New Roman" w:cs="Times New Roman" w:eastAsia="Times New Roman" w:hAnsi="Times New Roman"/>
          <w:sz w:val="18"/>
          <w:szCs w:val="18"/>
          <w:color w:val="auto"/>
        </w:rPr>
        <w:t>marketing campaigns, such as our work each year on April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(“420”), to local, on-the ground events in partnership with brands and retailers like Jack in the Box. While many traditional paid channels are still not available to cannabis industry brands (Google search and some social platforms for example) we have an evolving playbook of tactics to acquire new users that includes a combination of targeted out-of-home, programmatic display, and affiliate marketing campaigns. We augment our paid efforts with social media and SEO tactics to drive organic traffic. To engage and retain existing users, we apply lifecycle tactics, leveraging our first party data to personalize touch points based on user interests.</w:t>
      </w:r>
    </w:p>
    <w:p>
      <w:pPr>
        <w:spacing w:after="0" w:line="93"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2023, our marketing function continued to focus on ways to drive greater adoption of our platform through new and innovative tactics such as in-app promotions and shopping tools, and self-help chat bots. Given the strength of our brand, we have continued to see strength in the performance of our marketing tactics in what can be a crowded market, easing the acquisition or upsell process for our sales team.</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Social Impact</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To support the growth of an inclusive cannabis industry, we participate in policy panels and organize educational sessions to educate attendees about the importance of social equity programs and other policy initiatives that are designed to ensure the ability of people of color and those impacted by the war on drugs to participate in the legal cannabis markets that are opening (i.e. social equity licensing programs). We have drafted white papers and mock legislative provisions that were designed to support the enactment of social equity licensing programs and have advocated for state and local governments to enact social equity licensing programs. We have established a program,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1" w:name="page82"/>
    <w:bookmarkEnd w:id="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WM Teal, which stands for “Together for Equity Access and Legislation,” through which we provide free software, advertising, educational materials and training programs to applicants or licenses under social equity licensing programs.</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product development efforts focus on adding new features and solutions to our platform, as well as increasing the functionality and enhancing the ease of use of our platform. While we expect product development costs to increase as we continue to increase the functionality of our platform, we expect the percentage of total revenues represented by such costs to remain unchanged.</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Our intellectual property and proprietary rights are valuable assets that are important to our business. In our efforts to safeguard our intellectual property, including copyrights, trade secrets, trademarks, patents and other forms of intellectual property rights, we rely on a combination of federal, state, common law and international rights in the jurisdictions in which we operate.</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have an ongoing trademark and service mark registration program pursuant to which we register our brand names, taglines and logos in the United States, Canada, the European Union and other jurisdictions to the extent we determine they are appropriate and cost-effective.</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As of December 31, 2023, we have been issued trademark registrations in the United States, Canada, Japan, the European Union, the United Kingdom, Mexico and Australia. We have also been issued an international trademark registration with designation in Australia and the European Union for “Weedmaps.”</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to our numerous trademark applications and registrations, we have United States copyright registrations for our weedmaps.com website, “Grow One,” and two versions of our Lab API documentation. Further, we own several domain names, including: weedmaps.com, marijuana.com, cannabis.com, wmpolicy.com, themuseumofweed.com, wm-retail.com, wmforbusiness.com and WM.store. Our trademarks and domain names are material to our business and brand identity.</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also rely on non-disclosure agreements, invention assignment agreements, intellectual property assignment agreements, or license agreements with employees, independent contractors, consumers, software providers and other third parties, which protect and limit access to and use of our proprietary intellectual property.</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Though we rely, in part, upon these legal and contractual protections, we believe that factors such as the skills and ingenuity of our employees, as well as the functionality and frequent enhancements to our platform are larger contributors to our success in the marketplace.</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Circumstances outside our control could pose a threat to our intellectual property rights. For more information, see the section entitled “Risk Factors—Risks Related to our Business and Industry.”</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ind w:left="300" w:right="299"/>
        <w:spacing w:after="0"/>
        <w:rPr>
          <w:sz w:val="20"/>
          <w:szCs w:val="20"/>
          <w:color w:val="auto"/>
        </w:rPr>
      </w:pPr>
      <w:r>
        <w:rPr>
          <w:rFonts w:ascii="Times New Roman" w:cs="Times New Roman" w:eastAsia="Times New Roman" w:hAnsi="Times New Roman"/>
          <w:sz w:val="18"/>
          <w:szCs w:val="18"/>
          <w:color w:val="auto"/>
        </w:rPr>
        <w:t>The cannabis industry has certain industry holidays that in recent years have resulted in increased purchases by cannabis consumers. Such “holidays” include, but are not limited to 420, July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and the Wednesday before Thanksgiving. Likewise, our clients will typically increase spend heading into these events. We also typically invest in marketing spend around these holidays which can create some seasonality in our sales and market expenses from quarter to quarter.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People Operations and Human Capital Resources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As of December 31, 2023, we had 440 full-time employees and 19 temporary employees, including 196 in engineering, product and design, 181 in sales and marketing and 82 in general and administrative. Of these employees, 450 are located in the United States and 9 are located in Canada.</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believe that being able to attract and retain top talent is both a strategic advantage for us and necessary to realize our mission of powering a transparent and inclusive global cannabis economy. Our position as a leading technology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2" w:name="page83"/>
    <w:bookmarkEnd w:id="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provider to the cannabis industry helps us attract high caliber candidates who are technically skilled and passionate about our mission and products. We devote substantial resources to this task. Our dedicated, best-in-class Talent Acquisition team is focused on finding and attracting diverse and capable talent, and our People &amp; Workplace team is focused on making us a world class employer of choice for that talent once they get here. None of our employees are represented by a labor union or covered by collective bargaining agreements and we have not experienced any work stoppages.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Numerous countries and territories have moved in recent years to regulate and tax cannabis, particularly medical cannabis. Most of these jurisdictions present complex regulatory regimes that require licensed operators to comply with substantial reporting, testing, packaging, distribution and security requirements.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United States and Territories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Notwithstanding the trend toward further state legalization, the U.S. government continues to categorize cannabis as a prohibited controlled substance, and accordingly the cultivation, processing, distribution, sale, advertisement of sale and possession by our customers violate federal law, as discussed further in the sections entitled “Risk Factors —Risks Related to our Business and Industry.”</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On January 4, 2018, then U.S. Attorney General Jeff Sessions issued a memorandum for all U.S. Attorneys (the “Sessions Memo”) rescinding certain past DOJ memoranda on cannabis law enforcement, including the Cole Memo.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 principles that govern all federal prosecutions when deciding which cannabis activities to prosecute.</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Since 2014, versions of the U.S. omnibus spending bill have included a provision prohibiting the DOJ, which includes the Drug Enforcement Administration (“DEA”), from using appropriated funds to prevent states from implementing their medical-use cannabis laws. Federal courts have held that the provision prohibits the DOJ from spending funds to prosecute individuals who engage in conduct permitted by state medical-use cannabis laws and who strictly comply with such laws.</w:t>
      </w:r>
    </w:p>
    <w:p>
      <w:pPr>
        <w:spacing w:after="0" w:line="75"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Despite the Sessions Memo, the U.S. government has not prioritized the enforcement of those laws against cannabis companies complying with state law and their vendors, and has not since 2014. No reversal of that policy of prosecutorial discretion is expected under a Biden administration given his actions on cannabis to date, and the statements of Attorney General Merrick Garland on the subject, although prosecutions against state-legal entities cannot be ruled out entirely at this time. During his campaign, President Biden promised federal reform on cannabis, including decriminalization generally and has made history in several impactful ways. First, in 2022, President Biden signed into law the “Medical Marijuana and Cannabidiol Research Expansion Act,” a bill aimed at easing restrictions on cannabis research -- bipartisan legislation which is the first standalone cannabis reform bill to pass both the House and Senate. Additionally, on October 6, 2022, President Biden issued a presidential proclamation pardoning federal convictions for simple marijuana possession offenses, encouraging state governors to do the same on the state level where permissible, and requesting that the Secretary of Health and Human Services and the Attorney General initiate an administrative process to review cannabis’s Schedule I classification under the CSA. On August 29, 2023, HHS issued a letter to the DEA recommending that cannabis be reclassified as a Schedule III controlled substance under the CSA. On May 16, 2024, President Joe Biden announced that his administration is officially moving to reclassify cannabis from a Schedule I to a Schedule III controlled substance under the CSA. There will then be a 60-day public comment period before the rule is potentially finalized. If this move is confirmed, it would be a momentous change whose full implications are currently unknown. The DEA’s decision to reclassify cannabis would neither legalize nor likely eliminate current state cannabis program. If placed under Schedule III, cannabis will cannabis will remain a controlled substance and state-legal programs will continue to operate outside of federally legal channels in their distribution of the substance particularly because no state operator holds a DEA registration to possess or distribute cannabis. One notable impact for our clients is that rescheduling cannabis to Schedule III would remove the various tax-related hindrances tied to IRS code section 280E, and cannabis-related businesses (whether involved in medical</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3" w:name="page84"/>
    <w:bookmarkEnd w:id="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or adult-use cannabis) would finally be able to take advantage of all applicable deductions and credits on their business taxes that other businesses enjoy. However, some fear that the DEA or FDA may impose additional requirements or begin to target enforcement on state cannabis programs. In the unlikely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U.S. Attorney General, Merrick Garland, is expected to not interfere with cannabis businesses operating in compliance with states’ laws. During his confirmation hearing before the U.S. Senate, Judge Garland testified that prosecuting state-legal cannabis companies would not be a “useful use of limited resources.” In April, 2022, Attorney General Garland reiterated that prosecuting the possession of cannabis is “not an efficient use” of federal resources, especially “given the ongoing opioid and methamphetamine epidemic[s]” facing the nation. On March 1, 2023, Attorney General Garland confirmed that his Department is continuing work on a new cannabis enforcement guidance, which he states would be “very close to what was done in the Cole memorandum.” Although any such guidance issued would not have the force of law, and could not be enforced by the courts, such a guidance would likely mean that the status quo of federal non-enforcement is likely to continue for the foreseeable future.</w:t>
      </w:r>
    </w:p>
    <w:p>
      <w:pPr>
        <w:spacing w:after="0" w:line="8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Members of the U.S. Congress from both parties have introduced bills to end the federal cannabis prohibition, by de-scheduling cannabis completely and regulating it. In addition to broader reforms, this session has seen additional incremental reform bills that aim to increase research, cement medical cannabis patients’ rights, or facilitate state-legal cannabis. While the timing of federal reform remains unknown, it is expected that federal policy on cannabis will continue becoming more, rather than less, permissive and legislative efforts to legalize cannabis or cannabis banking at the national level are likely to progress in 2024.</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Some of our retail clients sell products with hemp-derived cannabinoids, including CBD. In December 2018, the U.S. government removed hemp and extracts of hemp from the CSA schedules through the Agriculture Improvement Act of 2018, Pub. L. 115-334. Accordingly, the production, sale and possession of hemp or extracts of hemp, including certain CBD products, no longer violate the CSA. The states have implemented a patchwork of different laws on hemp and its extracts. Additionally, the Food &amp; Drug Administration (“FDA”) claims that the Food, Drugs &amp; Cosmetics Act significantly limits the legality of certain hemp-derived CBD products. In January 2023, FDA affirmed that the agency will not compromise—or create new standards—in evaluating or permitting cannabis or cannabinoid compounds and products, and particularly cannabidiol (“CBD”), indicating that Congress must take action to end the stalemate between federal and state laws and the purgatory of FDA selective enforcement. While enforcement regarding hemp-derived products has generally been limited, changes in enforcement priorities or further federal regulations could negatively impact our clients that sell such products, which could adversely impact our business, operating results, financial condition, brand and reputation.</w:t>
      </w:r>
    </w:p>
    <w:p>
      <w:pPr>
        <w:spacing w:after="0" w:line="8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have been neither a defendant in a criminal action nor the subject of a civil or regulatory enforcement proceeding, prosecuted by a U.S. governmental authority based on our provision of products and solutions to the cannabis industry. Furthermore, we believe that Section 230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other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website, such as WM News and WM Learn. All of these sections are general news and information, and none of these sections are advertisements for, or listing pages of, cannabis businesses. For additional information about Section 230, see the sections entitled “Business—Overview” and “Risk Factors—Risks Related to our Business and Industry.”</w:t>
      </w:r>
    </w:p>
    <w:p>
      <w:pPr>
        <w:spacing w:after="0" w:line="8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clients are subject to licensing and related requirements under applicable laws and regulations, and our own compliance policies, and some of our clients currently and in the future may not be in compliance with all such requirements. Currently, we require all cannabis retailers on Weedmaps to display a valid, unexpired state-issued license number on their listing. We have a dedicated Policy &amp; Compliance Operations team that reviews license information, both on submission and on an ongoing basis, to ensure validity and accuracy. For certain Weedmaps products or services, we may request additional verification and documentation. Additionally, we require contractual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4" w:name="page85"/>
    <w:bookmarkEnd w:id="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representations and warranties from our clients that they are complying with state law. If, despite our policies to verify state-licensure, unlicensed or noncompliant businesses are able to access our products, it could subject us to legal or regulatory enforcement and negative publicity, which could adversely impact our business, operating results, financial condition, brand and reputation.</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Medical cannabis has been legal in Canada since 1999 through various regulatory regimes. On October 17, 2018, the Cannabis Act (Canada) came into force. The Cannabis Act governs both the medical and the regulated adult-use markets in Canada. Prior to October 17, 2018, legal access to and use of medical cannabis in Canada was regulated under the Controlled Drugs and Substances Act and the associated Access to Cannabis for Medical Purposes Regulations (“ACMPR”). Under the Cannabis Act, holders of licenses to cultivate and/or process cannabis are also permitted to supply cannabis under their existing licenses obtained pursuant to the ACMPR to the regulated adult-use market.</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 of the World</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Legalized cannabis is expanding in other parts of the world with countries adopting varying degrees of legalization or decriminalization. We do not yet regard these countries as viable marketplaces for our products, though we have ongoing tests of a small number of listings in several markets where listings are legally permissible.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Available Information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Internet address is www.weedmaps.com. Our investor relations website is located at https://ir.weedmaps.com. Our Annual Reports on Form 10-K, Quarterly Reports on Form 10-Q, Current Reports on Form 8-K and our Proxy Statements and any amendments to these reports, are available through our investor relations website, free of charge, after we file them with the SEC. We may from time to time provide important disclosures to investors by posting them in the investor relations section of our website, as allowed by SEC rules.</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SEC maintains an Internet website at www.sec.gov that contains reports, proxy and information statements and other information regarding our company that we file electronically with the SEC. The contents of our websites are not incorporated by reference into this prospectus or in any other report or document we file with the SEC, and any references to our websites are intended to be inactive textual references only.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5" w:name="page86"/>
    <w:bookmarkEnd w:id="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our executive officers and directors as of July 22, 2024.</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Age</w:t>
            </w:r>
          </w:p>
        </w:tc>
        <w:tc>
          <w:tcPr>
            <w:tcW w:w="5180" w:type="dxa"/>
            <w:vAlign w:val="bottom"/>
          </w:tcPr>
          <w:p>
            <w:pPr>
              <w:ind w:left="234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51"/>
        </w:trPr>
        <w:tc>
          <w:tcPr>
            <w:tcW w:w="2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r>
      <w:tr>
        <w:trPr>
          <w:trHeight w:val="311"/>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4"/>
                <w:szCs w:val="24"/>
                <w:color w:val="auto"/>
              </w:rPr>
            </w:pPr>
          </w:p>
        </w:tc>
      </w:tr>
      <w:tr>
        <w:trPr>
          <w:trHeight w:val="27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Francis</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 Echard</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7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Duncan Grazier</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Counsel and Secretary</w:t>
            </w:r>
          </w:p>
        </w:tc>
      </w:tr>
      <w:tr>
        <w:trPr>
          <w:trHeight w:val="27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180" w:type="dxa"/>
            <w:vAlign w:val="bottom"/>
          </w:tcPr>
          <w:p>
            <w:pPr>
              <w:spacing w:after="0"/>
              <w:rPr>
                <w:sz w:val="23"/>
                <w:szCs w:val="23"/>
                <w:color w:val="auto"/>
              </w:rPr>
            </w:pP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Fiona Tan</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Anthony Bay</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Tony Aquila</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70"/>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-2451100</wp:posOffset>
            </wp:positionV>
            <wp:extent cx="514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-2451100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i w:val="1"/>
          <w:iCs w:val="1"/>
          <w:color w:val="auto"/>
        </w:rPr>
        <w:t>Douglas Francis</w:t>
      </w:r>
      <w:r>
        <w:rPr>
          <w:rFonts w:ascii="Times New Roman" w:cs="Times New Roman" w:eastAsia="Times New Roman" w:hAnsi="Times New Roman"/>
          <w:sz w:val="18"/>
          <w:szCs w:val="18"/>
          <w:color w:val="auto"/>
        </w:rPr>
        <w:t>. Mr. Francis, age 46, has served as a member of the Board since June 2021, and as Executive Chair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since August 2022. Mr. Francis is a co-founder of WM Holding Company, LLC (when referred to in its pre-Business Combination capacity, “Legacy WMH”), and served as Chairperson of Legacy WMH’s board of managers from March 2019 to June 2021 and as a member of Legacy WMH’s board of managers prior to that. Mr. Francis previously served as Legacy WMH’s Chief Executive Officer from February 2016 until March 2019 and as Legacy WMH’s President from January 2009 to February 2016. Mr. Francis has served in management positions in each of Legacy WMH’s current subsidiaries. Mr. Francis holds a B.S. in Business Administration and Management from Chapman University.</w:t>
      </w:r>
    </w:p>
    <w:p>
      <w:pPr>
        <w:spacing w:after="0" w:line="7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Susan Echard</w:t>
      </w:r>
      <w:r>
        <w:rPr>
          <w:rFonts w:ascii="Times New Roman" w:cs="Times New Roman" w:eastAsia="Times New Roman" w:hAnsi="Times New Roman"/>
          <w:sz w:val="18"/>
          <w:szCs w:val="18"/>
          <w:color w:val="auto"/>
        </w:rPr>
        <w:t>. Ms. Echard, age 60, has served as Interim Chief Financial Officer since February 2024.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2021 Ms. Echard has been a Partner of SeatonHill Partners, LP (“SeatonHill”) a leading national CFO services firm that also offers project based financial leadership. While serving as a partner at SeatonHill, Ms. Echard served from June 2021 to June 2023 as CFO for Direct Digital Holdings, an online solutions provider in digital marketing &amp; advertising. Prior to that, from April 2019 to February 2021, Ms. Echard served as CFO for Trinity Capital Investment, a venture debt and equipment financing provider to growth-stage companies, and, in such capacity, was responsible for all aspects of the firm’s financial matters, investor relations, legal and human resource management. Prior to joining Trinity, Ms. Echard served as the Chief Financial Officer at CUBEX LLC, a medical, dental and veterinary inventory management company, from January 2017 to February 2019. Ms. Echard is an accomplished executive with over 35 years’ experience, both domestic and international, within Big Four and CFO roles. Ms. Echard has a Bachelor of Business Administration degree in accounting from the University of Michigan-Flint.</w:t>
      </w:r>
    </w:p>
    <w:p>
      <w:pPr>
        <w:spacing w:after="0" w:line="82"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i w:val="1"/>
          <w:iCs w:val="1"/>
          <w:color w:val="auto"/>
        </w:rPr>
        <w:t>Duncan Grazier</w:t>
      </w:r>
      <w:r>
        <w:rPr>
          <w:rFonts w:ascii="Times New Roman" w:cs="Times New Roman" w:eastAsia="Times New Roman" w:hAnsi="Times New Roman"/>
          <w:sz w:val="18"/>
          <w:szCs w:val="18"/>
          <w:color w:val="auto"/>
        </w:rPr>
        <w:t>. Mr. Grazier, age 37, has served as our Chief Technology Officer since December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Grazier previously served (for both Legacy WMH and the Company) as Senior Vice President, Engineering from November 2020 to December 2022. Mr. Grazier served as an advisor to American Field from January 2019 to April 2019, and served as VP of Engineering at MealPal, from April 2019 to August 2019. He also previously served as founding Chief Technology Officer for Voray, Inc. from December 2015 to November 2018. Mr. Grazier attended the Rochester Institute of Technology from 2005 to 2008.</w:t>
      </w:r>
    </w:p>
    <w:p>
      <w:pPr>
        <w:spacing w:after="0" w:line="74"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i w:val="1"/>
          <w:iCs w:val="1"/>
          <w:color w:val="auto"/>
        </w:rPr>
        <w:t>Brian Camire</w:t>
      </w:r>
      <w:r>
        <w:rPr>
          <w:rFonts w:ascii="Times New Roman" w:cs="Times New Roman" w:eastAsia="Times New Roman" w:hAnsi="Times New Roman"/>
          <w:sz w:val="18"/>
          <w:szCs w:val="18"/>
          <w:color w:val="auto"/>
        </w:rPr>
        <w:t>. Mr. Camire, age 45, has served as our General Counsel and Secretary since June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Camire served as Legacy WMH’s General Counsel from May 2019 to June 2021. Prior to joining Legacy WMH, Mr. Camire served as Associate General Counsel of Snap Inc. from May 2016 until April 2019 and as Corporate Counsel from March 2015 to May 2016. From January 2011 to February 2015, Mr. Camire worked as an associate attorney at Cooley LLP. Mr. Camire holds a B.A. in Mathematics from Northwestern University and a J.D. from the University of Michigan Law School.</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6" w:name="page87"/>
    <w:bookmarkEnd w:id="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Scott Gordon</w:t>
      </w:r>
      <w:r>
        <w:rPr>
          <w:rFonts w:ascii="Times New Roman" w:cs="Times New Roman" w:eastAsia="Times New Roman" w:hAnsi="Times New Roman"/>
          <w:sz w:val="18"/>
          <w:szCs w:val="18"/>
          <w:color w:val="auto"/>
        </w:rPr>
        <w:t>. Mr. Gordon, age 63, has served as a member of the Board since June 2021. Mr. Gordon has held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dual roles of Chief Executive Officer and Chairperson of the board of directors of Silver Spike Investment Corp. since its founding. Similarly, he served in the same capacities for Silver Spike Acquisition Corp. from its inception until June 2021.Mr. Gordon is the co-founder and since 2016 has been the Chairperson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From 2016 to 2018, Mr. Gordon was also President of Fintech Advisory Inc., investment manager for a multibillion dollar family office fund focused on long-term and opportunistic investments in emerging markets. From 2013 to 2016, Mr. Gordon served as a Portfolio Manager at Taconic Capital Advisors, a multi-strategy investment firm. Prior to joining Taconic, Mr. Gordon was a Partner and Portfolio Manager at Caxton Associates from 2009 to 2012. He was also a Senior Managing Director and Head of Emerging Markets at Marathon Asset Management from 2007 to 2009. Earlier in his career, Mr. Gordon also held leadership positions at Bank of America and ING Capital. Mr. Gordon was a founding member of the Emerging Markets business at JP Morgan where he worked upon graduating from Bowdoin College in 1983.</w:t>
      </w:r>
    </w:p>
    <w:p>
      <w:pPr>
        <w:spacing w:after="0" w:line="7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Fiona Tan</w:t>
      </w:r>
      <w:r>
        <w:rPr>
          <w:rFonts w:ascii="Times New Roman" w:cs="Times New Roman" w:eastAsia="Times New Roman" w:hAnsi="Times New Roman"/>
          <w:sz w:val="18"/>
          <w:szCs w:val="18"/>
          <w:color w:val="auto"/>
        </w:rPr>
        <w:t>. Ms. Tan, age 53, has served as a member of the Board since June 2021. Since March 2022, Ms. Tan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Chief Technology Officer for Wayfair LLC, where she previously served as the Global Head of Customer and Supplier Technology from September 2020 to March 2022. She has held various leadership positions at Walmart Inc., including Head of Technology for Walmart US from March 2019 to September 2020, Senior Vice President of Engineering and Customer Technology for Walmart Labs from January 2017 to March 2019 and Vice President of Engineering and International Markets for Walmart Labs Strategy and Operations from April 2014 to January 2017. Additionally, Ms. Tan was Vice President of Engineering for Ariba, Inc. from January 2012 to April 2014 and held the same role at TIBCO Software, Inc. from January 1995 to October 2011, and worked as a Senior Technical Staff Member role at Oracle Corporation from January 1993 to May 1995. Ms. Tan holds an M.S. in Computer Science from Stanford University and a B.S. in Computer Science and Engineering from the Massachusetts Institute of Technology.</w:t>
      </w:r>
    </w:p>
    <w:p>
      <w:pPr>
        <w:spacing w:after="0" w:line="8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i w:val="1"/>
          <w:iCs w:val="1"/>
          <w:color w:val="auto"/>
        </w:rPr>
        <w:t>Anthony Bay</w:t>
      </w:r>
      <w:r>
        <w:rPr>
          <w:rFonts w:ascii="Times New Roman" w:cs="Times New Roman" w:eastAsia="Times New Roman" w:hAnsi="Times New Roman"/>
          <w:sz w:val="18"/>
          <w:szCs w:val="18"/>
          <w:color w:val="auto"/>
        </w:rPr>
        <w:t>. Mr. Bay, age 68, has served as a member of the Board since March 2022. Prior to joining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Bay served on three public boards, including two as Chairman as well as numerous private boards. Since September 2019, Mr. Bay has served as the Founder and Chief Executive Officer of Techquity, a technology advisory firm helping innovative companies leverage software and cloud operations to scale faster with less risk. From 2013 to 2016, he served as Chief Executive Officer of Rdio, a leading global music subscription streaming service with over 70 million registered users and 14 million active users. In November 2015, Rdio filed for Chapter 11 bankruptcy relief as a condition of its sale to Pandora. Prior to Rdio, Mr. Bay served as a Vice President and Global head for Digital Video for Amazon from 2011 to 2013, responsible for all aspects of the company’s Digital Video and streaming business globally. During his eight year tenure at Microsoft, Mr. Bay was Corporate Vice President and General Manager of Microsoft’s Digital Media Division and a member of Microsoft’s executive staff. Prior to that, Mr. Bay was General Manager of Microsoft’s Commercial Systems Division, responsible for developing core components of Microsoft’s Internet services platform, including ISP/carrier infrastructure, website development and eCommerce. Mr. Bay joined Microsoft as part of the MSN management team in 1994, eventually overseeing all MSN development and production systems. From 1986 to 1994, Mr. Bay also worked at Apple Computer in various product leadership roles, including three years at Apple’s European headquarters in Paris. Mr. Bay holds an MBA from San Jose State University and undergraduate degree in Economics from the University of California, Los Angeles.</w:t>
      </w:r>
    </w:p>
    <w:p>
      <w:pPr>
        <w:spacing w:after="0" w:line="8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Tony Aquila</w:t>
      </w:r>
      <w:r>
        <w:rPr>
          <w:rFonts w:ascii="Times New Roman" w:cs="Times New Roman" w:eastAsia="Times New Roman" w:hAnsi="Times New Roman"/>
          <w:sz w:val="18"/>
          <w:szCs w:val="18"/>
          <w:color w:val="auto"/>
        </w:rPr>
        <w:t>. Mr. Aquila, age 59, has served as a member of the Board since June 2021. Since April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Aquila has served as the Chief Executive Officer of Canoo, Inc., a mobility technology company, and as the Executive Chairman of the Board of Canoo since December 2020. In June 2019, Mr. Aquila founded AFV Partners, an affirmative low-leverage capital vehicle that invests in long-term mission critical software, data and technology businesses and has served as its Chairperson and Chief Executive Officer since its founding. In 2005, Mr. Aquila founded Solera Holdings Inc., and led it as Chairperson and Chief Executive Officer to a $1 billion initial public offering in 2007, and in the following years sourced and executed over 50 acquisitions significantly expanding Solera’s total addressable market. Mr. Aquila oversaw Solera’s $6.5 billion transaction from a public-to-private business in 2016. Mr. Aquila has also served as a member of the Arkansas Council on Future Mobility since February 2022 and as a member of the board of directors of The Lost Explorer Mezcal Company, a sustainable producer and distributor of handcrafted mezcal, since May 2021. Furthermore, Mr. Aquila currently serves as the Chairperson for Aircraft Performance Group, LLC, a global provider of mission critical flight operations software,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7" w:name="page88"/>
    <w:bookmarkEnd w:id="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since January 2020, RocketRoute Limited, a global aviation services company, since March 2020, and APG Avionics LLC, an aviation data and software company for the general aviation market, since September 2020. From November 2018 to July 2020, Mr. Aquila served as the Global Chairperson of Sportradar Group, a sports data and content company. Mr. Aquila has also served as a director of Guardianship Services Inc., a nonprofit organization providing guardianship and support services to at-risk adults in Tarrant County, Texas since October 2020.</w:t>
      </w:r>
    </w:p>
    <w:p>
      <w:pPr>
        <w:spacing w:after="0" w:line="73"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i w:val="1"/>
          <w:iCs w:val="1"/>
          <w:color w:val="auto"/>
        </w:rPr>
        <w:t>Brenda Freeman</w:t>
      </w:r>
      <w:r>
        <w:rPr>
          <w:rFonts w:ascii="Times New Roman" w:cs="Times New Roman" w:eastAsia="Times New Roman" w:hAnsi="Times New Roman"/>
          <w:sz w:val="18"/>
          <w:szCs w:val="18"/>
          <w:color w:val="auto"/>
        </w:rPr>
        <w:t>. Ms. Freeman, age 60, has served as a member of the Board since June 2021. Ms. Freeman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founded and has served as President of Joyeux Advisory Group LLC, a firm providing advisory services to early-stage startups and Fortune 500 companies, since January 2018. Since April 2021 Ms. Freeman has also served as a partner of Debut Capital. Ms. Freeman previously served as Chief Brand Officer of Wunderkind Corporation, a company that creates personalized marketing solutions, from April 2020 through March 2023. Prior to that, Ms. Freeman served as Chief Executive Officer for Arteza, Inc., a direct-to-consumer arts and crafts manufacturing and supply company from February 2020 to February 2021. From March 2016 to December 2018, Ms. Freeman was Chief Marketing Officer of Magic Leap, Inc., a virtual reality technology company, and from December 2018 to April 2019 was Senior Advisor to the Chief Executive Officer. From March 2015 to March 2016, Ms. Freeman served as Chief Marketing Officer of National Geographic Channel, a television network and channel. Prior to that, Ms. Freeman served as Chief Marketing Officer at Turner Broadcasting Systems, Inc. and was Vice President, television marketing at DreamWorks Animation SKG Inc. Ms. Freeman has been a member of the boards of directors of Blue Apron Holdings, Inc. since October 2020 (which became privately owned in November 2023), of Caleres, Inc. since April 2017 and of Avnet, Inc. since November 2018. Ms. Freeman previously served on the board of directors of Herman Miller, Inc. from January 2016 to June 2019 and on the board of directors of RTW Retailwinds, Inc. from April 2019 to April 2020. Ms. Freeman holds a B.S. degree in chemical engineering and an M.B.A degree from the University of Maryland.</w:t>
      </w:r>
    </w:p>
    <w:p>
      <w:pPr>
        <w:spacing w:after="0" w:line="8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Olga Gonzalez</w:t>
      </w:r>
      <w:r>
        <w:rPr>
          <w:rFonts w:ascii="Times New Roman" w:cs="Times New Roman" w:eastAsia="Times New Roman" w:hAnsi="Times New Roman"/>
          <w:sz w:val="18"/>
          <w:szCs w:val="18"/>
          <w:color w:val="auto"/>
        </w:rPr>
        <w:t>. Ms. Gonzalez, age 58, has served as a member of the Board since June 2021. Since April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Ms. Gonzalez has served as CEO and President of Wild Fork USA. Prior to that, from April 2022 to April 2023 and January 2021 to April 2022, Ms. Gonzalez served as Global COO and Global Business Leader, respectively, for Wild Fork Foods, an online specialty food service. Prior to that, Ms. Gonzalez held various leadership positions at Walmart Inc., including Senior Vice President and Chief Financial Officer at Walmart México y Centroamérica from July 2017 to April 2020, Vice President Commercial &amp; Operations Finance at Walmart México y Centroamérica from October 2014 to June 2017, Chief Financial Officer at Walmart Chile from 2011 to 2014, and Vice President, Internal Audit Services Latin America at Walmart US from 2010 to 2011. Previously, Ms. Gonzalez had served as Director, Internal Audit at General Motors Company from 2006 to 2010 and from 1996 to 2004, Vice President, Enterprise Risk and Assurance Services at the American Express Company from 2004 to 2006, and Internal Audit at Banco Santander from 1989 to 1996. Ms. Gonzalez holds a Bachelor of Business Administration degree from Pontificia Universidad Católica de Puerto Rico and an M.B.A. from Florida International University.</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7"/>
          <w:szCs w:val="17"/>
          <w:color w:val="auto"/>
        </w:rPr>
        <w:t>As required under Nasdaq listing standards, a majority of the members of a listed company’s board of directors must qualify as “independent,” as affirmatively determined by the board of directors. In addition, the rules of Nasdaq require that, subject to specified exceptions, each member of a listed company’s audit, compensation and nominating and corporate governance committees be independent. Under the rules of the Nasdaq, a director will only qualify as an “independent director” if, in the opinion of that company’s board of directors, that person does not have a relationship that would interfere with the exercise of independent judgment in carrying out the responsibilities of a director. Compensation Committee members must not have a relationship with us that is material to the director’s ability to be independent from management in connection with the duties of a Compensation Committee member. Additionally, Audit Committee members must also satisfy the independence criteria set forth in Rule 10A-3 under the Exchange Act. To be considered independent for purposes of Rule 10A-3, a member of an audit committee of a listed company may not, other than in his or her capacity as a member of the audit committee of the board of directors or any other board committee, accept, directly or indirectly, any consulting, advisory or other compensatory fee from the listed company or any of its subsidiaries or be an affiliated person of the listed company or any of its subsidiaries. The Board consults with the Company’s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7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six directors are independent directors within the meaning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8" w:name="page89"/>
    <w:bookmarkEnd w:id="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of the applicable Nasdaq listing standards: Messrs. Aquila, Bay and Gordon and Mses. Freeman, Gonzalez and Tan. In making this determination, the Board found that none of these directors or nominees for director had a material or other disqualifying relationship with the Company.</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making those independence determinations, the Board considered the current and prior relationships that each non-employee director has with our company and all other facts and circumstances the Board deemed relevant in determining their independence, including the beneficial ownership of our capital stock by each non-employee director, and the transactions involving them described in the section entitled “Certain Relationships and Related Party Transactions” that occurred during any 12-month period within the last three fiscal years.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Board is currently chaired by the Executive Chair of the Company, Mr. Francis, who has an active role in leading the Company as our principal executive officer and member of the Board. Ms. Freeman currently serves as our lead independent director.</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believes that during this transformational period, it is valuable to have Mr. Francis in the combined positions of principal executive officer and Board chair because of his extensive history with and knowledge of the Company, and this arrangement provides a single, clear chain of command to rapidly execute the Company’s strategic initiatives and business plans. In addition, the Company believes that this combined role better positions Mr. Francis to act as a bridge between management and the Board, facilitating the regular flow of information.</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Board appointed Ms. Freeman as the lead independent director to help reinforce the independence of the Board as a whole. The position of lead independent director has been structured to serve as an effective balance to a combined principal executive officer and Executive Chair: the lead independent director is empowered to, among other duties and responsibilities, approve agendas and meeting schedules for regular Board meetings, preside over Board meetings in the absence of the Executive Chair, preside over and establish the agendas for meetings of the independent directors, act as liaison between the Executive Chair and the independent directors, approve information sent to the Board, preside over any portions of Board meetings at which the evaluation or compensation of the principal executive officer is presented or discussed and, as appropriate upon request, act as a liaison to our stockholders. In addition, it is the responsibility of the lead independent director to coordinate between the Board and management with regard to the determination and implementation of responses to any problematic risk management issues. As a result, the Company believes that the lead independent director can help ensure the effective independent functioning of the Board in its oversight responsibilities. In addition, the Company believes that the lead independent director is better positioned to build a consensus among directors and to serve as a conduit between the other independent directors and the Executive Chair, for example, by facilitating the inclusion on meeting agendas of matters of concern to the independent directors.</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Risk is inherent with every business, and we face a number of risks, including strategic, financial, business and operational, cybersecurity, legal and compliance, and reputational. We have designed and implemented processes to manage these risks. Management is responsible for the day-to-day implementation, oversight and management of risks and risk processes our company faces, while the Board, as a whole and assisted by its committees, has responsibility for the oversight of risk management. In its risk oversight role, our Board has the responsibility to satisfy itself that the risk management processes designed and implemented by management are appropriate and functioning as designed.</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Board administers this oversight function directly through the Board as a whole, as well as through various Board committees that address risks inherent in their respective areas of oversight. The Board believes that open communication between management and the Board is essential for effective risk management and oversight. Consistent with this approach, the Board, with the assistance of its committees, regularly reviews our strategic and operational risks in the context of discussions with management, question and answer sessions, and reports from the management team at each of its regular meetings. Directors also have access to management outside of its regular meetings and are free to ask questions and receive information necessary to perform their duties as a director.</w:t>
      </w:r>
    </w:p>
    <w:p>
      <w:pPr>
        <w:spacing w:after="0" w:line="81" w:lineRule="exact"/>
        <w:rPr>
          <w:sz w:val="20"/>
          <w:szCs w:val="20"/>
          <w:color w:val="auto"/>
        </w:rPr>
      </w:pPr>
    </w:p>
    <w:p>
      <w:pPr>
        <w:jc w:val="both"/>
        <w:ind w:left="300" w:right="299"/>
        <w:spacing w:after="0" w:line="289" w:lineRule="auto"/>
        <w:rPr>
          <w:sz w:val="20"/>
          <w:szCs w:val="20"/>
          <w:color w:val="auto"/>
        </w:rPr>
      </w:pPr>
      <w:r>
        <w:rPr>
          <w:rFonts w:ascii="Times New Roman" w:cs="Times New Roman" w:eastAsia="Times New Roman" w:hAnsi="Times New Roman"/>
          <w:sz w:val="17"/>
          <w:szCs w:val="17"/>
          <w:color w:val="auto"/>
        </w:rPr>
        <w:t>In particular, the Board is responsible for monitoring and assessing strategic risk exposure, including a determination of the nature and level of risk appropriate for the Company, and for coordinating with management on decisions relating to any matters that carry potential enterprise-level risks. The Audit Committee has the responsibility to</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9" w:name="page90"/>
    <w:bookmarkEnd w:id="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consider and discuss our major financial risk exposures and the steps our management has taken to monitor and control these exposures, including management’s guidelines and policies around quarterly reporting. The Audit Committee is also responsible for monitoring compliance with legal and regulatory requirements, including our Related Person Transaction Policy, in addition to oversight of the performance of our internal audit function. The Audit Committee’s responsibilities also include primary responsibility to help the Board oversee the Company’s enterprise risk assessment and management policies, procedures and practices (including, together with assistance from the Technology Committee, those risks related to information security, cybersecurity and data protection), as well as review and determination of material commercial relationships and mergers, acquisitions or similar transactions that may have a material impact on the Company. The Nominating and Corporate Governance Committee is responsible for monitoring the effectiveness of our corporate governance guidelines, including whether they are successful in preventing illegal or improper liability-creating conduct. The Compensation Committee is responsible for assessing and monitoring whether any of our compensation policies and programs has the potential to encourage excessive risk-taking. The Technology Committee is responsible for oversight of the management of risks related to the Company’s technology, data, information security and tracking, and related matters, including disclosure of the Company’s key metrics and other operational data, together with assisting the Audit Committee with oversight of those risks related to information security, cybersecurity and data protection.</w:t>
      </w:r>
    </w:p>
    <w:p>
      <w:pPr>
        <w:spacing w:after="0" w:line="3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Board met seven times during 2023. All directors attended 75% or more of the aggregate number of meetings of the Board and of the committees on which they served, held during the portion of the last fiscal year for which they were a director or member.</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required under applicable Nasdaq listing standards, in 2023, the Company’s independent directors met six times in regularly scheduled executive sessions at which only independent directors were present.</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Regarding Committees of the Board of Directors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Board established the Audit Committee, the Compensation Committee, the Nominating and Corporate Governance Committee and the Technology Committee. The Board adopted a charter for each of the committees, which complies with the applicable requirements of current Nasdaq rules and can be found at our website at ir.weedmaps.com. We intend to comply with future requirements to the extent they will be applicable to us. Copies of the charters for each committee are available on the investor relations portion of our website. The following table provides membership and meeting information for the year ended December 31, 2023 for each of the standing Board committees:</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Nominating</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and Corporate</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0" w:type="dxa"/>
            <w:vAlign w:val="bottom"/>
          </w:tcPr>
          <w:p>
            <w:pPr>
              <w:spacing w:after="0"/>
              <w:rPr>
                <w:sz w:val="1"/>
                <w:szCs w:val="1"/>
                <w:color w:val="auto"/>
              </w:rPr>
            </w:pPr>
          </w:p>
        </w:tc>
      </w:tr>
      <w:tr>
        <w:trPr>
          <w:trHeight w:val="190"/>
        </w:trPr>
        <w:tc>
          <w:tcPr>
            <w:tcW w:w="474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50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Tony Aquila</w:t>
            </w:r>
          </w:p>
        </w:tc>
        <w:tc>
          <w:tcPr>
            <w:tcW w:w="4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X**</w:t>
            </w:r>
          </w:p>
        </w:tc>
        <w:tc>
          <w:tcPr>
            <w:tcW w:w="9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Anthony Bay</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X</w:t>
            </w: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Douglas Francis*</w:t>
            </w:r>
          </w:p>
        </w:tc>
        <w:tc>
          <w:tcPr>
            <w:tcW w:w="4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0" w:type="dxa"/>
            <w:vAlign w:val="bottom"/>
          </w:tcPr>
          <w:p>
            <w:pPr>
              <w:spacing w:after="0"/>
              <w:rPr>
                <w:sz w:val="1"/>
                <w:szCs w:val="1"/>
                <w:color w:val="auto"/>
              </w:rPr>
            </w:pPr>
          </w:p>
        </w:tc>
      </w:tr>
      <w:tr>
        <w:trPr>
          <w:trHeight w:val="270"/>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Brenda Freeman</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X</w:t>
            </w:r>
          </w:p>
        </w:tc>
        <w:tc>
          <w:tcPr>
            <w:tcW w:w="8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X**</w:t>
            </w: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Olga Gonzalez</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X**</w:t>
            </w:r>
          </w:p>
        </w:tc>
        <w:tc>
          <w:tcPr>
            <w:tcW w:w="8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Scott Gordon</w:t>
            </w:r>
          </w:p>
        </w:tc>
        <w:tc>
          <w:tcPr>
            <w:tcW w:w="6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X</w:t>
            </w: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Fiona Tan</w:t>
            </w:r>
          </w:p>
        </w:tc>
        <w:tc>
          <w:tcPr>
            <w:tcW w:w="4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X</w:t>
            </w:r>
          </w:p>
        </w:tc>
        <w:tc>
          <w:tcPr>
            <w:tcW w:w="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X**</w:t>
            </w:r>
          </w:p>
        </w:tc>
        <w:tc>
          <w:tcPr>
            <w:tcW w:w="0" w:type="dxa"/>
            <w:vAlign w:val="bottom"/>
          </w:tcPr>
          <w:p>
            <w:pPr>
              <w:spacing w:after="0"/>
              <w:rPr>
                <w:sz w:val="1"/>
                <w:szCs w:val="1"/>
                <w:color w:val="auto"/>
              </w:rPr>
            </w:pPr>
          </w:p>
        </w:tc>
      </w:tr>
      <w:tr>
        <w:trPr>
          <w:trHeight w:val="270"/>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Meetings in the year ended December 31, 2023</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8</w:t>
            </w:r>
          </w:p>
        </w:tc>
        <w:tc>
          <w:tcPr>
            <w:tcW w:w="24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w:t>
            </w:r>
          </w:p>
        </w:tc>
        <w:tc>
          <w:tcPr>
            <w:tcW w:w="260" w:type="dxa"/>
            <w:vAlign w:val="bottom"/>
          </w:tcPr>
          <w:p>
            <w:pPr>
              <w:spacing w:after="0"/>
              <w:rPr>
                <w:sz w:val="23"/>
                <w:szCs w:val="23"/>
                <w:color w:val="auto"/>
              </w:rPr>
            </w:pPr>
          </w:p>
        </w:tc>
        <w:tc>
          <w:tcPr>
            <w:tcW w:w="920" w:type="dxa"/>
            <w:vAlign w:val="bottom"/>
          </w:tcPr>
          <w:p>
            <w:pPr>
              <w:jc w:val="right"/>
              <w:ind w:right="339"/>
              <w:spacing w:after="0"/>
              <w:rPr>
                <w:sz w:val="20"/>
                <w:szCs w:val="20"/>
                <w:color w:val="auto"/>
              </w:rPr>
            </w:pPr>
            <w:r>
              <w:rPr>
                <w:rFonts w:ascii="Times New Roman" w:cs="Times New Roman" w:eastAsia="Times New Roman" w:hAnsi="Times New Roman"/>
                <w:sz w:val="18"/>
                <w:szCs w:val="18"/>
                <w:b w:val="1"/>
                <w:bCs w:val="1"/>
                <w:color w:val="auto"/>
              </w:rPr>
              <w:t>3</w:t>
            </w:r>
          </w:p>
        </w:tc>
        <w:tc>
          <w:tcPr>
            <w:tcW w:w="24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-1628140</wp:posOffset>
            </wp:positionV>
            <wp:extent cx="15430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-1628140</wp:posOffset>
            </wp:positionV>
            <wp:extent cx="15430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-1628140</wp:posOffset>
            </wp:positionV>
            <wp:extent cx="15430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3048635</wp:posOffset>
            </wp:positionH>
            <wp:positionV relativeFrom="paragraph">
              <wp:posOffset>-1628140</wp:posOffset>
            </wp:positionV>
            <wp:extent cx="15430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08" w:lineRule="exact"/>
        <w:rPr>
          <w:sz w:val="20"/>
          <w:szCs w:val="20"/>
          <w:color w:val="auto"/>
        </w:rPr>
      </w:pPr>
    </w:p>
    <w:p>
      <w:pPr>
        <w:ind w:left="640" w:hanging="348"/>
        <w:spacing w:after="0"/>
        <w:tabs>
          <w:tab w:leader="none" w:pos="64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Executive Chair</w:t>
      </w:r>
    </w:p>
    <w:p>
      <w:pPr>
        <w:spacing w:after="0" w:line="42" w:lineRule="exact"/>
        <w:rPr>
          <w:sz w:val="20"/>
          <w:szCs w:val="20"/>
          <w:color w:val="auto"/>
        </w:rPr>
      </w:pPr>
    </w:p>
    <w:p>
      <w:pPr>
        <w:ind w:left="640" w:hanging="348"/>
        <w:spacing w:after="0"/>
        <w:tabs>
          <w:tab w:leader="none" w:pos="6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Committee Chairperson</w:t>
      </w:r>
    </w:p>
    <w:p>
      <w:pPr>
        <w:spacing w:after="0" w:line="10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Below is a description of each standing committee of the Board. Each of the committees has authority to engage legal counsel or other experts or consultants, as it deems appropriate to carry out its responsibilities. The Board has determined that each member of each committee meets the applicable Nasdaq rules and regulations regarding “independence” and each member is free of any relationship that would impair his or her individual exercise of independent judgment with regard to us.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0" w:name="page91"/>
    <w:bookmarkEnd w:id="9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Audit Committee consists of Mses. Gonzalez and Freeman and Messrs. Bay and Gordon. The Board has determined that each of the members of the Audit Committee satisfy the independence requirements of Rule 5605(c)</w:t>
      </w: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(2)(A)(i) and (ii) of the Nasdaq listing standards and Rule 10A-3 under the Exchange Act. Each member of the Audit Committee can read and understand fundamental financial statements in accordance with Nasdaq audit committee requirements. In arriving at this determination, the Board examined each Audit Committee member’s scope of experience and the nature of their prior and/or current employment.</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named Ms. Gonzalez as the Chairperson of the Audit Committee. The Board determined that Ms. Gonzalez and Mr. Bay qualify as audit committee financial experts within the meaning of SEC regulations and meets the financial sophistication requirements of Nasdaq listing rules. In making this determination, the Board considered Ms. Gonzalez’s formal education and previous experience in financial roles. Both our independent registered public accounting firm and management periodically will meet privately with our Audit Committee. The Audit Committee met eight times during 2023.</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functions of this committee include, among other things, to:</w:t>
      </w:r>
    </w:p>
    <w:p>
      <w:pPr>
        <w:spacing w:after="0" w:line="117" w:lineRule="exact"/>
        <w:rPr>
          <w:sz w:val="20"/>
          <w:szCs w:val="20"/>
          <w:color w:val="auto"/>
        </w:rPr>
      </w:pPr>
    </w:p>
    <w:p>
      <w:pPr>
        <w:ind w:left="1000" w:right="319" w:hanging="348"/>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hiring, discharging and compensation of our independent registered public accounting firm; oversee the work of our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engagements of the independent registered public accounting firm to render any audit or permissible non-audit services;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qualifications, independence and performance of the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our financial statements and review our critical accounting policies and estimates;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related party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adequacy and effectiveness of our internal controls;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management and the independent registered public accounting firm the results of our annual audit, our quarterly financial statements and our publicly filed reports, and resolve disagreements that may arise from time to time between the independent registered public accounting firm and management.</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 Compensation Committee consists of Messrs. Aquila, Bay and Gordon. We named Mr. Aquila as the Chairperson of the Compensation Committee. The Board has determined that each of the members of the Compensation Committee is a non-employee director, as defined in Rule 16b-3 promulgated under the Exchange Act and satisfies the independence requirements of Rule 5605(d)(2) of the Nasdaq listing standards. The Compensation Committee met nine times during 2023.</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functions of the Compensation Committee include, among other things, to:</w:t>
      </w:r>
    </w:p>
    <w:p>
      <w:pPr>
        <w:spacing w:after="0" w:line="117" w:lineRule="exact"/>
        <w:rPr>
          <w:sz w:val="20"/>
          <w:szCs w:val="20"/>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policies relating to compensation and benefits of our officers and employees;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corporate goals and objectives relevant to compensation of our chief executive officer and other senior officers;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performance of our officers in light of established goals and objectives;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compensation of our officers based on its evaluations;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issuance of stock options and other awards under our stock plans.</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 Processes and Procedures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Compensation Committee has quarterly meetings scheduled, and meets with greater frequency if necessary. The agenda for each meeting is usually developed by the Chairperson of the Compensation Committee, in consultation with the General Counsel. The Compensation Committee meets as necessary in executive session. However, from time to time, the Compensation Committee may invite to its meetings any director, officer or employee of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1" w:name="page92"/>
    <w:bookmarkEnd w:id="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Company and such other persons as it deems appropriate in order to carry out its responsibilities. The Chief Executive Officer may not participate in, or be present during, any deliberations or determinations of the Compensation Committee regarding his compensation or performance. In addition, under its charter, the Compensation Committee has the authority to obtain, at the expense of the Company, advice and assistance from compensation consultants and internal and external legal or other advisors and other external resources that the Compensation Committee considers necessary or appropriate in the performance of its duties. The Compensation Committee has direct responsibility for the compensation and oversight of the work of any consultants or advisers engaged for the purpose of advising the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its charter, the Compensation Committee may select, or receive advice from, a compensation consultant, legal counsel or other adviser to the Compensation Committee, other than in-house legal counsel and certain other types of advisers, only after taking into consideration factors prescribed by the SEC and Nasdaq, that bear upon the adviser’s independence; however, there is no requirement that any adviser be independent.</w:t>
      </w:r>
    </w:p>
    <w:p>
      <w:pPr>
        <w:spacing w:after="0" w:line="8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During the past fiscal year, after taking into consideration those factors prescribed by the SEC and Nasdaq, the Compensation Committee engaged Compensia, Inc. (“Compensia”) as compensation consultants.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During the year ended December 31, 2023, Compensia provided the following services:</w:t>
      </w:r>
    </w:p>
    <w:p>
      <w:pPr>
        <w:spacing w:after="0" w:line="117" w:lineRule="exact"/>
        <w:rPr>
          <w:sz w:val="20"/>
          <w:szCs w:val="20"/>
          <w:color w:val="auto"/>
        </w:rPr>
      </w:pPr>
    </w:p>
    <w:p>
      <w:pPr>
        <w:ind w:left="1000" w:right="31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Discussion and Analysis drafting and review for the Proxy Statement for the 2023 Annual Meeting;</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assisted the Compensation Committee in refreshing our compensation peer group;</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competitive market data based on the compensation peer group for our executive officer positions, and evaluated how the compensation we pay our executive officers compares both to our performance and to how the companies in our compensation peer group and broader technology industry compensate their executives; and</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guidance on other compensation topics including clawback programs, equity design and programs, burn rates and overhang levels, and ad hoc market data and practices.</w:t>
      </w:r>
    </w:p>
    <w:p>
      <w:pPr>
        <w:spacing w:after="0" w:line="54"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Per its charter, the Compensation Committee is responsible for reviewing and approving most of the significant adjustments to annual compensation, and determines base salary, bonus and equity awards for all Named Executive Officers at one or more meetings scheduled to be held during the first quarter of its fiscal year. However, the Compensation Committee also considers matters related to individual compensation, such as compensation for new executive hires, as well as high-level strategic issues, such as the efficacy of our compensation strategy, potential modifications to that strategy and new trends, plans or approaches to compensation, at various meetings throughout the year. The Compensation Committee recommends to the independent members of the Board for determination and approval the compensation and other terms of employment of our Chief Executive Officer and evaluates the Chief Executive Officer’s performance in light of relevant corporate performance goals and objectives. For all Named Executive Officers and non-employee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our executive officers in various hypothetical scenarios, executive officer and non-employee director stock ownership information, our stock performance data, analyses of historical executive compensation levels and current Company-wide compensation levels and recommendations of the Compensation Committee’s compensation consultant, including analyses of executive and non-employee director compensation paid at other companies identified by the consultant.</w:t>
      </w:r>
    </w:p>
    <w:p>
      <w:pPr>
        <w:spacing w:after="0" w:line="8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Compensation Committee has evaluated its relationship with Compensia to ensure that it believes that such firm is independent from management. This review process included a review of the services that such compensation consultant provided, the quality of those services and the fees associated with the services provided during 2023. Based on this review, as well as consideration of the factors affecting independence set forth in Exchange Act Rule 10C-1(b)(4), Rule 5605(d)(3)(D) of the Nasdaq rules, and such other factors as were deemed relevant under the circumstances, the Compensation Committee has determined that no conflict of interest was raised as a result of the work performed by Compensia.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2" w:name="page93"/>
    <w:bookmarkEnd w:id="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consists of Mses. Tan and Freeman. Ms. Freeman serves as the Chairperson of the Nominating and Corporate Governance Committee. The Board has determined that each of the members of the Nominating and Corporate Governance Committee satisfies the independence requirements of Nasdaq. The Nominating and Corporate Governance Committee met three times during 2023.</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functions of the Nominating and Corporate Governance Committee include, among other things, to:</w:t>
      </w:r>
    </w:p>
    <w:p>
      <w:pPr>
        <w:spacing w:after="0" w:line="117" w:lineRule="exact"/>
        <w:rPr>
          <w:sz w:val="20"/>
          <w:szCs w:val="20"/>
          <w:color w:val="auto"/>
        </w:rPr>
      </w:pPr>
    </w:p>
    <w:p>
      <w:pPr>
        <w:ind w:left="1000" w:right="31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and make recommendations regarding the organization and governance of the Board and its committees;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the performance of members of the Board and make recommendations regarding committee and chairperson assignments;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desired qualifications for Board membership and conduct searches for potential members of the Board;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recommendations with regard to our corporate governance guidelines.</w:t>
      </w:r>
    </w:p>
    <w:p>
      <w:pPr>
        <w:spacing w:after="0" w:line="11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Nominating and Corporate Governance Committee retains the right to modify these qualifications from time to time. Candidates for director nominees are reviewed in the context of the current composition of the Board, the operating requirements of the Company and the long-term interests of stockholders. In conducting this assessment, the Nominating and Corporate Governance Committee typically considers diversity (including gender, racial and ethnic diversity), age, skills and such other factors as it deems appropriate, given the current needs of the Board and the Company, to maintain a balance of knowledge, experience and capability.</w:t>
      </w:r>
    </w:p>
    <w:p>
      <w:pPr>
        <w:spacing w:after="0" w:line="7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Nominating and Corporate Governance Committee appreciates the value of thoughtful Board refreshment, and regularly identifies and considers qualities, skills and other director attributes that would enhance the composition of the Board. 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The Nominating and Corporate Governance Committee also takes into account the results of the Board’s self-evaluation, conducted annually on a group and individual basis and every three years, conducted with an outside consultant. In the case of new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 In the year ended December 31, 2023, the Nominating and Corporate Governance Committee did not pay any fees to third parties to assist in the process of identifying or evaluating director candidates.</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At this time, the Nominating and Corporate Governance Committee does not have a policy with regard to the consideration of director candidates recommended by stockholders. The Nominating and Corporate Governance Committee believes that it is in the best position to identify, review, evaluate and select qualified candidates for Board membership, based on the comprehensive criteria for Board membership approved by the Board.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3" w:name="page94"/>
    <w:bookmarkEnd w:id="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Technology Committee</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Technology Committee consists of Ms. Tan and Mr. Francis. Ms. Tan serves as the Chairperson of the Technology Committee. The Technology Committee met four times during 2023.</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functions of the Technology Committee include, among other things, to:</w:t>
      </w:r>
    </w:p>
    <w:p>
      <w:pPr>
        <w:spacing w:after="0" w:line="117" w:lineRule="exact"/>
        <w:rPr>
          <w:sz w:val="20"/>
          <w:szCs w:val="20"/>
          <w:color w:val="auto"/>
        </w:rPr>
      </w:pPr>
    </w:p>
    <w:p>
      <w:pPr>
        <w:ind w:left="1000" w:right="319" w:hanging="348"/>
        <w:spacing w:after="0" w:line="282"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and make recommendations regarding our major technology developments, technology related systems and architecture;</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formulation, definition, tracking, retention and reporting of our key metrics, performance indicators and other operational data, and help ensure effective internal and disclosure controls related to such data;</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guidance regarding significant emerging technology issues and trends that may affect our business and strategies;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provide guidance regarding our technology risk management, including our policies and procedures with respect to technology and its uses including cybersecurity, reporting and data system management.</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Our relationship with our stockholders is an important part of our corporate governance program. Engaging with stockholders helps us to understand how they view us, to set goals and expectations for our performance, and to identify emerging issues that may affect our strategies, corporate governance, compensation practices or other aspects of our operations. Our stockholder and investor outreach includes investor road shows, analyst meetings, and investor conferences and meetings. We also communicate with stockholders and other stakeholders through various media, including our annual report and SEC filings, proxy statement, news releases and our website. Our webcasts for quarterly earnings releases are open to all. These webcasts are available in real time and are archived on our website for a period of time.</w:t>
      </w:r>
    </w:p>
    <w:p>
      <w:pPr>
        <w:spacing w:after="0" w:line="84"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We have not adopted a formal process for stockholder communications with the Board. Nevertheless, every effort has been made to ensure that the views of stockholders are heard by the Board or individual directors, as applicable, and that appropriate responses are provided to stockholders in a timely manner. We believe our responsiveness to stockholder communications to the Board has been excellent and therefore a formal process is not necessary.</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Board adopted a Code of Conduct (the “Code of Conduct”), applicable to all of our employees, executive officers and directors. The Code of Conduct is available on our website at ir.weedmaps.com. The nominating and corporate governance committee of the Board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Board has documented our governance practices by adopting Corporate Governance Guidelines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Corporate Governance Guidelines set forth the practices the Board intends to follow with respect to board composition and selection, board meetings and involvement of senior management, principal executive officer performance evaluation and succession planning, and board committees and compensation. Our Corporate Governance Guidelines, as well as the charters for each committee of the Board, may be viewed at ir.weedmaps.com.</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Hedging and Pledging Policy</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part of our insider trading policy, all our directors, officers, employees and certain designated consultants are prohibited from engaging in short sales of our securities, establishing margin accounts, pledging our securities as collateral for a loan, trading in derivative securities, including buying or selling puts or calls on our securities, or otherwise engaging in any form of hedging or monetization transactions (such as prepaid variable forwards, equity swaps, collars and exchange funds) involving our securities.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4" w:name="page95"/>
    <w:bookmarkEnd w:id="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are a “smaller reporting company” under Item 10 of Regulation S-K promulgated under the Exchange Act and the following compensation disclosure is intended to comply with the requirements applicable to smaller reporting companies. Although the rules allow us to provide less detail about our executive compensation program than companies that are not smaller reporting companies, our Compensation Committee is committed to providing the information necessary to help shareholders understand its executive compensation-related decisions. Accordingly, this section includes supplemental narratives that describe our 2023 compensation program for our Named Executive Officers.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Named Executive Officers for the year ended December 31, 2023, are:</w:t>
      </w:r>
    </w:p>
    <w:p>
      <w:pPr>
        <w:spacing w:after="0" w:line="117" w:lineRule="exact"/>
        <w:rPr>
          <w:sz w:val="20"/>
          <w:szCs w:val="20"/>
          <w:color w:val="auto"/>
        </w:rPr>
      </w:pPr>
    </w:p>
    <w:p>
      <w:pPr>
        <w:ind w:left="1000" w:hanging="348"/>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Douglas Francis, our principal executive officer and Executive Chair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Camire, our General Counsel and Secretary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Duncan Grazier, our Chief Technology Officer</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Relationship Between Pay and Performance</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believe our executive compensation program is reasonable, competitive, and appropriately balances the goals of attracting, motivating, rewarding, and retaining our Named Executive Officers and of aligning their interests with those of our stockholders. To ensure this alignment and to motivate and reward individual initiative and effort, we seek to ensure that a meaningful portion of our Named Executive Officers’ target annual total direct compensation opportunity is both variable in nature and “at-risk.”</w:t>
      </w:r>
    </w:p>
    <w:p>
      <w:pPr>
        <w:spacing w:after="0" w:line="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emphasize variable compensation that appropriately rewards our Named Executive Officers through two separate compensation elements:</w:t>
      </w:r>
    </w:p>
    <w:p>
      <w:pPr>
        <w:spacing w:after="0" w:line="54" w:lineRule="exact"/>
        <w:rPr>
          <w:sz w:val="20"/>
          <w:szCs w:val="20"/>
          <w:color w:val="auto"/>
        </w:rPr>
      </w:pPr>
    </w:p>
    <w:p>
      <w:pPr>
        <w:jc w:val="both"/>
        <w:ind w:left="1000" w:right="299" w:hanging="348"/>
        <w:spacing w:after="0" w:line="258"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adopted a formal cash bonus plan for 2023 that provides our Named Executive Officers (other than Mr. Francis) with the opportunity to earn cash bonus payments if we produce short-term financial, operational, and strategic results that meet or exceed pre-established corporate performance goals and does not include the evaluation of any individual contributions in achieving those goals.</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we grant time-based RSU awards, and have in the past granted performance-based RSU (PRSU) awards, that may be earned or vest and settled for shares of our Class A Common Stock, which in the aggregate comprise a majority of our Named Executive Officers’ target annual total direct compensation opportunities. The value of these equity awards depends entirely on the value of our Class A Common Stock, thereby incentivizing our Named Executive Officers to build sustainable long-term value for the benefit of our stockholders.</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These variable pay elements ensure that, each year, a substantial portion of our Named Executive Officers’ target total direct compensation is contingent in nature, rather than fixed, with the amounts ultimately payable subject to variability above or below target levels commensurate with our actual performance.</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2023, approximately 33%, on average, of Mr. Camire’s and Mr. Grazier’s target total direct compensation consisted of variable, “at-risk” compensation. Mr. Francis’ 2023 compensation was solely as set forth in his offer letter of August 15, 2023, and did not include a target cash bonus opportunity or equity award. For additional information, see “— Executive Employment Arrangements” below.</w:t>
      </w:r>
    </w:p>
    <w:p>
      <w:pPr>
        <w:spacing w:after="0" w:line="72"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We believe that this design provides balanced incentives for our Named Executive Officers to execute our operational objectives and drive long-term growth. To ensure that we remain faithful to our compensation philosophy, the Compensation Committee intends to regularly evaluate the relationship between the reported values of the equity awards granted to our Named Executive Officers, the amount of compensation realizable (and, ultimately, realized) from such awards in subsequent years, and our performance over this period.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5" w:name="page96"/>
    <w:bookmarkEnd w:id="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Compensation Policies and Practices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endeavor to maintain sound corporate governance standards consistent with our executive compensation policies and practices. The Compensation Committee reviews our executive compensation program on an annual basis to ensure consistency with our short-term and long-term goals given the dynamic nature of our business and the market in which we compete for executive talent. The following summarizes our executive compensation-related policies and practices that were in effect during 2023:</w:t>
      </w:r>
    </w:p>
    <w:p>
      <w:pPr>
        <w:sectPr>
          <w:pgSz w:w="11900" w:h="16838" w:orient="portrait"/>
          <w:cols w:equalWidth="0" w:num="1">
            <w:col w:w="9019"/>
          </w:cols>
          <w:pgMar w:left="1440" w:top="263" w:right="1440" w:bottom="1440" w:gutter="0" w:footer="0" w:header="0"/>
        </w:sectPr>
      </w:pPr>
    </w:p>
    <w:p>
      <w:pPr>
        <w:spacing w:after="0" w:line="218"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4"/>
          <w:szCs w:val="14"/>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50800</wp:posOffset>
            </wp:positionV>
            <wp:extent cx="261429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20" w:lineRule="exact"/>
        <w:rPr>
          <w:sz w:val="20"/>
          <w:szCs w:val="20"/>
          <w:color w:val="auto"/>
        </w:rPr>
      </w:pPr>
    </w:p>
    <w:p>
      <w:pPr>
        <w:ind w:left="600" w:right="40" w:hanging="308"/>
        <w:spacing w:after="0" w:line="255" w:lineRule="auto"/>
        <w:tabs>
          <w:tab w:leader="none" w:pos="6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Maintain Independent Compensation Committee. </w:t>
      </w:r>
      <w:r>
        <w:rPr>
          <w:rFonts w:ascii="Times New Roman" w:cs="Times New Roman" w:eastAsia="Times New Roman" w:hAnsi="Times New Roman"/>
          <w:sz w:val="18"/>
          <w:szCs w:val="18"/>
          <w:color w:val="auto"/>
        </w:rPr>
        <w:t>The Compensation Committee is comprised solely of independent directors who determine our compensation policies and practices and who have established effective means for communicating with our stockholders regarding their executive compensation views and concerns, as described in this prospectus.</w:t>
      </w:r>
    </w:p>
    <w:p>
      <w:pPr>
        <w:spacing w:after="0" w:line="200" w:lineRule="exact"/>
        <w:rPr>
          <w:rFonts w:ascii="Times New Roman" w:cs="Times New Roman" w:eastAsia="Times New Roman" w:hAnsi="Times New Roman"/>
          <w:sz w:val="18"/>
          <w:szCs w:val="18"/>
          <w:color w:val="auto"/>
        </w:rPr>
      </w:pPr>
    </w:p>
    <w:p>
      <w:pPr>
        <w:spacing w:after="0" w:line="308" w:lineRule="exact"/>
        <w:rPr>
          <w:rFonts w:ascii="Times New Roman" w:cs="Times New Roman" w:eastAsia="Times New Roman" w:hAnsi="Times New Roman"/>
          <w:sz w:val="18"/>
          <w:szCs w:val="18"/>
          <w:color w:val="auto"/>
        </w:rPr>
      </w:pPr>
    </w:p>
    <w:p>
      <w:pPr>
        <w:ind w:left="600" w:hanging="308"/>
        <w:spacing w:after="0" w:line="256" w:lineRule="auto"/>
        <w:tabs>
          <w:tab w:leader="none" w:pos="6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Retain an Independent Compensation Consultant. </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the Compensation Committee engaged its own compensation consultant to provide information, analysis, and other advice on compensation matters independent of management. This compensation consultant performed no other services for us during 2023.</w:t>
      </w:r>
    </w:p>
    <w:p>
      <w:pPr>
        <w:spacing w:after="0" w:line="74" w:lineRule="exact"/>
        <w:rPr>
          <w:rFonts w:ascii="Times New Roman" w:cs="Times New Roman" w:eastAsia="Times New Roman" w:hAnsi="Times New Roman"/>
          <w:sz w:val="18"/>
          <w:szCs w:val="18"/>
          <w:color w:val="auto"/>
        </w:rPr>
      </w:pPr>
    </w:p>
    <w:p>
      <w:pPr>
        <w:ind w:left="600" w:right="20" w:hanging="308"/>
        <w:spacing w:after="0" w:line="257" w:lineRule="auto"/>
        <w:tabs>
          <w:tab w:leader="none" w:pos="6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Annual Executive Compensation Review.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reviews and approves our compensation strategy and policies planned to be done annually, including review and approval of the 2023 short-term incentive plan for executive officers.</w:t>
      </w:r>
    </w:p>
    <w:p>
      <w:pPr>
        <w:spacing w:after="0" w:line="74" w:lineRule="exact"/>
        <w:rPr>
          <w:rFonts w:ascii="Times New Roman" w:cs="Times New Roman" w:eastAsia="Times New Roman" w:hAnsi="Times New Roman"/>
          <w:sz w:val="18"/>
          <w:szCs w:val="18"/>
          <w:color w:val="auto"/>
        </w:rPr>
      </w:pPr>
    </w:p>
    <w:p>
      <w:pPr>
        <w:ind w:left="600" w:right="40" w:hanging="308"/>
        <w:spacing w:after="0" w:line="255" w:lineRule="auto"/>
        <w:tabs>
          <w:tab w:leader="none" w:pos="6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Compensation “At-Risk.” </w:t>
      </w:r>
      <w:r>
        <w:rPr>
          <w:rFonts w:ascii="Times New Roman" w:cs="Times New Roman" w:eastAsia="Times New Roman" w:hAnsi="Times New Roman"/>
          <w:sz w:val="18"/>
          <w:szCs w:val="18"/>
          <w:color w:val="auto"/>
        </w:rPr>
        <w:t>Other than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for Mr. Francis, our executive compensation program is designed so that a meaningful portion of our Named Executive Officers’ target annual total direct compensation is “at-risk” based on corporate performance, as well as equity-based, to align the interests of our Named Executive Officers and stockholders.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0" w:lineRule="exact"/>
        <w:rPr>
          <w:rFonts w:ascii="Times New Roman" w:cs="Times New Roman" w:eastAsia="Times New Roman" w:hAnsi="Times New Roman"/>
          <w:sz w:val="18"/>
          <w:szCs w:val="18"/>
          <w:color w:val="auto"/>
        </w:rPr>
      </w:pPr>
    </w:p>
    <w:p>
      <w:pPr>
        <w:ind w:left="600" w:hanging="308"/>
        <w:spacing w:after="0" w:line="258" w:lineRule="auto"/>
        <w:tabs>
          <w:tab w:leader="none" w:pos="6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 of “Pay-for-Performance” Philosophy.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our Named Executive Officers’ target annual total direct compensation, other than for Mr. Francis, is directly linked to our financial results and our stock price performance.</w:t>
      </w:r>
    </w:p>
    <w:p>
      <w:pPr>
        <w:spacing w:after="0" w:line="75" w:lineRule="exact"/>
        <w:rPr>
          <w:rFonts w:ascii="Times New Roman" w:cs="Times New Roman" w:eastAsia="Times New Roman" w:hAnsi="Times New Roman"/>
          <w:sz w:val="18"/>
          <w:szCs w:val="18"/>
          <w:color w:val="auto"/>
        </w:rPr>
      </w:pPr>
    </w:p>
    <w:p>
      <w:pPr>
        <w:ind w:left="600" w:hanging="308"/>
        <w:spacing w:after="0" w:line="258" w:lineRule="auto"/>
        <w:tabs>
          <w:tab w:leader="none" w:pos="6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Multi-Year Vesting Requirements. </w:t>
      </w:r>
      <w:r>
        <w:rPr>
          <w:rFonts w:ascii="Times New Roman" w:cs="Times New Roman" w:eastAsia="Times New Roman" w:hAnsi="Times New Roman"/>
          <w:sz w:val="18"/>
          <w:szCs w:val="18"/>
          <w:color w:val="auto"/>
        </w:rPr>
        <w:t>The annual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granted to our Named Executive Officers are earned and/or vest over multi-year periods, consistent with current market practice and our retention objectives.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ind w:right="305"/>
        <w:spacing w:after="0"/>
        <w:rPr>
          <w:sz w:val="20"/>
          <w:szCs w:val="20"/>
          <w:color w:val="auto"/>
        </w:rPr>
      </w:pPr>
      <w:r>
        <w:rPr>
          <w:rFonts w:ascii="Times New Roman" w:cs="Times New Roman" w:eastAsia="Times New Roman" w:hAnsi="Times New Roman"/>
          <w:sz w:val="14"/>
          <w:szCs w:val="14"/>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50800</wp:posOffset>
            </wp:positionV>
            <wp:extent cx="259715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20" w:lineRule="exact"/>
        <w:rPr>
          <w:sz w:val="20"/>
          <w:szCs w:val="20"/>
          <w:color w:val="auto"/>
        </w:rPr>
      </w:pPr>
    </w:p>
    <w:p>
      <w:pPr>
        <w:ind w:left="295" w:right="359" w:hanging="295"/>
        <w:spacing w:after="0" w:line="254" w:lineRule="auto"/>
        <w:tabs>
          <w:tab w:leader="none" w:pos="29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Executive Officer Retirement Plans. </w:t>
      </w:r>
      <w:r>
        <w:rPr>
          <w:rFonts w:ascii="Times New Roman" w:cs="Times New Roman" w:eastAsia="Times New Roman" w:hAnsi="Times New Roman"/>
          <w:sz w:val="18"/>
          <w:szCs w:val="18"/>
          <w:color w:val="auto"/>
        </w:rPr>
        <w:t>We do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offer, nor do we have plans to offer, defined benefit pension plans or any non-qualified deferred compensation plans or arrangements to our Named Executive Officers other than the plans and arrangements that are available to all our other employees. Our Named Executive Officers are eligible to participate in our Section 401(k) retirement savings plan on the same basis as our other employees.</w:t>
      </w:r>
    </w:p>
    <w:p>
      <w:pPr>
        <w:spacing w:after="0" w:line="77" w:lineRule="exact"/>
        <w:rPr>
          <w:rFonts w:ascii="Times New Roman" w:cs="Times New Roman" w:eastAsia="Times New Roman" w:hAnsi="Times New Roman"/>
          <w:sz w:val="18"/>
          <w:szCs w:val="18"/>
          <w:color w:val="auto"/>
        </w:rPr>
      </w:pPr>
    </w:p>
    <w:p>
      <w:pPr>
        <w:ind w:left="295" w:right="359" w:hanging="295"/>
        <w:spacing w:after="0" w:line="256" w:lineRule="auto"/>
        <w:tabs>
          <w:tab w:leader="none" w:pos="29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Limited Executive Officer Perquisites. </w:t>
      </w:r>
      <w:r>
        <w:rPr>
          <w:rFonts w:ascii="Times New Roman" w:cs="Times New Roman" w:eastAsia="Times New Roman" w:hAnsi="Times New Roman"/>
          <w:sz w:val="18"/>
          <w:szCs w:val="18"/>
          <w:color w:val="auto"/>
        </w:rPr>
        <w:t>We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benefits to our Named Executive Officers on the same basis as provided to all of our employees, including health, dental and vision insurance; accidental death and dismemberment insurance; disability insurance; and a tax-qualified Section 401(k) plan.</w:t>
      </w:r>
    </w:p>
    <w:p>
      <w:pPr>
        <w:spacing w:after="0" w:line="74" w:lineRule="exact"/>
        <w:rPr>
          <w:rFonts w:ascii="Times New Roman" w:cs="Times New Roman" w:eastAsia="Times New Roman" w:hAnsi="Times New Roman"/>
          <w:sz w:val="18"/>
          <w:szCs w:val="18"/>
          <w:color w:val="auto"/>
        </w:rPr>
      </w:pPr>
    </w:p>
    <w:p>
      <w:pPr>
        <w:ind w:left="295" w:right="319" w:hanging="295"/>
        <w:spacing w:after="0" w:line="258" w:lineRule="auto"/>
        <w:tabs>
          <w:tab w:leader="none" w:pos="29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Tax Payments on Change-in-Control Arrangements. </w:t>
      </w:r>
      <w:r>
        <w:rPr>
          <w:rFonts w:ascii="Times New Roman" w:cs="Times New Roman" w:eastAsia="Times New Roman" w:hAnsi="Times New Roman"/>
          <w:sz w:val="18"/>
          <w:szCs w:val="18"/>
          <w:color w:val="auto"/>
        </w:rPr>
        <w:t>We do not provide any excise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reimbursement payments (including “gross-ups”) on payments or benefits that are contingent upon a change-in-control of the Company.</w:t>
      </w:r>
    </w:p>
    <w:p>
      <w:pPr>
        <w:spacing w:after="0" w:line="291" w:lineRule="exact"/>
        <w:rPr>
          <w:rFonts w:ascii="Times New Roman" w:cs="Times New Roman" w:eastAsia="Times New Roman" w:hAnsi="Times New Roman"/>
          <w:sz w:val="18"/>
          <w:szCs w:val="18"/>
          <w:color w:val="auto"/>
        </w:rPr>
      </w:pPr>
    </w:p>
    <w:p>
      <w:pPr>
        <w:ind w:left="295" w:right="319" w:hanging="295"/>
        <w:spacing w:after="0" w:line="253" w:lineRule="auto"/>
        <w:tabs>
          <w:tab w:leader="none" w:pos="29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Hedging or Pledging of our Securities. </w:t>
      </w:r>
      <w:r>
        <w:rPr>
          <w:rFonts w:ascii="Times New Roman" w:cs="Times New Roman" w:eastAsia="Times New Roman" w:hAnsi="Times New Roman"/>
          <w:sz w:val="18"/>
          <w:szCs w:val="18"/>
          <w:color w:val="auto"/>
        </w:rPr>
        <w:t>As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insider trading policy, all our directors, officers, employees and certain designated consultants are prohibited from engaging in short sales of our securities, establishing margin accounts, pledging our securities as collateral for a loan, trading in derivative securities, including buying or selling puts or calls on our securities, or otherwise engaging in any form of hedging or monetization transactions (such as prepaid variable forwards, equity swaps, collars and exchange funds) involving our securities.</w:t>
      </w:r>
    </w:p>
    <w:p>
      <w:pPr>
        <w:spacing w:after="0" w:line="2582" w:lineRule="exact"/>
        <w:rPr>
          <w:sz w:val="20"/>
          <w:szCs w:val="20"/>
          <w:color w:val="auto"/>
        </w:rPr>
      </w:pPr>
    </w:p>
    <w:p>
      <w:pPr>
        <w:sectPr>
          <w:pgSz w:w="11900" w:h="16838" w:orient="portrait"/>
          <w:cols w:equalWidth="0" w:num="2">
            <w:col w:w="4400" w:space="225"/>
            <w:col w:w="4394"/>
          </w:cols>
          <w:pgMar w:left="1440" w:top="263" w:right="1440" w:bottom="1440" w:gutter="0" w:footer="0" w:header="0"/>
          <w:type w:val="continuous"/>
        </w:sectPr>
      </w:pP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96" w:name="page97"/>
    <w:bookmarkEnd w:id="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1860"/>
        <w:spacing w:after="0"/>
        <w:tabs>
          <w:tab w:leader="none" w:pos="5920" w:val="left"/>
        </w:tabs>
        <w:rPr>
          <w:sz w:val="20"/>
          <w:szCs w:val="20"/>
          <w:color w:val="auto"/>
        </w:rPr>
      </w:pPr>
      <w:r>
        <w:rPr>
          <w:rFonts w:ascii="Times New Roman" w:cs="Times New Roman" w:eastAsia="Times New Roman" w:hAnsi="Times New Roman"/>
          <w:sz w:val="14"/>
          <w:szCs w:val="14"/>
          <w:b w:val="1"/>
          <w:bCs w:val="1"/>
          <w:color w:val="auto"/>
        </w:rPr>
        <w:t>WHAT WE DO</w:t>
      </w:r>
      <w:r>
        <w:rPr>
          <w:sz w:val="20"/>
          <w:szCs w:val="20"/>
          <w:color w:val="auto"/>
        </w:rPr>
        <w:tab/>
      </w:r>
      <w:r>
        <w:rPr>
          <w:rFonts w:ascii="Times New Roman" w:cs="Times New Roman" w:eastAsia="Times New Roman" w:hAnsi="Times New Roman"/>
          <w:sz w:val="14"/>
          <w:szCs w:val="14"/>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50800</wp:posOffset>
            </wp:positionV>
            <wp:extent cx="534924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20" w:lineRule="exact"/>
        <w:rPr>
          <w:sz w:val="20"/>
          <w:szCs w:val="20"/>
          <w:color w:val="auto"/>
        </w:rPr>
      </w:pPr>
    </w:p>
    <w:p>
      <w:pPr>
        <w:ind w:left="600" w:right="4659" w:hanging="308"/>
        <w:spacing w:after="0" w:line="253" w:lineRule="auto"/>
        <w:tabs>
          <w:tab w:leader="none" w:pos="6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Maintain “Double-Trigger” Change-in-Control Arrangements. </w:t>
      </w:r>
      <w:r>
        <w:rPr>
          <w:rFonts w:ascii="Times New Roman" w:cs="Times New Roman" w:eastAsia="Times New Roman" w:hAnsi="Times New Roman"/>
          <w:sz w:val="18"/>
          <w:szCs w:val="18"/>
          <w:color w:val="auto"/>
        </w:rPr>
        <w:t>Our Named Executive Officers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Mr. Francis are eligible to participate in the Severance and Change in Control Plan, which provides certain payments and other benefits in the event of an involuntary termination of employment in connection with a change-in-control of the Company. These “double-trigger” arrangements require both a change-in-control of the Company plus a qualifying termination of employment before payments and benefits are paid. In addition, all such payments and benefits are subject to the execution and delivery of an effective general waiver and release of claims in favor of the Company.</w:t>
      </w:r>
    </w:p>
    <w:p>
      <w:pPr>
        <w:spacing w:after="0" w:line="77" w:lineRule="exact"/>
        <w:rPr>
          <w:rFonts w:ascii="Times New Roman" w:cs="Times New Roman" w:eastAsia="Times New Roman" w:hAnsi="Times New Roman"/>
          <w:sz w:val="18"/>
          <w:szCs w:val="18"/>
          <w:color w:val="auto"/>
        </w:rPr>
      </w:pPr>
    </w:p>
    <w:p>
      <w:pPr>
        <w:ind w:left="600" w:right="4639" w:hanging="308"/>
        <w:spacing w:after="0" w:line="258" w:lineRule="auto"/>
        <w:tabs>
          <w:tab w:leader="none" w:pos="6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Only Broad-Based Health and Welfare Benefits. </w:t>
      </w:r>
      <w:r>
        <w:rPr>
          <w:rFonts w:ascii="Times New Roman" w:cs="Times New Roman" w:eastAsia="Times New Roman" w:hAnsi="Times New Roman"/>
          <w:sz w:val="18"/>
          <w:szCs w:val="18"/>
          <w:color w:val="auto"/>
        </w:rPr>
        <w:t>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Named Executive Officers participate in broad-based Company-sponsored health and welfare benefit programs on the same basis as our other employees.</w:t>
      </w:r>
    </w:p>
    <w:p>
      <w:pPr>
        <w:spacing w:after="0" w:line="75" w:lineRule="exact"/>
        <w:rPr>
          <w:rFonts w:ascii="Times New Roman" w:cs="Times New Roman" w:eastAsia="Times New Roman" w:hAnsi="Times New Roman"/>
          <w:sz w:val="18"/>
          <w:szCs w:val="18"/>
          <w:color w:val="auto"/>
        </w:rPr>
      </w:pPr>
    </w:p>
    <w:p>
      <w:pPr>
        <w:ind w:left="600" w:right="4859" w:hanging="308"/>
        <w:spacing w:after="0" w:line="290" w:lineRule="auto"/>
        <w:tabs>
          <w:tab w:leader="none" w:pos="6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Clawback Policy. </w:t>
      </w:r>
      <w:r>
        <w:rPr>
          <w:rFonts w:ascii="Times New Roman" w:cs="Times New Roman" w:eastAsia="Times New Roman" w:hAnsi="Times New Roman"/>
          <w:sz w:val="17"/>
          <w:szCs w:val="17"/>
          <w:color w:val="auto"/>
        </w:rPr>
        <w:t>We require compensation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recoupment with respect to our executive officers pursuant to the terms of our clawback policy.</w:t>
      </w:r>
    </w:p>
    <w:p>
      <w:pPr>
        <w:spacing w:after="0" w:line="47" w:lineRule="exact"/>
        <w:rPr>
          <w:rFonts w:ascii="Times New Roman" w:cs="Times New Roman" w:eastAsia="Times New Roman" w:hAnsi="Times New Roman"/>
          <w:sz w:val="17"/>
          <w:szCs w:val="17"/>
          <w:color w:val="auto"/>
        </w:rPr>
      </w:pPr>
    </w:p>
    <w:p>
      <w:pPr>
        <w:ind w:left="600" w:right="4619" w:hanging="308"/>
        <w:spacing w:after="0" w:line="267" w:lineRule="auto"/>
        <w:tabs>
          <w:tab w:leader="none" w:pos="6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Succession Planning. </w:t>
      </w:r>
      <w:r>
        <w:rPr>
          <w:rFonts w:ascii="Times New Roman" w:cs="Times New Roman" w:eastAsia="Times New Roman" w:hAnsi="Times New Roman"/>
          <w:sz w:val="18"/>
          <w:szCs w:val="18"/>
          <w:color w:val="auto"/>
        </w:rPr>
        <w:t>We review the risks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our key executive officer positions to ensure adequate succession plans are in place.</w:t>
      </w:r>
    </w:p>
    <w:p>
      <w:pPr>
        <w:spacing w:after="0" w:line="200" w:lineRule="exact"/>
        <w:rPr>
          <w:sz w:val="20"/>
          <w:szCs w:val="20"/>
          <w:color w:val="auto"/>
        </w:rPr>
      </w:pP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Compensation Philosophy and Objectives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Our executive compensation program is designed to achieve our ambitious goals by attracting, motivating, and retaining talented, deeply qualified, and committed individuals who believe in our mission, while rewarding them for long-term value creation. Specifically, our compensation philosophy is as follows:</w:t>
      </w:r>
    </w:p>
    <w:p>
      <w:pPr>
        <w:spacing w:after="0" w:line="64" w:lineRule="exact"/>
        <w:rPr>
          <w:sz w:val="20"/>
          <w:szCs w:val="20"/>
          <w:color w:val="auto"/>
        </w:rPr>
      </w:pPr>
    </w:p>
    <w:p>
      <w:pPr>
        <w:ind w:left="1000" w:right="319" w:hanging="348"/>
        <w:spacing w:after="0" w:line="286"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Attract Top Talent </w:t>
      </w:r>
      <w:r>
        <w:rPr>
          <w:rFonts w:ascii="Times New Roman" w:cs="Times New Roman" w:eastAsia="Times New Roman" w:hAnsi="Times New Roman"/>
          <w:sz w:val="18"/>
          <w:szCs w:val="18"/>
          <w:color w:val="auto"/>
        </w:rPr>
        <w:t>– Given the nature of our business and our long-term financial and strategic objectives,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must compete with other top technology companies for talent to build and grow our Company;</w:t>
      </w:r>
    </w:p>
    <w:p>
      <w:pPr>
        <w:spacing w:after="0" w:line="46" w:lineRule="exact"/>
        <w:rPr>
          <w:rFonts w:ascii="Times New Roman" w:cs="Times New Roman" w:eastAsia="Times New Roman" w:hAnsi="Times New Roman"/>
          <w:sz w:val="18"/>
          <w:szCs w:val="18"/>
          <w:color w:val="auto"/>
        </w:rPr>
      </w:pPr>
    </w:p>
    <w:p>
      <w:pPr>
        <w:jc w:val="both"/>
        <w:ind w:left="1000" w:right="319" w:hanging="348"/>
        <w:spacing w:after="0" w:line="262"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 and Maintain a Performance-Based Culture </w:t>
      </w:r>
      <w:r>
        <w:rPr>
          <w:rFonts w:ascii="Times New Roman" w:cs="Times New Roman" w:eastAsia="Times New Roman" w:hAnsi="Times New Roman"/>
          <w:sz w:val="18"/>
          <w:szCs w:val="18"/>
          <w:color w:val="auto"/>
        </w:rPr>
        <w:t>– To be successful in a highly competitive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talent, we must create consistency through a compensation program that motivates exceptional performance by expanding the reach of our employees’ incentives so that they may share in the success of our business with our stockholders; and</w:t>
      </w:r>
    </w:p>
    <w:p>
      <w:pPr>
        <w:spacing w:after="0" w:line="68" w:lineRule="exact"/>
        <w:rPr>
          <w:rFonts w:ascii="Times New Roman" w:cs="Times New Roman" w:eastAsia="Times New Roman" w:hAnsi="Times New Roman"/>
          <w:sz w:val="18"/>
          <w:szCs w:val="18"/>
          <w:color w:val="auto"/>
        </w:rPr>
      </w:pPr>
    </w:p>
    <w:p>
      <w:pPr>
        <w:jc w:val="both"/>
        <w:ind w:left="1000" w:right="299" w:hanging="348"/>
        <w:spacing w:after="0" w:line="268"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Retain Exceptional Employees </w:t>
      </w:r>
      <w:r>
        <w:rPr>
          <w:rFonts w:ascii="Times New Roman" w:cs="Times New Roman" w:eastAsia="Times New Roman" w:hAnsi="Times New Roman"/>
          <w:sz w:val="18"/>
          <w:szCs w:val="18"/>
          <w:color w:val="auto"/>
        </w:rPr>
        <w:t>– To ensure that we can meet our objectives, we must foster a culture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instills a sense of commitment to the organization and each other while, at the same time, recognizing and rewarding individual contributions and impact.</w:t>
      </w:r>
    </w:p>
    <w:p>
      <w:pPr>
        <w:spacing w:after="0" w:line="6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 critical priority is to promote a long-term commitment to the Company by our Named Executive Officers and other key employees. We believe that there is great value to the Company in having a team of long-tenured, seasoned managers and knowledgeable, experienced employees. Our team-focused culture and management processes are designed to foster this commitment.</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While we are still evolving our compensation policies and practices, we strive for a fair, competitive, transparent, and equitable approach in recognizing and rewarding our Named Executive Officers and other employees. We take a principled approach to providing fair, relevant, and competitive compensation and benefits to a dynamic workforce with diverse needs. For our Named Executive Officers, we aim to balance short-term and long-term compensation and fixed amounts of cash with variable incentive compensation.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7" w:name="page98"/>
    <w:bookmarkEnd w:id="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Elements</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Generally, our executive compensation program consists of three principal elements – base salary, cash bonus opportunities, and long-term incentive compensation in the form of equity awards.</w:t>
      </w:r>
    </w:p>
    <w:p>
      <w:pPr>
        <w:sectPr>
          <w:pgSz w:w="11900" w:h="16838" w:orient="portrait"/>
          <w:cols w:equalWidth="0" w:num="1">
            <w:col w:w="9019"/>
          </w:cols>
          <w:pgMar w:left="1440" w:top="263" w:right="1440" w:bottom="1440" w:gutter="0" w:footer="0" w:header="0"/>
        </w:sectPr>
      </w:pP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Element</w:t>
            </w:r>
          </w:p>
        </w:tc>
        <w:tc>
          <w:tcPr>
            <w:tcW w:w="200" w:type="dxa"/>
            <w:vAlign w:val="bottom"/>
          </w:tcPr>
          <w:p>
            <w:pPr>
              <w:spacing w:after="0"/>
              <w:rPr>
                <w:sz w:val="13"/>
                <w:szCs w:val="13"/>
                <w:color w:val="auto"/>
              </w:rPr>
            </w:pPr>
          </w:p>
        </w:tc>
        <w:tc>
          <w:tcPr>
            <w:tcW w:w="8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Type of</w:t>
            </w:r>
          </w:p>
        </w:tc>
        <w:tc>
          <w:tcPr>
            <w:tcW w:w="180" w:type="dxa"/>
            <w:vAlign w:val="bottom"/>
          </w:tcPr>
          <w:p>
            <w:pPr>
              <w:spacing w:after="0"/>
              <w:rPr>
                <w:sz w:val="13"/>
                <w:szCs w:val="13"/>
                <w:color w:val="auto"/>
              </w:rPr>
            </w:pPr>
          </w:p>
        </w:tc>
        <w:tc>
          <w:tcPr>
            <w:tcW w:w="264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Compensation Element</w:t>
            </w:r>
          </w:p>
        </w:tc>
        <w:tc>
          <w:tcPr>
            <w:tcW w:w="0" w:type="dxa"/>
            <w:vAlign w:val="bottom"/>
          </w:tcPr>
          <w:p>
            <w:pPr>
              <w:spacing w:after="0"/>
              <w:rPr>
                <w:sz w:val="1"/>
                <w:szCs w:val="1"/>
                <w:color w:val="auto"/>
              </w:rPr>
            </w:pPr>
          </w:p>
        </w:tc>
      </w:tr>
      <w:tr>
        <w:trPr>
          <w:trHeight w:val="190"/>
        </w:trPr>
        <w:tc>
          <w:tcPr>
            <w:tcW w:w="10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Element</w:t>
            </w:r>
          </w:p>
        </w:tc>
        <w:tc>
          <w:tcPr>
            <w:tcW w:w="180" w:type="dxa"/>
            <w:vAlign w:val="bottom"/>
          </w:tcPr>
          <w:p>
            <w:pPr>
              <w:spacing w:after="0"/>
              <w:rPr>
                <w:sz w:val="16"/>
                <w:szCs w:val="16"/>
                <w:color w:val="auto"/>
              </w:rPr>
            </w:pPr>
          </w:p>
        </w:tc>
        <w:tc>
          <w:tcPr>
            <w:tcW w:w="2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10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Base Salary</w:t>
            </w: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Fixed</w:t>
            </w:r>
          </w:p>
        </w:tc>
        <w:tc>
          <w:tcPr>
            <w:tcW w:w="2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00"/>
        <w:spacing w:after="0"/>
        <w:tabs>
          <w:tab w:leader="none" w:pos="1560" w:val="left"/>
          <w:tab w:leader="none" w:pos="2600" w:val="left"/>
        </w:tabs>
        <w:rPr>
          <w:sz w:val="20"/>
          <w:szCs w:val="20"/>
          <w:color w:val="auto"/>
        </w:rPr>
      </w:pPr>
      <w:r>
        <w:rPr>
          <w:rFonts w:ascii="Times New Roman" w:cs="Times New Roman" w:eastAsia="Times New Roman" w:hAnsi="Times New Roman"/>
          <w:sz w:val="18"/>
          <w:szCs w:val="18"/>
          <w:color w:val="auto"/>
        </w:rPr>
        <w:t>Cash Bonuses</w:t>
      </w:r>
      <w:r>
        <w:rPr>
          <w:sz w:val="20"/>
          <w:szCs w:val="20"/>
          <w:color w:val="auto"/>
        </w:rPr>
        <w:tab/>
      </w:r>
      <w:r>
        <w:rPr>
          <w:rFonts w:ascii="Times New Roman" w:cs="Times New Roman" w:eastAsia="Times New Roman" w:hAnsi="Times New Roman"/>
          <w:sz w:val="18"/>
          <w:szCs w:val="18"/>
          <w:color w:val="auto"/>
        </w:rPr>
        <w:t>Variable</w:t>
      </w:r>
      <w:r>
        <w:rPr>
          <w:sz w:val="20"/>
          <w:szCs w:val="20"/>
          <w:color w:val="auto"/>
        </w:rPr>
        <w:tab/>
      </w:r>
      <w:r>
        <w:rPr>
          <w:rFonts w:ascii="Times New Roman" w:cs="Times New Roman" w:eastAsia="Times New Roman" w:hAnsi="Times New Roman"/>
          <w:sz w:val="18"/>
          <w:szCs w:val="18"/>
          <w:color w:val="auto"/>
        </w:rPr>
        <w:t>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00"/>
        <w:spacing w:after="0"/>
        <w:tabs>
          <w:tab w:leader="none" w:pos="1560" w:val="left"/>
          <w:tab w:leader="none" w:pos="2600" w:val="left"/>
        </w:tabs>
        <w:rPr>
          <w:sz w:val="20"/>
          <w:szCs w:val="20"/>
          <w:color w:val="auto"/>
        </w:rPr>
      </w:pPr>
      <w:r>
        <w:rPr>
          <w:rFonts w:ascii="Times New Roman" w:cs="Times New Roman" w:eastAsia="Times New Roman" w:hAnsi="Times New Roman"/>
          <w:sz w:val="18"/>
          <w:szCs w:val="18"/>
          <w:color w:val="auto"/>
        </w:rPr>
        <w:t>Long Term</w:t>
      </w:r>
      <w:r>
        <w:rPr>
          <w:sz w:val="20"/>
          <w:szCs w:val="20"/>
          <w:color w:val="auto"/>
        </w:rPr>
        <w:tab/>
      </w:r>
      <w:r>
        <w:rPr>
          <w:rFonts w:ascii="Times New Roman" w:cs="Times New Roman" w:eastAsia="Times New Roman" w:hAnsi="Times New Roman"/>
          <w:sz w:val="18"/>
          <w:szCs w:val="18"/>
          <w:color w:val="auto"/>
        </w:rPr>
        <w:t>Variable</w:t>
      </w:r>
      <w:r>
        <w:rPr>
          <w:sz w:val="20"/>
          <w:szCs w:val="20"/>
          <w:color w:val="auto"/>
        </w:rPr>
        <w:tab/>
      </w:r>
      <w:r>
        <w:rPr>
          <w:rFonts w:ascii="Times New Roman" w:cs="Times New Roman" w:eastAsia="Times New Roman" w:hAnsi="Times New Roman"/>
          <w:sz w:val="18"/>
          <w:szCs w:val="18"/>
          <w:color w:val="auto"/>
        </w:rPr>
        <w:t>Equity awards in the form of RSU</w:t>
      </w:r>
    </w:p>
    <w:p>
      <w:pPr>
        <w:spacing w:after="0" w:line="27" w:lineRule="exact"/>
        <w:rPr>
          <w:sz w:val="20"/>
          <w:szCs w:val="20"/>
          <w:color w:val="auto"/>
        </w:rPr>
      </w:pPr>
    </w:p>
    <w:p>
      <w:pPr>
        <w:ind w:left="300"/>
        <w:spacing w:after="0"/>
        <w:tabs>
          <w:tab w:leader="none" w:pos="2600" w:val="left"/>
        </w:tabs>
        <w:rPr>
          <w:sz w:val="20"/>
          <w:szCs w:val="20"/>
          <w:color w:val="auto"/>
        </w:rPr>
      </w:pPr>
      <w:r>
        <w:rPr>
          <w:rFonts w:ascii="Times New Roman" w:cs="Times New Roman" w:eastAsia="Times New Roman" w:hAnsi="Times New Roman"/>
          <w:sz w:val="18"/>
          <w:szCs w:val="18"/>
          <w:color w:val="auto"/>
        </w:rPr>
        <w:t>Incentive</w:t>
      </w:r>
      <w:r>
        <w:rPr>
          <w:sz w:val="20"/>
          <w:szCs w:val="20"/>
          <w:color w:val="auto"/>
        </w:rPr>
        <w:tab/>
      </w:r>
      <w:r>
        <w:rPr>
          <w:rFonts w:ascii="Times New Roman" w:cs="Times New Roman" w:eastAsia="Times New Roman" w:hAnsi="Times New Roman"/>
          <w:sz w:val="18"/>
          <w:szCs w:val="18"/>
          <w:color w:val="auto"/>
        </w:rPr>
        <w:t>awards that may be settled for</w:t>
      </w:r>
    </w:p>
    <w:p>
      <w:pPr>
        <w:spacing w:after="0" w:line="9" w:lineRule="exact"/>
        <w:rPr>
          <w:sz w:val="20"/>
          <w:szCs w:val="20"/>
          <w:color w:val="auto"/>
        </w:rPr>
      </w:pPr>
    </w:p>
    <w:p>
      <w:pPr>
        <w:ind w:left="300"/>
        <w:spacing w:after="0"/>
        <w:tabs>
          <w:tab w:leader="none" w:pos="2600" w:val="left"/>
        </w:tabs>
        <w:rPr>
          <w:sz w:val="20"/>
          <w:szCs w:val="20"/>
          <w:color w:val="auto"/>
        </w:rPr>
      </w:pPr>
      <w:r>
        <w:rPr>
          <w:rFonts w:ascii="Times New Roman" w:cs="Times New Roman" w:eastAsia="Times New Roman" w:hAnsi="Times New Roman"/>
          <w:sz w:val="18"/>
          <w:szCs w:val="18"/>
          <w:color w:val="auto"/>
        </w:rPr>
        <w:t>Compensation</w:t>
      </w:r>
      <w:r>
        <w:rPr>
          <w:sz w:val="20"/>
          <w:szCs w:val="20"/>
          <w:color w:val="auto"/>
        </w:rPr>
        <w:tab/>
      </w:r>
      <w:r>
        <w:rPr>
          <w:rFonts w:ascii="Times New Roman" w:cs="Times New Roman" w:eastAsia="Times New Roman" w:hAnsi="Times New Roman"/>
          <w:sz w:val="18"/>
          <w:szCs w:val="18"/>
          <w:color w:val="auto"/>
        </w:rPr>
        <w:t>shares of our Class A Common</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Stock and PRSU awards that may</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be earned and settled for shares of</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our Class A Common Stock</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50800</wp:posOffset>
            </wp:positionV>
            <wp:extent cx="20745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122" w:lineRule="exact"/>
        <w:rPr>
          <w:sz w:val="20"/>
          <w:szCs w:val="20"/>
          <w:color w:val="auto"/>
        </w:rPr>
      </w:pPr>
    </w:p>
    <w:p>
      <w:pPr>
        <w:ind w:right="399"/>
        <w:spacing w:after="0" w:line="258" w:lineRule="auto"/>
        <w:rPr>
          <w:sz w:val="20"/>
          <w:szCs w:val="20"/>
          <w:color w:val="auto"/>
        </w:rPr>
      </w:pPr>
      <w:r>
        <w:rPr>
          <w:rFonts w:ascii="Times New Roman" w:cs="Times New Roman" w:eastAsia="Times New Roman" w:hAnsi="Times New Roman"/>
          <w:sz w:val="18"/>
          <w:szCs w:val="18"/>
          <w:color w:val="auto"/>
        </w:rPr>
        <w:t>Designed to attract and retain executives by providing a competitive fixed amount of cash compensation based on the executive’s role, prior experience, and expected contributions to the Company</w:t>
      </w:r>
    </w:p>
    <w:p>
      <w:pPr>
        <w:spacing w:after="0" w:line="75" w:lineRule="exact"/>
        <w:rPr>
          <w:sz w:val="20"/>
          <w:szCs w:val="20"/>
          <w:color w:val="auto"/>
        </w:rPr>
      </w:pPr>
    </w:p>
    <w:p>
      <w:pPr>
        <w:ind w:right="479"/>
        <w:spacing w:after="0" w:line="256" w:lineRule="auto"/>
        <w:rPr>
          <w:sz w:val="20"/>
          <w:szCs w:val="20"/>
          <w:color w:val="auto"/>
        </w:rPr>
      </w:pPr>
      <w:r>
        <w:rPr>
          <w:rFonts w:ascii="Times New Roman" w:cs="Times New Roman" w:eastAsia="Times New Roman" w:hAnsi="Times New Roman"/>
          <w:sz w:val="18"/>
          <w:szCs w:val="18"/>
          <w:color w:val="auto"/>
        </w:rPr>
        <w:t>Designed to motivate our executives to achieve business objectives tied to specific Company metrics and which are aligned to our annual priorities, with the payout opportunity based on Company and individual performance</w:t>
      </w:r>
    </w:p>
    <w:p>
      <w:pPr>
        <w:spacing w:after="0" w:line="79" w:lineRule="exact"/>
        <w:rPr>
          <w:sz w:val="20"/>
          <w:szCs w:val="20"/>
          <w:color w:val="auto"/>
        </w:rPr>
      </w:pPr>
    </w:p>
    <w:p>
      <w:pPr>
        <w:ind w:right="419"/>
        <w:spacing w:after="0" w:line="261" w:lineRule="auto"/>
        <w:rPr>
          <w:sz w:val="20"/>
          <w:szCs w:val="20"/>
          <w:color w:val="auto"/>
        </w:rPr>
      </w:pPr>
      <w:r>
        <w:rPr>
          <w:rFonts w:ascii="Times New Roman" w:cs="Times New Roman" w:eastAsia="Times New Roman" w:hAnsi="Times New Roman"/>
          <w:sz w:val="18"/>
          <w:szCs w:val="18"/>
          <w:color w:val="auto"/>
        </w:rPr>
        <w:t>Designed to align the interests of our executives and our stockholders while helping to attract and retain talented leaders by paying for performance</w:t>
      </w:r>
    </w:p>
    <w:p>
      <w:pPr>
        <w:spacing w:after="0" w:line="557" w:lineRule="exact"/>
        <w:rPr>
          <w:sz w:val="20"/>
          <w:szCs w:val="20"/>
          <w:color w:val="auto"/>
        </w:rPr>
      </w:pPr>
    </w:p>
    <w:p>
      <w:pPr>
        <w:sectPr>
          <w:pgSz w:w="11900" w:h="16838" w:orient="portrait"/>
          <w:cols w:equalWidth="0" w:num="2">
            <w:col w:w="5260" w:space="180"/>
            <w:col w:w="3579"/>
          </w:cols>
          <w:pgMar w:left="1440" w:top="263" w:right="1440" w:bottom="1440" w:gutter="0" w:footer="0" w:header="0"/>
          <w:type w:val="continuous"/>
        </w:sect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also provide certain post-employment compensation (severance and change-in-control) payments and benefits that are consistent with our view of competitive market practices, and other benefits, such as health and welfare programs, including a Section 401(k) retirement savings plan. In general, our executive officers participate in the standard employee health and welfare benefit programs available to our employees generally.</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Base salary represents the fixed portion of the compensation of our Named Executive Officers and is a critical element of compensation intended to attract and retain highly talented individuals. Generally, the base salary for each Named Executive Officer is intended to provide a fixed amount of cash compensation that is based on the executive’s role, experience, and expected contributions to the Company. Base salary is also designed to provide our Named Executive Officers with steady cash flow during the course of the fiscal year that is not contingent on short-term variations in our corporate performance.</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annual base salaries of our Named Executive Officers for 2023 were as follows:</w:t>
      </w: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 Base Salary</w:t>
            </w:r>
          </w:p>
        </w:tc>
        <w:tc>
          <w:tcPr>
            <w:tcW w:w="0" w:type="dxa"/>
            <w:vAlign w:val="bottom"/>
          </w:tcPr>
          <w:p>
            <w:pPr>
              <w:spacing w:after="0"/>
              <w:rPr>
                <w:sz w:val="1"/>
                <w:szCs w:val="1"/>
                <w:color w:val="auto"/>
              </w:rPr>
            </w:pPr>
          </w:p>
        </w:tc>
      </w:tr>
      <w:tr>
        <w:trPr>
          <w:trHeight w:val="190"/>
        </w:trPr>
        <w:tc>
          <w:tcPr>
            <w:tcW w:w="73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0"/>
        </w:trPr>
        <w:tc>
          <w:tcPr>
            <w:tcW w:w="71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72"/>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9"/>
                <w:szCs w:val="29"/>
                <w:color w:val="auto"/>
                <w:vertAlign w:val="superscript"/>
              </w:rPr>
              <w:t>(1)</w:t>
            </w:r>
          </w:p>
        </w:tc>
        <w:tc>
          <w:tcPr>
            <w:tcW w:w="10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$1,020,000</w:t>
            </w:r>
          </w:p>
        </w:tc>
        <w:tc>
          <w:tcPr>
            <w:tcW w:w="0" w:type="dxa"/>
            <w:vAlign w:val="bottom"/>
          </w:tcPr>
          <w:p>
            <w:pPr>
              <w:spacing w:after="0"/>
              <w:rPr>
                <w:sz w:val="1"/>
                <w:szCs w:val="1"/>
                <w:color w:val="auto"/>
              </w:rPr>
            </w:pPr>
          </w:p>
        </w:tc>
      </w:tr>
      <w:tr>
        <w:trPr>
          <w:trHeight w:val="270"/>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410,000</w:t>
            </w:r>
          </w:p>
        </w:tc>
        <w:tc>
          <w:tcPr>
            <w:tcW w:w="0" w:type="dxa"/>
            <w:vAlign w:val="bottom"/>
          </w:tcPr>
          <w:p>
            <w:pPr>
              <w:spacing w:after="0"/>
              <w:rPr>
                <w:sz w:val="1"/>
                <w:szCs w:val="1"/>
                <w:color w:val="auto"/>
              </w:rPr>
            </w:pPr>
          </w:p>
        </w:tc>
      </w:tr>
      <w:tr>
        <w:trPr>
          <w:trHeight w:val="54"/>
        </w:trPr>
        <w:tc>
          <w:tcPr>
            <w:tcW w:w="7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Duncan Grazier</w:t>
            </w:r>
            <w:r>
              <w:rPr>
                <w:rFonts w:ascii="Times New Roman" w:cs="Times New Roman" w:eastAsia="Times New Roman" w:hAnsi="Times New Roman"/>
                <w:sz w:val="29"/>
                <w:szCs w:val="29"/>
                <w:color w:val="auto"/>
                <w:vertAlign w:val="superscript"/>
              </w:rPr>
              <w:t>(2)</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408,171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-685165</wp:posOffset>
            </wp:positionV>
            <wp:extent cx="137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base salary in 2023 of $1,020,000 became effective on August 15, 2023.</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Grazier’s previous annual base salary was $402,500 and was increased to $425,000 on September 30, 2023.</w:t>
      </w:r>
    </w:p>
    <w:p>
      <w:pPr>
        <w:spacing w:after="0" w:line="10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Upon review, the Compensation Committee (i) awarded the annual base salary for Mr. Francis, (ii) made no adjustment to, and confirmed the annual base salary of Mr. Camire, and (iii) increased Mr. Grazier’s annual base salary as part of its annual review of our executive compensation program.</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total base salaries paid to our Named Executive Officers during 2023 are set forth in the “Summary Compensation Table” below.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98" w:name="page99"/>
    <w:bookmarkEnd w:id="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Cash Bonuses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Target Bonus Opportunities</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From time to time, our Compensation Committee may adjust a Named Executive Officer’s target cash bonus opportunity after taking into account the Named Executive Officer’s position, role and responsibilities, experience, prior target cash bonus opportunity, the target bonus opportunities of our other Named Executive Officers, and our compensation objectives. Our Compensation Committee also considered information about the target bonus opportunities of similarly situated executives in other companies at a similar stage of development. Upon review, the Compensation Committee (i) awarded Mr. Francis a signing bonus as part of his offer letter, (ii) increased the target cash bonus opportunity of Mr. Camire, and (iii) made no adjustments to Mr. Grazier’s target cash bonus opportunity as part of its annual review of our executive compensation program.</w:t>
      </w:r>
    </w:p>
    <w:p>
      <w:pPr>
        <w:spacing w:after="0" w:line="8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target cash bonus opportunities of our Named Executive Officers for 2023, as a percentage of annual base salary, were as follows:</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26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2023 Base Cash Bonus Opportunity (as</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 Target Cash Bonus</w:t>
            </w:r>
          </w:p>
        </w:tc>
        <w:tc>
          <w:tcPr>
            <w:tcW w:w="0" w:type="dxa"/>
            <w:vAlign w:val="bottom"/>
          </w:tcPr>
          <w:p>
            <w:pPr>
              <w:spacing w:after="0"/>
              <w:rPr>
                <w:sz w:val="1"/>
                <w:szCs w:val="1"/>
                <w:color w:val="auto"/>
              </w:rPr>
            </w:pPr>
          </w:p>
        </w:tc>
      </w:tr>
      <w:tr>
        <w:trPr>
          <w:trHeight w:val="190"/>
        </w:trPr>
        <w:tc>
          <w:tcPr>
            <w:tcW w:w="4280" w:type="dxa"/>
            <w:vAlign w:val="bottom"/>
            <w:gridSpan w:val="2"/>
            <w:vMerge w:val="continue"/>
          </w:tcPr>
          <w:p>
            <w:pPr>
              <w:spacing w:after="0"/>
              <w:rPr>
                <w:sz w:val="16"/>
                <w:szCs w:val="16"/>
                <w:color w:val="auto"/>
              </w:rPr>
            </w:pPr>
          </w:p>
        </w:tc>
        <w:tc>
          <w:tcPr>
            <w:tcW w:w="26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 percentage of base salary)</w:t>
            </w:r>
          </w:p>
        </w:tc>
        <w:tc>
          <w:tcPr>
            <w:tcW w:w="152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Opportunity ($)</w:t>
            </w:r>
          </w:p>
        </w:tc>
        <w:tc>
          <w:tcPr>
            <w:tcW w:w="0" w:type="dxa"/>
            <w:vAlign w:val="bottom"/>
          </w:tcPr>
          <w:p>
            <w:pPr>
              <w:spacing w:after="0"/>
              <w:rPr>
                <w:sz w:val="1"/>
                <w:szCs w:val="1"/>
                <w:color w:val="auto"/>
              </w:rPr>
            </w:pPr>
          </w:p>
        </w:tc>
      </w:tr>
      <w:tr>
        <w:trPr>
          <w:trHeight w:val="51"/>
        </w:trPr>
        <w:tc>
          <w:tcPr>
            <w:tcW w:w="41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44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72"/>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9"/>
                <w:szCs w:val="29"/>
                <w:color w:val="auto"/>
                <w:vertAlign w:val="superscript"/>
              </w:rPr>
              <w:t>(1)</w:t>
            </w:r>
          </w:p>
        </w:tc>
        <w:tc>
          <w:tcPr>
            <w:tcW w:w="262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24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23"/>
                <w:szCs w:val="23"/>
                <w:color w:val="auto"/>
              </w:rPr>
            </w:pPr>
          </w:p>
        </w:tc>
        <w:tc>
          <w:tcPr>
            <w:tcW w:w="15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$205,000</w:t>
            </w:r>
          </w:p>
        </w:tc>
        <w:tc>
          <w:tcPr>
            <w:tcW w:w="0" w:type="dxa"/>
            <w:vAlign w:val="bottom"/>
          </w:tcPr>
          <w:p>
            <w:pPr>
              <w:spacing w:after="0"/>
              <w:rPr>
                <w:sz w:val="1"/>
                <w:szCs w:val="1"/>
                <w:color w:val="auto"/>
              </w:rPr>
            </w:pPr>
          </w:p>
        </w:tc>
      </w:tr>
      <w:tr>
        <w:trPr>
          <w:trHeight w:val="54"/>
        </w:trPr>
        <w:tc>
          <w:tcPr>
            <w:tcW w:w="4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Duncan Grazier</w:t>
            </w:r>
            <w:r>
              <w:rPr>
                <w:rFonts w:ascii="Times New Roman" w:cs="Times New Roman" w:eastAsia="Times New Roman" w:hAnsi="Times New Roman"/>
                <w:sz w:val="29"/>
                <w:szCs w:val="29"/>
                <w:color w:val="auto"/>
                <w:vertAlign w:val="superscript"/>
              </w:rPr>
              <w:t>(2)</w:t>
            </w:r>
          </w:p>
        </w:tc>
        <w:tc>
          <w:tcPr>
            <w:tcW w:w="24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$212,500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-685165</wp:posOffset>
            </wp:positionV>
            <wp:extent cx="1028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-685165</wp:posOffset>
            </wp:positionV>
            <wp:extent cx="1028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299" w:hanging="348"/>
        <w:spacing w:after="0" w:line="261" w:lineRule="auto"/>
        <w:tabs>
          <w:tab w:leader="none" w:pos="6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was not eligible for a target bonus opportunity in 2023 , but did receive a signing bonus of $700,000 in connection with the entry into his offer letter dated August 15, 2023.</w:t>
      </w:r>
    </w:p>
    <w:p>
      <w:pPr>
        <w:ind w:left="640" w:hanging="348"/>
        <w:spacing w:after="0"/>
        <w:tabs>
          <w:tab w:leader="none" w:pos="64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Grazier’s approved target bonus by the Compensation Committee was based off his increased base salary of $425,000.</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Evaluation of Performance</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formal cash bonus plan for 2023 adopted by the Compensation Committee for Mr. Camire and Mr. Grazier did not have an individual award component and was based on Company performance against Revenue, Adj. EBITDA, and Cash targets for fiscal year 2023 in the same manner as the core bonus plan for the rest of the employees of the Company. See “Cash Bonus Payments” for additional details regarding our cash bonus plan.</w:t>
      </w:r>
    </w:p>
    <w:p>
      <w:pPr>
        <w:spacing w:after="0" w:line="2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Cash Bonus Payments</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September 2023 the Compensation Committee approved the short-term incentive plan (STIP) for 2023, which was entirely based on our actual financial performance for the year. The company performance award comprised 100% of the cash bonuses available under the STIP, and was based on (i) fiscal year 2023 Revenue achievement (50% of the company performance award) and (ii) fiscal year 2023 Adj. EBITDA achievement (50% of the company performance award), with a minimum cash component measured as of December 31, 2023 which was a minimum condition to be met in order for any bonus to be paid. The Compensation Committee reviewed and provided input on our Executive Chair’s determinations as to each Named Executive Officer’s cash bonus target.</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Based on our Compensation Committee’s assessment of our corporate performance during the fiscal year, our Named Executive Officers 2023 STIP bonus was achieved at 66.5% based on achievement of the 2023 Revenue and 2023 Adjusted EBITDA goals. In May 2024, upon review and consideration of executive performance for 2023, our Compensation Committee determined that a discretionary cash bonus should be paid to Mr. Camire and Mr. Grazier to account for their individual contributions, raising their cash bonus amounts to $181,425 and $188,062, respectively:</w:t>
      </w:r>
    </w:p>
    <w:p>
      <w:pPr>
        <w:spacing w:after="0" w:line="2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2023 Target Cash Bonus</w:t>
            </w:r>
          </w:p>
        </w:tc>
        <w:tc>
          <w:tcPr>
            <w:tcW w:w="1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Actual 2023 Cash Bonus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Actual 2023 Cash Bonus</w:t>
            </w:r>
          </w:p>
        </w:tc>
        <w:tc>
          <w:tcPr>
            <w:tcW w:w="0" w:type="dxa"/>
            <w:vAlign w:val="bottom"/>
          </w:tcPr>
          <w:p>
            <w:pPr>
              <w:spacing w:after="0"/>
              <w:rPr>
                <w:sz w:val="1"/>
                <w:szCs w:val="1"/>
                <w:color w:val="auto"/>
              </w:rPr>
            </w:pPr>
          </w:p>
        </w:tc>
      </w:tr>
      <w:tr>
        <w:trPr>
          <w:trHeight w:val="146"/>
        </w:trPr>
        <w:tc>
          <w:tcPr>
            <w:tcW w:w="3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20" w:type="dxa"/>
            <w:vAlign w:val="bottom"/>
            <w:vMerge w:val="restart"/>
          </w:tcPr>
          <w:p>
            <w:pPr>
              <w:spacing w:after="0"/>
              <w:rPr>
                <w:sz w:val="12"/>
                <w:szCs w:val="12"/>
                <w:color w:val="auto"/>
              </w:rPr>
            </w:pPr>
          </w:p>
        </w:tc>
        <w:tc>
          <w:tcPr>
            <w:tcW w:w="1640" w:type="dxa"/>
            <w:vAlign w:val="bottom"/>
            <w:gridSpan w:val="3"/>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Opportunity</w:t>
            </w:r>
          </w:p>
        </w:tc>
        <w:tc>
          <w:tcPr>
            <w:tcW w:w="1640" w:type="dxa"/>
            <w:vAlign w:val="bottom"/>
            <w:gridSpan w:val="3"/>
            <w:vMerge w:val="continue"/>
          </w:tcPr>
          <w:p>
            <w:pPr>
              <w:spacing w:after="0"/>
              <w:rPr>
                <w:sz w:val="12"/>
                <w:szCs w:val="12"/>
                <w:color w:val="auto"/>
              </w:rPr>
            </w:pPr>
          </w:p>
        </w:tc>
        <w:tc>
          <w:tcPr>
            <w:tcW w:w="15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(as a percentage of target</w:t>
            </w:r>
          </w:p>
        </w:tc>
        <w:tc>
          <w:tcPr>
            <w:tcW w:w="0" w:type="dxa"/>
            <w:vAlign w:val="bottom"/>
          </w:tcPr>
          <w:p>
            <w:pPr>
              <w:spacing w:after="0"/>
              <w:rPr>
                <w:sz w:val="1"/>
                <w:szCs w:val="1"/>
                <w:color w:val="auto"/>
              </w:rPr>
            </w:pPr>
          </w:p>
        </w:tc>
      </w:tr>
      <w:tr>
        <w:trPr>
          <w:trHeight w:val="243"/>
        </w:trPr>
        <w:tc>
          <w:tcPr>
            <w:tcW w:w="344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51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19"/>
              <w:spacing w:after="0" w:line="243"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23"/>
                <w:szCs w:val="23"/>
                <w:b w:val="1"/>
                <w:bCs w:val="1"/>
                <w:color w:val="auto"/>
                <w:w w:val="99"/>
                <w:vertAlign w:val="superscript"/>
              </w:rPr>
              <w:t>(2)</w:t>
            </w:r>
          </w:p>
        </w:tc>
        <w:tc>
          <w:tcPr>
            <w:tcW w:w="12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cash bonus opportunity)</w:t>
            </w:r>
          </w:p>
        </w:tc>
        <w:tc>
          <w:tcPr>
            <w:tcW w:w="0" w:type="dxa"/>
            <w:vAlign w:val="bottom"/>
          </w:tcPr>
          <w:p>
            <w:pPr>
              <w:spacing w:after="0"/>
              <w:rPr>
                <w:sz w:val="1"/>
                <w:szCs w:val="1"/>
                <w:color w:val="auto"/>
              </w:rPr>
            </w:pPr>
          </w:p>
        </w:tc>
      </w:tr>
      <w:tr>
        <w:trPr>
          <w:trHeight w:val="371"/>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9"/>
                <w:szCs w:val="29"/>
                <w:color w:val="auto"/>
                <w:vertAlign w:val="superscript"/>
              </w:rPr>
              <w:t>(1)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0"/>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1540" w:type="dxa"/>
            <w:vAlign w:val="bottom"/>
            <w:gridSpan w:val="2"/>
          </w:tcPr>
          <w:p>
            <w:pPr>
              <w:jc w:val="right"/>
              <w:ind w:right="339"/>
              <w:spacing w:after="0"/>
              <w:rPr>
                <w:sz w:val="20"/>
                <w:szCs w:val="20"/>
                <w:color w:val="auto"/>
              </w:rPr>
            </w:pPr>
            <w:r>
              <w:rPr>
                <w:rFonts w:ascii="Times New Roman" w:cs="Times New Roman" w:eastAsia="Times New Roman" w:hAnsi="Times New Roman"/>
                <w:sz w:val="18"/>
                <w:szCs w:val="18"/>
                <w:color w:val="auto"/>
              </w:rPr>
              <w:t>$205,000</w:t>
            </w:r>
          </w:p>
        </w:tc>
        <w:tc>
          <w:tcPr>
            <w:tcW w:w="100" w:type="dxa"/>
            <w:vAlign w:val="bottom"/>
          </w:tcPr>
          <w:p>
            <w:pPr>
              <w:spacing w:after="0"/>
              <w:rPr>
                <w:sz w:val="23"/>
                <w:szCs w:val="23"/>
                <w:color w:val="auto"/>
              </w:rPr>
            </w:pPr>
          </w:p>
        </w:tc>
        <w:tc>
          <w:tcPr>
            <w:tcW w:w="1520" w:type="dxa"/>
            <w:vAlign w:val="bottom"/>
            <w:gridSpan w:val="2"/>
          </w:tcPr>
          <w:p>
            <w:pPr>
              <w:jc w:val="right"/>
              <w:ind w:right="339"/>
              <w:spacing w:after="0"/>
              <w:rPr>
                <w:sz w:val="20"/>
                <w:szCs w:val="20"/>
                <w:color w:val="auto"/>
              </w:rPr>
            </w:pPr>
            <w:r>
              <w:rPr>
                <w:rFonts w:ascii="Times New Roman" w:cs="Times New Roman" w:eastAsia="Times New Roman" w:hAnsi="Times New Roman"/>
                <w:sz w:val="18"/>
                <w:szCs w:val="18"/>
                <w:color w:val="auto"/>
              </w:rPr>
              <w:t>$181,425</w:t>
            </w:r>
          </w:p>
        </w:tc>
        <w:tc>
          <w:tcPr>
            <w:tcW w:w="120" w:type="dxa"/>
            <w:vAlign w:val="bottom"/>
          </w:tcPr>
          <w:p>
            <w:pPr>
              <w:spacing w:after="0"/>
              <w:rPr>
                <w:sz w:val="23"/>
                <w:szCs w:val="23"/>
                <w:color w:val="auto"/>
              </w:rPr>
            </w:pPr>
          </w:p>
        </w:tc>
        <w:tc>
          <w:tcPr>
            <w:tcW w:w="15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54"/>
        </w:trPr>
        <w:tc>
          <w:tcPr>
            <w:tcW w:w="3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4"/>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Duncan Grazier</w:t>
            </w:r>
            <w:r>
              <w:rPr>
                <w:rFonts w:ascii="Times New Roman" w:cs="Times New Roman" w:eastAsia="Times New Roman" w:hAnsi="Times New Roman"/>
                <w:sz w:val="29"/>
                <w:szCs w:val="29"/>
                <w:color w:val="auto"/>
                <w:vertAlign w:val="superscript"/>
              </w:rPr>
              <w:t>(2)</w:t>
            </w:r>
          </w:p>
        </w:tc>
        <w:tc>
          <w:tcPr>
            <w:tcW w:w="1540" w:type="dxa"/>
            <w:vAlign w:val="bottom"/>
            <w:gridSpan w:val="2"/>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$212,500</w:t>
            </w:r>
          </w:p>
        </w:tc>
        <w:tc>
          <w:tcPr>
            <w:tcW w:w="10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$188,062</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-685165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-685165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-685165</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ind w:left="640" w:hanging="348"/>
        <w:spacing w:after="0"/>
        <w:tabs>
          <w:tab w:leader="none" w:pos="6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was not eligible for a bonus in 2023 other than his signing bonus disclosed in the Summary Compensation Table below.</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2023 Cash Bonus for Mr. Grazier does not include a retention bonus in the amount of $200,000 paid to Mr. Grazier, as set forth in his retention bonus agreement described in the Form 8-K filed by the Company on October 6, 2023.</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9" w:name="page100"/>
    <w:bookmarkEnd w:id="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Going forward, we anticipate the Compensation Committee will design and adopt a similar cash bonus plan for our Named Executive Officers as part of its annual review of our executive compensation program.</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annual bonuses awarded to our Named Executive Officers for 2023 are set forth in the “Summary Compensation Table” below.</w:t>
      </w:r>
    </w:p>
    <w:p>
      <w:pPr>
        <w:spacing w:after="0" w:line="1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Long-Term Equity Incentive Compensation</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encounter significant competition for qualified personnel, and long-term incentive compensation plays a critical role in our ability to attract, hire, motivate, and reward qualified and experienced executives. The use of long -term incentive compensation in the form of equity awards is necessary for us to compete for qualified executives without significantly increasing cash compensation and is the most important element of our executive compensation program. We use equity awards to incentivize and reward our Named Executive Officers for long-term corporate performance based on the value of our Class A Common Stock and, thereby, align their interests with the interests of our stockholders. The realized value of these equity awards bears a direct relationship to our stock price, and, therefore, these awards are an incentive for our Named Executive Officers to create value for our stockholders. Equity awards also help us retain our Named Executive Officers in a highly competitive market.</w:t>
      </w:r>
    </w:p>
    <w:p>
      <w:pPr>
        <w:spacing w:after="0" w:line="80"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December 2021, we granted time-based RSU awards and PRSU awards, which may be settled for shares of our Class A Common Stock, to motivate and reward our Named Executive Officers for long-term increases in the value of our Class A Common Stock. Mr. Grazier was not a Named Executive Officer at the time, and received time-based RSU awards in August 2021 and March 2022 consistent with other non-executive employees. Mr. Francis did not receive any RSU awards in 2023 in his role as our Executive Chair. We view these equity awards, whether the awards are subject to time-based vesting requirements or are to be earned based on the attainment of specific performance objectives over a multi-year performance period, as inherently variable since the grant date fair value of these awards may not necessarily be indicative of their value when, and if, the stock underlying these awards vest or are earned. Because RSU awards have value to the recipient even in the absence of stock price appreciation, we believe that we are able to incentivize and retain our Named Executive Officers using fewer shares of our Class A Common Stock than would be necessary if we used stock options to provide an equity stake in the Company. Further, since the value of RSU awards increases with any increase in the value of the underlying shares, RSU awards also provide incentives to our Named Executive Officers that are aligned with the interests of our stockholders. We believe that PRSU awards also served as an effective source of motivation for our Named Executive Officers to drive our financial performance. In addition, PRSU awards provided a direct link between compensation and stockholder return, thereby motivating our Named Executive Officers to focus on and strive to achieve both our annual and long-term financial and strategic objectives.</w:t>
      </w:r>
    </w:p>
    <w:p>
      <w:pPr>
        <w:spacing w:after="0" w:line="8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Compensation Committee reviewed and determined the size of the equity awards of our current Named Executive Officers based on a formula that took into account each eligible Named Executive Officer’s position, qualifications, experience and a competitive market analysis prepared by its compensation consultant, and awarded time-based RSU awards to Mr. Grazier and Mr. Camire in September 2023. Based upon these factors, the Compensation Committee determined the size of each equity award at levels considered appropriate to create a meaningful opportunity for reward predicated on the creation of long-term stockholder value.</w:t>
      </w:r>
    </w:p>
    <w:p>
      <w:pPr>
        <w:spacing w:after="0" w:line="7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equity awards granted to our Named Executive Officers in 2023 under the WM Technology, Inc. 2021 Equity Incentive Plan (the “2021 Equity Plan”), were as follows:</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RSU Awards</w:t>
            </w: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RSU Awards</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PRSU Awards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PRSU Awards</w:t>
            </w: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10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48"/>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units)</w:t>
            </w:r>
          </w:p>
        </w:tc>
        <w:tc>
          <w:tcPr>
            <w:tcW w:w="260" w:type="dxa"/>
            <w:vAlign w:val="bottom"/>
          </w:tcPr>
          <w:p>
            <w:pPr>
              <w:spacing w:after="0"/>
              <w:rPr>
                <w:sz w:val="12"/>
                <w:szCs w:val="12"/>
                <w:color w:val="auto"/>
              </w:rPr>
            </w:pPr>
          </w:p>
        </w:tc>
        <w:tc>
          <w:tcPr>
            <w:tcW w:w="8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units)</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0"/>
        </w:trPr>
        <w:tc>
          <w:tcPr>
            <w:tcW w:w="4460" w:type="dxa"/>
            <w:vAlign w:val="bottom"/>
            <w:gridSpan w:val="2"/>
            <w:vMerge w:val="continue"/>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90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0"/>
        </w:trPr>
        <w:tc>
          <w:tcPr>
            <w:tcW w:w="4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Francis</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70"/>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Duncan Grazier</w:t>
            </w: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692,968</w:t>
            </w:r>
          </w:p>
        </w:tc>
        <w:tc>
          <w:tcPr>
            <w:tcW w:w="100" w:type="dxa"/>
            <w:vAlign w:val="bottom"/>
          </w:tcPr>
          <w:p>
            <w:pPr>
              <w:spacing w:after="0"/>
              <w:rPr>
                <w:sz w:val="23"/>
                <w:szCs w:val="23"/>
                <w:color w:val="auto"/>
              </w:rPr>
            </w:pPr>
          </w:p>
        </w:tc>
        <w:tc>
          <w:tcPr>
            <w:tcW w:w="98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$914,718</w:t>
            </w:r>
          </w:p>
        </w:tc>
        <w:tc>
          <w:tcPr>
            <w:tcW w:w="100" w:type="dxa"/>
            <w:vAlign w:val="bottom"/>
          </w:tcPr>
          <w:p>
            <w:pPr>
              <w:spacing w:after="0"/>
              <w:rPr>
                <w:sz w:val="23"/>
                <w:szCs w:val="23"/>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8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655,468</w:t>
            </w: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$865,218</w:t>
            </w: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54"/>
        </w:trPr>
        <w:tc>
          <w:tcPr>
            <w:tcW w:w="43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4848860</wp:posOffset>
            </wp:positionH>
            <wp:positionV relativeFrom="paragraph">
              <wp:posOffset>-633730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4214495</wp:posOffset>
            </wp:positionH>
            <wp:positionV relativeFrom="paragraph">
              <wp:posOffset>-633730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-633730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-633730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RSU Awards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RSU awards granted to Mr. Camire in 2021, and to Mr. Grazier and Mr. Camire in September 2023 each vest in equal quarterly installments over three years following the vesting commencement date, and vesting terminates upon the Named Executive Officer’s termination of continuous service with us. Each unit granted pursuant to these RSU awards represents a contingent right to receive one share of our Class A Common Stock for each unit that vests.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0" w:name="page101"/>
    <w:bookmarkEnd w:id="1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RSU awards originally granted to Mr. Grazier in August 2021 and March 2022 vest in equal quarterly installments over four years commencing on the first vest date (except that 25% of Mr. Grazier’s first grant vests on a one-year cliff first vest date), and vesting terminates upon Mr. Grazier’s termination of continuous service with us. Each unit granted pursuant to these RSU awards represents a contingent right to receive one share of our Class A Common Stock for each unit that vests. The RSU awards granted to Mr. Francis in previous years in his capacity as a director of the Company, are as described in the section entitled “Director Compensation” below.</w:t>
      </w:r>
    </w:p>
    <w:p>
      <w:pPr>
        <w:spacing w:after="0" w:line="3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PRSU Awards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PRSUs granted to Mr. Camire vested only if we achieved specified performance goals during the performance period beginning on January 1, 2022 and ending on December 31, 2023. The actual number of PRSUs vested was determined based upon the following calculation: (i) the sum of (A) the Revenue CAGR Percentage (as defined in the PRSU award agreement) multiplied by 0.75, plus (B) the Adjusted EBITDA Margin Percentage (as defined in the PRSU award agreement) multiplied by 0.25, then multiplied by (ii) the target Number of PRSUs granted to the Named Executive Officer, with the resulting number of PRSUs rounded down to the nearest whole unit.</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number of PRSUs that vested was determined by our Compensation Committee on May 23, 2024. Each eligible recipient must remain employed by us through the determination date for the PRSU award to vest.</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Threshold achievement of the Revenue CAGR performance metric would have resulted in a 50% Revenue CAGR Percentage, target achievement of the Revenue CAGR performance metric would have resulted in a 100% Revenue CAGR Percentage, and maximum achievement of the Revenue CAGR performance metric would have resulted in a 200% Revenue CAGR Percentage, with the Revenue CAGR Percentage interpolated linearly and rounded up the nearest percentage point between these level after threshold performance was attained.</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Threshold achievement of the Adjusted EBITDA Margin performance metric would have resulted in a 50% Adjusted EBITDA Margin Percentage, target achievement of the Adjusted EBITDA Margin performance metric would have resulted in a 100% Adjusted EBITDA Margin Percentage, and maximum achievement of the Adjusted EBITDA Margin performance metric would have resulted in a 200% Adjusted EBITDA Margin Percentage, with the Adjusted EBITDA Margin Percentage interpolated linearly and rounded up the nearest percentage point between these level after threshold performance is attained.</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During the performance period beginning on January 1, 2022 and ending on December 31, 2023, the Company did not achieve the threshold Revenue CAGR performance metric, resulting in a 0% Revenue CAGR Percentage and reached a 100% achievement of the Adjusted EBITDA Margin performance metric, representing a 100% Adjusted EBITDA Margin Percentage. In the aggregate, this resulted in vesting of 25% of the granted units for Mr. Camire.</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equity awards vested to our Named Executive Officers during the performance period are set forth in the “Summary Compensation Table” below.</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Health and Welfare Benefits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Named Executive Officers are generally eligible to participate in the same employee benefit plans, and on the same terms and conditions, as all our other eligible employees. These benefits include medical, dental, and vision insurance, vacation, personal holidays, and sick days, basic life insurance and supplemental life insurance, short-term and long-term disability insurance, and a Section 401(k) retirement savings plan. In addition, our executives are eligible for life insurance and disability benefits paid for by us.</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Section 401(k) Plan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maintain a tax-qualified Section 401(k) retirement savings plan (the “Section 401(k) Plan”) that provides our employees, including our Named Executive Officers, who satisfy certain eligibility requirements, with an opportunity to save for retirement on a tax advantaged basis. Eligible employees are able to participate in the Section 401(k) Plan as of the first day of the month following the day they complete three months of employment and participants are able to defer, either on a pre-tax basis or on an after-tax (Roth) basis through contributions to the Section 401(k) Plan, up to 90% of their eligible compensation, but within the limits prescribed by the Internal Revenue Code (the “Code”). All participants’ interests in their deferrals are 100% vested when contributed. Under the Section 401(k) Plan, we make matching contributions of 100% of each participant’s elective deferrals of the first 1% of such participant’s eligible compensation plus 50% of each participant’s elective deferrals of the next 2% to 6% of</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1" w:name="page102"/>
    <w:bookmarkEnd w:id="1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such participant’s eligible compensation, up to a maximum matching contribution of 3.5% of eligible compensation. The Section 401(k) Plan is intended to be qualified under Section 401(a) of the Code with the Section 401(k) Plan’s related trust intended to be tax exempt under Section 501(a) of the Code.</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believe these benefits are generally consistent with those offered by other companies and specifically those companies with which we compete for employees. 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3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Perquisites and Other Personal Benefits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Currently, we do not view perquisites or other personal benefits as a significant component of our executive compensation program. Accordingly, we do not generally provide perquisites or other personal benefits to our Named Executive Officers except as generally made available to our employees or in situations where we believe it is appropriate to assist an individual in the performance of his duties, to make them more efficient and effective, and for recruitment and retention purposes. During 2023, our Named Executive Officers did not receive perquisites or other personal benefits that were, in the aggregate, $10,000 or more for each individual.</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the future, we may provide perquisites or other personal benefits in limited circumstances, such as those described in the preceding paragraph. All future practices with respect to perquisites or other personal benefits will be approved and subject to periodic review by the Compensation Committee.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Equity Award Grant Policy</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Compensation Committee has adopted an equity award grant policy to ensure the integrity and efficiency of our equity award process. The Board has delegated to the Compensation Committee the express authority to serve as administrator of the 2021 Equity Plan, although such delegation of authority is not exclusive as the Board retains concurrent rights to grant equity awards under the 2021 Equity Plan.</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Compensation Committee has delegated to the Equity Grant Committee (which consists of our principal executive officer, General Counsel, and Chief Financial Officer) (the “EGC”) the nonexclusive authority to grant equity awards to employees who are not “officers” as defined in Rule 16a-1 of the Exchange Act. Further, the EGC may not grant any equity award to a member of the EGC, any member of the Board, or any consultant. At least annually, the EGC will provide the Compensation Committee with a report summarizing the equity awards granted by the EGC during the applicable period.</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It is also our intent that no equity awards will be backdated, nor will the timing of the public release of material information or of the grant of an equity award be manipulated with the intent of benefiting an award recipient.</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following table shows compensation awarded or paid to, or earned by, our Named Executive Officers with respect to the years ended 2023 and 2022. The amounts in the “Stock awards” column reflect our accounting expense for these equity awards, as further described in the footnotes to the table, and do not necessarily represent the actual economic value that was realized in the stated year or may be realized by the Named Executive Officers.</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For 2023, our Named Executive Officers were:</w:t>
      </w:r>
    </w:p>
    <w:p>
      <w:pPr>
        <w:spacing w:after="0" w:line="117" w:lineRule="exact"/>
        <w:rPr>
          <w:sz w:val="20"/>
          <w:szCs w:val="20"/>
          <w:color w:val="auto"/>
        </w:rPr>
      </w:pPr>
    </w:p>
    <w:p>
      <w:pPr>
        <w:ind w:left="1000" w:hanging="348"/>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Douglas Francis, our principal executive officer and Executive Chair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Camire, our General Counsel and Secretary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Duncan Grazier, our Chief Technology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2" w:name="page103"/>
    <w:bookmarkEnd w:id="102"/>
    <w:tbl>
      <w:tblPr>
        <w:tblLayout w:type="fixed"/>
        <w:tblInd w:w="300" w:type="dxa"/>
        <w:tblCellMar>
          <w:top w:w="0" w:type="dxa"/>
          <w:left w:w="0" w:type="dxa"/>
          <w:bottom w:w="0" w:type="dxa"/>
          <w:right w:w="0" w:type="dxa"/>
        </w:tblCellMar>
      </w:tblPr>
      <w:tr>
        <w:trPr>
          <w:trHeight w:val="161"/>
        </w:trPr>
        <w:tc>
          <w:tcPr>
            <w:tcW w:w="1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and</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nonqualified</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w:t>
            </w: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0" w:type="dxa"/>
            <w:vAlign w:val="bottom"/>
          </w:tcPr>
          <w:p>
            <w:pPr>
              <w:spacing w:after="0"/>
              <w:rPr>
                <w:sz w:val="1"/>
                <w:szCs w:val="1"/>
                <w:color w:val="auto"/>
              </w:rPr>
            </w:pPr>
          </w:p>
        </w:tc>
      </w:tr>
      <w:tr>
        <w:trPr>
          <w:trHeight w:val="148"/>
        </w:trPr>
        <w:tc>
          <w:tcPr>
            <w:tcW w:w="160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7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4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6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243"/>
        </w:trPr>
        <w:tc>
          <w:tcPr>
            <w:tcW w:w="1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Officer</w:t>
            </w:r>
          </w:p>
        </w:tc>
        <w:tc>
          <w:tcPr>
            <w:tcW w:w="460" w:type="dxa"/>
            <w:vAlign w:val="bottom"/>
            <w:vMerge w:val="continue"/>
          </w:tcPr>
          <w:p>
            <w:pPr>
              <w:spacing w:after="0"/>
              <w:rPr>
                <w:sz w:val="21"/>
                <w:szCs w:val="21"/>
                <w:color w:val="auto"/>
              </w:rPr>
            </w:pPr>
          </w:p>
        </w:tc>
        <w:tc>
          <w:tcPr>
            <w:tcW w:w="66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center"/>
              <w:ind w:right="68"/>
              <w:spacing w:after="0" w:line="243"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3"/>
                <w:szCs w:val="23"/>
                <w:b w:val="1"/>
                <w:bCs w:val="1"/>
                <w:color w:val="auto"/>
                <w:vertAlign w:val="superscript"/>
              </w:rPr>
              <w:t>(2)</w:t>
            </w:r>
          </w:p>
        </w:tc>
        <w:tc>
          <w:tcPr>
            <w:tcW w:w="700" w:type="dxa"/>
            <w:vAlign w:val="bottom"/>
          </w:tcPr>
          <w:p>
            <w:pPr>
              <w:jc w:val="center"/>
              <w:ind w:left="8"/>
              <w:spacing w:after="0" w:line="243"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(3)</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(4)</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40" w:type="dxa"/>
            <w:vAlign w:val="bottom"/>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3151505</wp:posOffset>
            </wp:positionH>
            <wp:positionV relativeFrom="paragraph">
              <wp:posOffset>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62" w:lineRule="exact"/>
        <w:rPr>
          <w:sz w:val="20"/>
          <w:szCs w:val="20"/>
          <w:color w:val="auto"/>
        </w:rPr>
      </w:pPr>
    </w:p>
    <w:p>
      <w:pPr>
        <w:sectPr>
          <w:pgSz w:w="11900" w:h="16838" w:orient="portrait"/>
          <w:cols w:equalWidth="0" w:num="2">
            <w:col w:w="7880" w:space="300"/>
            <w:col w:w="839"/>
          </w:cols>
          <w:pgMar w:left="1440" w:top="262" w:right="1440" w:bottom="1440" w:gutter="0" w:footer="0" w:header="0"/>
        </w:sectPr>
      </w:pPr>
    </w:p>
    <w:tbl>
      <w:tblPr>
        <w:tblLayout w:type="fixed"/>
        <w:tblInd w:w="300" w:type="dxa"/>
        <w:tblCellMar>
          <w:top w:w="0" w:type="dxa"/>
          <w:left w:w="0" w:type="dxa"/>
          <w:bottom w:w="0" w:type="dxa"/>
          <w:right w:w="0" w:type="dxa"/>
        </w:tblCellMar>
      </w:tblPr>
      <w:tr>
        <w:trPr>
          <w:trHeight w:val="277"/>
        </w:trPr>
        <w:tc>
          <w:tcPr>
            <w:tcW w:w="150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Francis,</w:t>
            </w:r>
          </w:p>
        </w:tc>
        <w:tc>
          <w:tcPr>
            <w:tcW w:w="60" w:type="dxa"/>
            <w:vAlign w:val="bottom"/>
            <w:tcBorders>
              <w:top w:val="single" w:sz="8" w:color="CCEEFF"/>
            </w:tcBorders>
            <w:vMerge w:val="restart"/>
            <w:shd w:val="clear" w:color="auto" w:fill="CCEEFF"/>
          </w:tcPr>
          <w:p>
            <w:pPr>
              <w:spacing w:after="0"/>
              <w:rPr>
                <w:sz w:val="24"/>
                <w:szCs w:val="24"/>
                <w:color w:val="auto"/>
              </w:rPr>
            </w:pPr>
          </w:p>
        </w:tc>
        <w:tc>
          <w:tcPr>
            <w:tcW w:w="6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2023</w:t>
            </w:r>
          </w:p>
        </w:tc>
        <w:tc>
          <w:tcPr>
            <w:tcW w:w="100" w:type="dxa"/>
            <w:vAlign w:val="bottom"/>
            <w:tcBorders>
              <w:top w:val="single" w:sz="8" w:color="CCEEFF"/>
            </w:tcBorders>
            <w:shd w:val="clear" w:color="auto" w:fill="CCEEFF"/>
          </w:tcPr>
          <w:p>
            <w:pPr>
              <w:spacing w:after="0"/>
              <w:rPr>
                <w:sz w:val="24"/>
                <w:szCs w:val="2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388,384</w:t>
            </w:r>
          </w:p>
        </w:tc>
        <w:tc>
          <w:tcPr>
            <w:tcW w:w="100" w:type="dxa"/>
            <w:vAlign w:val="bottom"/>
            <w:tcBorders>
              <w:top w:val="single" w:sz="8" w:color="CCEEFF"/>
            </w:tcBorders>
            <w:shd w:val="clear" w:color="auto" w:fill="CCEEFF"/>
          </w:tcPr>
          <w:p>
            <w:pPr>
              <w:spacing w:after="0"/>
              <w:rPr>
                <w:sz w:val="24"/>
                <w:szCs w:val="2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700,000</w:t>
            </w:r>
          </w:p>
        </w:tc>
        <w:tc>
          <w:tcPr>
            <w:tcW w:w="100" w:type="dxa"/>
            <w:vAlign w:val="bottom"/>
            <w:tcBorders>
              <w:top w:val="single" w:sz="8" w:color="CCEEFF"/>
            </w:tcBorders>
            <w:shd w:val="clear" w:color="auto" w:fill="CCEEFF"/>
          </w:tcPr>
          <w:p>
            <w:pPr>
              <w:spacing w:after="0"/>
              <w:rPr>
                <w:sz w:val="24"/>
                <w:szCs w:val="2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24"/>
                <w:szCs w:val="24"/>
                <w:color w:val="auto"/>
              </w:rPr>
            </w:pPr>
          </w:p>
        </w:tc>
        <w:tc>
          <w:tcPr>
            <w:tcW w:w="4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82,607</w:t>
            </w:r>
          </w:p>
        </w:tc>
        <w:tc>
          <w:tcPr>
            <w:tcW w:w="100" w:type="dxa"/>
            <w:vAlign w:val="bottom"/>
            <w:tcBorders>
              <w:top w:val="single" w:sz="8" w:color="CCEEFF"/>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1,170,991</w:t>
            </w:r>
          </w:p>
        </w:tc>
        <w:tc>
          <w:tcPr>
            <w:tcW w:w="0" w:type="dxa"/>
            <w:vAlign w:val="bottom"/>
          </w:tcPr>
          <w:p>
            <w:pPr>
              <w:spacing w:after="0"/>
              <w:rPr>
                <w:sz w:val="1"/>
                <w:szCs w:val="1"/>
                <w:color w:val="auto"/>
              </w:rPr>
            </w:pPr>
          </w:p>
        </w:tc>
      </w:tr>
      <w:tr>
        <w:trPr>
          <w:trHeight w:val="90"/>
        </w:trPr>
        <w:tc>
          <w:tcPr>
            <w:tcW w:w="1500" w:type="dxa"/>
            <w:vAlign w:val="bottom"/>
            <w:vMerge w:val="continue"/>
            <w:shd w:val="clear" w:color="auto" w:fill="CCEEFF"/>
          </w:tcPr>
          <w:p>
            <w:pPr>
              <w:spacing w:after="0"/>
              <w:rPr>
                <w:sz w:val="7"/>
                <w:szCs w:val="7"/>
                <w:color w:val="auto"/>
              </w:rPr>
            </w:pPr>
          </w:p>
        </w:tc>
        <w:tc>
          <w:tcPr>
            <w:tcW w:w="6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1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Executive Chair</w:t>
            </w:r>
          </w:p>
        </w:tc>
        <w:tc>
          <w:tcPr>
            <w:tcW w:w="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2022</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193,357</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69,701</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263,058</w:t>
            </w:r>
          </w:p>
        </w:tc>
        <w:tc>
          <w:tcPr>
            <w:tcW w:w="0" w:type="dxa"/>
            <w:vAlign w:val="bottom"/>
          </w:tcPr>
          <w:p>
            <w:pPr>
              <w:spacing w:after="0"/>
              <w:rPr>
                <w:sz w:val="1"/>
                <w:szCs w:val="1"/>
                <w:color w:val="auto"/>
              </w:rPr>
            </w:pPr>
          </w:p>
        </w:tc>
      </w:tr>
      <w:tr>
        <w:trPr>
          <w:trHeight w:val="252"/>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410,000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45,100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865,218</w:t>
            </w:r>
          </w:p>
        </w:tc>
        <w:tc>
          <w:tcPr>
            <w:tcW w:w="120" w:type="dxa"/>
            <w:vAlign w:val="bottom"/>
          </w:tcPr>
          <w:p>
            <w:pPr>
              <w:spacing w:after="0"/>
              <w:rPr>
                <w:sz w:val="21"/>
                <w:szCs w:val="21"/>
                <w:color w:val="auto"/>
              </w:rPr>
            </w:pP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136,325</w:t>
            </w:r>
          </w:p>
        </w:tc>
        <w:tc>
          <w:tcPr>
            <w:tcW w:w="100" w:type="dxa"/>
            <w:vAlign w:val="bottom"/>
          </w:tcPr>
          <w:p>
            <w:pPr>
              <w:spacing w:after="0"/>
              <w:rPr>
                <w:sz w:val="21"/>
                <w:szCs w:val="21"/>
                <w:color w:val="auto"/>
              </w:rPr>
            </w:pP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12,111</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1,468,754</w:t>
            </w:r>
          </w:p>
        </w:tc>
        <w:tc>
          <w:tcPr>
            <w:tcW w:w="0" w:type="dxa"/>
            <w:vAlign w:val="bottom"/>
          </w:tcPr>
          <w:p>
            <w:pPr>
              <w:spacing w:after="0"/>
              <w:rPr>
                <w:sz w:val="1"/>
                <w:szCs w:val="1"/>
                <w:color w:val="auto"/>
              </w:rPr>
            </w:pPr>
          </w:p>
        </w:tc>
      </w:tr>
      <w:tr>
        <w:trPr>
          <w:trHeight w:val="216"/>
        </w:trPr>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Counsel</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410,000</w:t>
            </w:r>
          </w:p>
        </w:tc>
        <w:tc>
          <w:tcPr>
            <w:tcW w:w="10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11,531</w:t>
            </w:r>
          </w:p>
        </w:tc>
        <w:tc>
          <w:tcPr>
            <w:tcW w:w="100" w:type="dxa"/>
            <w:vAlign w:val="bottom"/>
          </w:tcPr>
          <w:p>
            <w:pPr>
              <w:spacing w:after="0"/>
              <w:rPr>
                <w:sz w:val="18"/>
                <w:szCs w:val="18"/>
                <w:color w:val="auto"/>
              </w:rPr>
            </w:pPr>
          </w:p>
        </w:tc>
        <w:tc>
          <w:tcPr>
            <w:tcW w:w="9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13,384</w:t>
            </w:r>
          </w:p>
        </w:tc>
        <w:tc>
          <w:tcPr>
            <w:tcW w:w="10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434,915</w:t>
            </w:r>
          </w:p>
        </w:tc>
        <w:tc>
          <w:tcPr>
            <w:tcW w:w="0" w:type="dxa"/>
            <w:vAlign w:val="bottom"/>
          </w:tcPr>
          <w:p>
            <w:pPr>
              <w:spacing w:after="0"/>
              <w:rPr>
                <w:sz w:val="1"/>
                <w:szCs w:val="1"/>
                <w:color w:val="auto"/>
              </w:rPr>
            </w:pPr>
          </w:p>
        </w:tc>
      </w:tr>
      <w:tr>
        <w:trPr>
          <w:trHeight w:val="234"/>
        </w:trPr>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Secretary</w:t>
            </w:r>
          </w:p>
        </w:tc>
        <w:tc>
          <w:tcPr>
            <w:tcW w:w="420" w:type="dxa"/>
            <w:vAlign w:val="bottom"/>
            <w:gridSpan w:val="2"/>
            <w:vMerge w:val="continue"/>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Duncan Grazier,</w:t>
            </w: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2023</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391,779</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246,750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914,718</w:t>
            </w:r>
          </w:p>
        </w:tc>
        <w:tc>
          <w:tcPr>
            <w:tcW w:w="1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141,312</w:t>
            </w:r>
          </w:p>
        </w:tc>
        <w:tc>
          <w:tcPr>
            <w:tcW w:w="1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24,658</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1,719,217</w:t>
            </w:r>
          </w:p>
        </w:tc>
        <w:tc>
          <w:tcPr>
            <w:tcW w:w="0" w:type="dxa"/>
            <w:vAlign w:val="bottom"/>
          </w:tcPr>
          <w:p>
            <w:pPr>
              <w:spacing w:after="0"/>
              <w:rPr>
                <w:sz w:val="1"/>
                <w:szCs w:val="1"/>
                <w:color w:val="auto"/>
              </w:rPr>
            </w:pPr>
          </w:p>
        </w:tc>
      </w:tr>
      <w:tr>
        <w:trPr>
          <w:trHeight w:val="216"/>
        </w:trPr>
        <w:tc>
          <w:tcPr>
            <w:tcW w:w="1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Technology</w:t>
            </w:r>
          </w:p>
        </w:tc>
        <w:tc>
          <w:tcPr>
            <w:tcW w:w="6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2022</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394,221</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162,592</w:t>
            </w: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299,995</w:t>
            </w:r>
          </w:p>
        </w:tc>
        <w:tc>
          <w:tcPr>
            <w:tcW w:w="120" w:type="dxa"/>
            <w:vAlign w:val="bottom"/>
            <w:shd w:val="clear" w:color="auto" w:fill="CCEEFF"/>
          </w:tcPr>
          <w:p>
            <w:pPr>
              <w:spacing w:after="0"/>
              <w:rPr>
                <w:sz w:val="18"/>
                <w:szCs w:val="18"/>
                <w:color w:val="auto"/>
              </w:rPr>
            </w:pPr>
          </w:p>
        </w:tc>
        <w:tc>
          <w:tcPr>
            <w:tcW w:w="5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10,504</w:t>
            </w:r>
          </w:p>
        </w:tc>
        <w:tc>
          <w:tcPr>
            <w:tcW w:w="10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867,312</w:t>
            </w:r>
          </w:p>
        </w:tc>
        <w:tc>
          <w:tcPr>
            <w:tcW w:w="0" w:type="dxa"/>
            <w:vAlign w:val="bottom"/>
          </w:tcPr>
          <w:p>
            <w:pPr>
              <w:spacing w:after="0"/>
              <w:rPr>
                <w:sz w:val="1"/>
                <w:szCs w:val="1"/>
                <w:color w:val="auto"/>
              </w:rPr>
            </w:pPr>
          </w:p>
        </w:tc>
      </w:tr>
      <w:tr>
        <w:trPr>
          <w:trHeight w:val="234"/>
        </w:trPr>
        <w:tc>
          <w:tcPr>
            <w:tcW w:w="1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60" w:type="dxa"/>
            <w:vAlign w:val="bottom"/>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700" w:type="dxa"/>
            <w:vAlign w:val="bottom"/>
            <w:gridSpan w:val="2"/>
            <w:vMerge w:val="continue"/>
            <w:shd w:val="clear" w:color="auto" w:fill="CCEEFF"/>
          </w:tcPr>
          <w:p>
            <w:pPr>
              <w:spacing w:after="0"/>
              <w:rPr>
                <w:sz w:val="20"/>
                <w:szCs w:val="20"/>
                <w:color w:val="auto"/>
              </w:rPr>
            </w:pPr>
          </w:p>
        </w:tc>
        <w:tc>
          <w:tcPr>
            <w:tcW w:w="700" w:type="dxa"/>
            <w:vAlign w:val="bottom"/>
            <w:gridSpan w:val="2"/>
            <w:vMerge w:val="continue"/>
            <w:shd w:val="clear" w:color="auto" w:fill="CCEEFF"/>
          </w:tcPr>
          <w:p>
            <w:pPr>
              <w:spacing w:after="0"/>
              <w:rPr>
                <w:sz w:val="20"/>
                <w:szCs w:val="20"/>
                <w:color w:val="auto"/>
              </w:rPr>
            </w:pPr>
          </w:p>
        </w:tc>
        <w:tc>
          <w:tcPr>
            <w:tcW w:w="70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2" w:lineRule="exact"/>
        <w:rPr>
          <w:sz w:val="20"/>
          <w:szCs w:val="20"/>
          <w:color w:val="auto"/>
        </w:rPr>
      </w:pPr>
    </w:p>
    <w:p>
      <w:pPr>
        <w:jc w:val="both"/>
        <w:ind w:left="640" w:right="299" w:hanging="348"/>
        <w:spacing w:after="0" w:line="241" w:lineRule="auto"/>
        <w:tabs>
          <w:tab w:leader="none" w:pos="6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was not an employee in 2022 and began service as our principal executive officer on November 7, 2022. Mr. Francis became an employee on August 15, 2023; Mr. Grazier, formerly our Senior Vice President, Engineering, was appointed our Chief Technology Officer, effective December 5, 2022.</w:t>
      </w:r>
    </w:p>
    <w:p>
      <w:pPr>
        <w:spacing w:after="0" w:line="14" w:lineRule="exact"/>
        <w:rPr>
          <w:rFonts w:ascii="Times New Roman" w:cs="Times New Roman" w:eastAsia="Times New Roman" w:hAnsi="Times New Roman"/>
          <w:sz w:val="14"/>
          <w:szCs w:val="14"/>
          <w:color w:val="auto"/>
        </w:rPr>
      </w:pPr>
    </w:p>
    <w:p>
      <w:pPr>
        <w:jc w:val="both"/>
        <w:ind w:left="640" w:right="319" w:hanging="348"/>
        <w:spacing w:after="0" w:line="241" w:lineRule="auto"/>
        <w:tabs>
          <w:tab w:leader="none" w:pos="6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represent performance-based, discretionary cash bonuses including a signing bonus of $700,000 for Mr. Francis, a retention bonus of $200,000 for Mr. Grazier and additional bonuses for Mr. Camire and Mr. Grazier of $45,100 and $46,750, respectively, to account for their individual contributions, as described under “—Cash Bonuses—Cash Bonus Payments” above.</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grant date fair value of all time-based restricted stock unit (“RSU”) award in accordance with ASC 718. The grant date fair value of each RSU award was measured based on the per share closing price of our Class A Common Stock on the date of grant. The amounts reported do not correspond to the economic value received by each NEO from the equity award. For additional information regarding the market value of outstanding awards, see “Outstanding Equity Awards at Fiscal Year-end” below. For information regarding assumptions underlying the value of equity awards, see Note 14 to our consolidated financial statements included in our Annual Report on Form 10-K.</w:t>
      </w:r>
    </w:p>
    <w:p>
      <w:pPr>
        <w:spacing w:after="0" w:line="140"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paid under the short term incentive plan “STIP”). In September 2023, the Compensation Committee approved the 2023 STIP for the Named Executive Officers (other than Mr. Francis) based on performance against our Revenue (50% of the performance award), Adjusted EBITDA (50% of the performance award), and Cash (a minimum condition for any award) targets for FY23 in the same manner as the core bonus plan for the rest of the employees of the Company. There is no individual award component to the 2023 STIP. The value of the 2023 STIP could have ranged from $0 to, assuming the highest level of performance conditions were achieved, $307,500 for Mr. Camire and $318,750 for Mr. Grazier.</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include (i) group term life insurance premiums in excess of the broad-based benefit level of $280, $224 and $561 for 2023 for Messrs. Francis, Camire and Grazier, respectively and $0, $216, and $540 for 2022 for Messrs. Francis, Camire and Grazier, respectively;</w:t>
      </w:r>
    </w:p>
    <w:p>
      <w:pPr>
        <w:jc w:val="both"/>
        <w:ind w:left="640" w:right="299" w:firstLine="3"/>
        <w:spacing w:after="0" w:line="228" w:lineRule="auto"/>
        <w:tabs>
          <w:tab w:leader="none" w:pos="876" w:val="left"/>
        </w:tabs>
        <w:numPr>
          <w:ilvl w:val="1"/>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matching contributions under our 401(k) plan of $4,708, $11,327 and $11,550 for 2023 for Messrs. Francis, Camire and Grazier, respectively and $0, $10,288, $12,844 for 2022 for Messrs. Francis, Camire and Grazier; (iii) compensation for service as a member of our Board of $68,673 for 2023 and $69,701 for 2022, respectively for Mr. Francis as further described in the section entitled Director Compensation; (iv) compensation for legal fee reimbursement of $8,946 for 2023 for Mr. Francis; and (v) parental leave benefit of $13,106 in 2023 for Mr. Grazier.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103" w:name="page104"/>
    <w:bookmarkEnd w:id="1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shows certain information regarding outstanding equity awards for the Named Executive Officers as of December 31, 2023:</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6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8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87"/>
        </w:trPr>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awards:</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plan</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0"/>
              </w:rPr>
              <w:t>or</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plan</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6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8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5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of units</w:t>
            </w: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0" w:type="dxa"/>
            <w:vAlign w:val="bottom"/>
          </w:tcPr>
          <w:p>
            <w:pPr>
              <w:spacing w:after="0"/>
              <w:rPr>
                <w:sz w:val="1"/>
                <w:szCs w:val="1"/>
                <w:color w:val="auto"/>
              </w:rPr>
            </w:pPr>
          </w:p>
        </w:tc>
      </w:tr>
      <w:tr>
        <w:trPr>
          <w:trHeight w:val="148"/>
        </w:trPr>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3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Option</w:t>
            </w:r>
          </w:p>
        </w:tc>
        <w:tc>
          <w:tcPr>
            <w:tcW w:w="7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have</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have</w:t>
            </w: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that</w:t>
            </w:r>
          </w:p>
        </w:tc>
        <w:tc>
          <w:tcPr>
            <w:tcW w:w="0" w:type="dxa"/>
            <w:vAlign w:val="bottom"/>
          </w:tcPr>
          <w:p>
            <w:pPr>
              <w:spacing w:after="0"/>
              <w:rPr>
                <w:sz w:val="1"/>
                <w:szCs w:val="1"/>
                <w:color w:val="auto"/>
              </w:rPr>
            </w:pPr>
          </w:p>
        </w:tc>
      </w:tr>
      <w:tr>
        <w:trPr>
          <w:trHeight w:val="148"/>
        </w:trPr>
        <w:tc>
          <w:tcPr>
            <w:tcW w:w="94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5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700" w:type="dxa"/>
            <w:vAlign w:val="bottom"/>
            <w:gridSpan w:val="2"/>
            <w:vMerge w:val="continue"/>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8"/>
        </w:trPr>
        <w:tc>
          <w:tcPr>
            <w:tcW w:w="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Executive</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80" w:type="dxa"/>
            <w:vAlign w:val="bottom"/>
            <w:vMerge w:val="restart"/>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price</w:t>
            </w:r>
          </w:p>
        </w:tc>
        <w:tc>
          <w:tcPr>
            <w:tcW w:w="7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0" w:type="dxa"/>
            <w:vAlign w:val="bottom"/>
          </w:tcPr>
          <w:p>
            <w:pPr>
              <w:spacing w:after="0"/>
              <w:rPr>
                <w:sz w:val="1"/>
                <w:szCs w:val="1"/>
                <w:color w:val="auto"/>
              </w:rPr>
            </w:pPr>
          </w:p>
        </w:tc>
      </w:tr>
      <w:tr>
        <w:trPr>
          <w:trHeight w:val="243"/>
        </w:trPr>
        <w:tc>
          <w:tcPr>
            <w:tcW w:w="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Officer</w:t>
            </w:r>
          </w:p>
        </w:tc>
        <w:tc>
          <w:tcPr>
            <w:tcW w:w="8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Date</w:t>
            </w:r>
          </w:p>
        </w:tc>
        <w:tc>
          <w:tcPr>
            <w:tcW w:w="8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60" w:type="dxa"/>
            <w:vAlign w:val="bottom"/>
          </w:tcPr>
          <w:p>
            <w:pPr>
              <w:spacing w:after="0"/>
              <w:rPr>
                <w:sz w:val="21"/>
                <w:szCs w:val="21"/>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21"/>
                <w:szCs w:val="2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1"/>
                <w:szCs w:val="21"/>
                <w:color w:val="auto"/>
              </w:rPr>
            </w:pPr>
          </w:p>
        </w:tc>
        <w:tc>
          <w:tcPr>
            <w:tcW w:w="7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21"/>
                <w:szCs w:val="21"/>
                <w:color w:val="auto"/>
              </w:rPr>
            </w:pP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(1)</w:t>
            </w:r>
          </w:p>
        </w:tc>
        <w:tc>
          <w:tcPr>
            <w:tcW w:w="60" w:type="dxa"/>
            <w:vAlign w:val="bottom"/>
          </w:tcPr>
          <w:p>
            <w:pPr>
              <w:spacing w:after="0"/>
              <w:rPr>
                <w:sz w:val="21"/>
                <w:szCs w:val="2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1"/>
                <w:szCs w:val="21"/>
                <w:color w:val="auto"/>
              </w:rPr>
            </w:pP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(1)</w:t>
            </w:r>
          </w:p>
        </w:tc>
        <w:tc>
          <w:tcPr>
            <w:tcW w:w="0" w:type="dxa"/>
            <w:vAlign w:val="bottom"/>
          </w:tcPr>
          <w:p>
            <w:pPr>
              <w:spacing w:after="0"/>
              <w:rPr>
                <w:sz w:val="1"/>
                <w:szCs w:val="1"/>
                <w:color w:val="auto"/>
              </w:rPr>
            </w:pPr>
          </w:p>
        </w:tc>
      </w:tr>
      <w:tr>
        <w:trPr>
          <w:trHeight w:val="250"/>
        </w:trPr>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Douglas</w:t>
            </w:r>
          </w:p>
        </w:tc>
        <w:tc>
          <w:tcPr>
            <w:tcW w:w="80" w:type="dxa"/>
            <w:vAlign w:val="bottom"/>
            <w:tcBorders>
              <w:top w:val="single" w:sz="8" w:color="CCEEFF"/>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Francis</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8/26/2021</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10,094</w:t>
            </w:r>
          </w:p>
        </w:tc>
        <w:tc>
          <w:tcPr>
            <w:tcW w:w="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7,271</w:t>
            </w:r>
          </w:p>
        </w:tc>
        <w:tc>
          <w:tcPr>
            <w:tcW w:w="5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Brian</w:t>
            </w: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9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Camire</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12/11/2021</w:t>
            </w:r>
          </w:p>
        </w:tc>
        <w:tc>
          <w:tcPr>
            <w:tcW w:w="80" w:type="dxa"/>
            <w:vAlign w:val="bottom"/>
          </w:tcPr>
          <w:p>
            <w:pPr>
              <w:spacing w:after="0"/>
              <w:rPr>
                <w:sz w:val="18"/>
                <w:szCs w:val="18"/>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52,734</w:t>
            </w:r>
          </w:p>
        </w:tc>
        <w:tc>
          <w:tcPr>
            <w:tcW w:w="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37,984</w:t>
            </w:r>
          </w:p>
        </w:tc>
        <w:tc>
          <w:tcPr>
            <w:tcW w:w="0" w:type="dxa"/>
            <w:vAlign w:val="bottom"/>
          </w:tcPr>
          <w:p>
            <w:pPr>
              <w:spacing w:after="0"/>
              <w:rPr>
                <w:sz w:val="1"/>
                <w:szCs w:val="1"/>
                <w:color w:val="auto"/>
              </w:rPr>
            </w:pPr>
          </w:p>
        </w:tc>
      </w:tr>
      <w:tr>
        <w:trPr>
          <w:trHeight w:val="60"/>
        </w:trPr>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8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12/11/2021</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58,596</w:t>
            </w:r>
          </w:p>
        </w:tc>
        <w:tc>
          <w:tcPr>
            <w:tcW w:w="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42,207</w:t>
            </w:r>
          </w:p>
        </w:tc>
        <w:tc>
          <w:tcPr>
            <w:tcW w:w="5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9/30/2023</w:t>
            </w:r>
          </w:p>
        </w:tc>
        <w:tc>
          <w:tcPr>
            <w:tcW w:w="80" w:type="dxa"/>
            <w:vAlign w:val="bottom"/>
          </w:tcPr>
          <w:p>
            <w:pPr>
              <w:spacing w:after="0"/>
              <w:rPr>
                <w:sz w:val="21"/>
                <w:szCs w:val="21"/>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w w:val="99"/>
              </w:rPr>
              <w:t>600,846 432,789</w:t>
            </w: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8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12/8/2020</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185,933</w:t>
            </w:r>
          </w:p>
        </w:tc>
        <w:tc>
          <w:tcPr>
            <w:tcW w:w="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6"/>
                <w:szCs w:val="16"/>
                <w:color w:val="auto"/>
              </w:rPr>
              <w:t>61,976</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10</w:t>
            </w:r>
          </w:p>
        </w:tc>
        <w:tc>
          <w:tcPr>
            <w:tcW w:w="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11/12/2019</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433,840</w:t>
            </w:r>
          </w:p>
        </w:tc>
        <w:tc>
          <w:tcPr>
            <w:tcW w:w="6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8.03</w:t>
            </w: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Duncan</w:t>
            </w: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Grazier</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3/1/2022</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29,353</w:t>
            </w:r>
          </w:p>
        </w:tc>
        <w:tc>
          <w:tcPr>
            <w:tcW w:w="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21,143</w:t>
            </w:r>
          </w:p>
        </w:tc>
        <w:tc>
          <w:tcPr>
            <w:tcW w:w="5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9/30/2023</w:t>
            </w:r>
          </w:p>
        </w:tc>
        <w:tc>
          <w:tcPr>
            <w:tcW w:w="80" w:type="dxa"/>
            <w:vAlign w:val="bottom"/>
          </w:tcPr>
          <w:p>
            <w:pPr>
              <w:spacing w:after="0"/>
              <w:rPr>
                <w:sz w:val="21"/>
                <w:szCs w:val="21"/>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w w:val="99"/>
              </w:rPr>
              <w:t>635,221 457,550</w:t>
            </w: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8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8/30/2021</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35,553</w:t>
            </w:r>
          </w:p>
        </w:tc>
        <w:tc>
          <w:tcPr>
            <w:tcW w:w="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25,609</w:t>
            </w:r>
          </w:p>
        </w:tc>
        <w:tc>
          <w:tcPr>
            <w:tcW w:w="5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12/8/2020</w:t>
            </w:r>
          </w:p>
        </w:tc>
        <w:tc>
          <w:tcPr>
            <w:tcW w:w="80" w:type="dxa"/>
            <w:vAlign w:val="bottom"/>
          </w:tcPr>
          <w:p>
            <w:pPr>
              <w:spacing w:after="0"/>
              <w:rPr>
                <w:sz w:val="21"/>
                <w:szCs w:val="21"/>
                <w:color w:val="auto"/>
              </w:rPr>
            </w:pPr>
          </w:p>
        </w:tc>
        <w:tc>
          <w:tcPr>
            <w:tcW w:w="4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21"/>
                <w:szCs w:val="21"/>
                <w:color w:val="auto"/>
              </w:rPr>
            </w:pPr>
          </w:p>
        </w:tc>
        <w:tc>
          <w:tcPr>
            <w:tcW w:w="74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46,482</w:t>
            </w:r>
          </w:p>
        </w:tc>
        <w:tc>
          <w:tcPr>
            <w:tcW w:w="60" w:type="dxa"/>
            <w:vAlign w:val="bottom"/>
          </w:tcPr>
          <w:p>
            <w:pPr>
              <w:spacing w:after="0"/>
              <w:rPr>
                <w:sz w:val="21"/>
                <w:szCs w:val="21"/>
                <w:color w:val="auto"/>
              </w:rPr>
            </w:pPr>
          </w:p>
        </w:tc>
        <w:tc>
          <w:tcPr>
            <w:tcW w:w="820" w:type="dxa"/>
            <w:vAlign w:val="bottom"/>
          </w:tcPr>
          <w:p>
            <w:pPr>
              <w:jc w:val="right"/>
              <w:ind w:right="106"/>
              <w:spacing w:after="0"/>
              <w:rPr>
                <w:sz w:val="20"/>
                <w:szCs w:val="20"/>
                <w:color w:val="auto"/>
              </w:rPr>
            </w:pPr>
            <w:r>
              <w:rPr>
                <w:rFonts w:ascii="Times New Roman" w:cs="Times New Roman" w:eastAsia="Times New Roman" w:hAnsi="Times New Roman"/>
                <w:sz w:val="16"/>
                <w:szCs w:val="16"/>
                <w:color w:val="auto"/>
              </w:rPr>
              <w:t>15,495</w:t>
            </w: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10</w:t>
            </w: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12/10/2019</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61,977</w:t>
            </w: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8.03</w:t>
            </w:r>
          </w:p>
        </w:tc>
        <w:tc>
          <w:tcPr>
            <w:tcW w:w="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8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5123180</wp:posOffset>
            </wp:positionH>
            <wp:positionV relativeFrom="paragraph">
              <wp:posOffset>-2571115</wp:posOffset>
            </wp:positionV>
            <wp:extent cx="342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4711700</wp:posOffset>
            </wp:positionH>
            <wp:positionV relativeFrom="paragraph">
              <wp:posOffset>-2571115</wp:posOffset>
            </wp:positionV>
            <wp:extent cx="342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-2571115</wp:posOffset>
            </wp:positionV>
            <wp:extent cx="342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-2571115</wp:posOffset>
            </wp:positionV>
            <wp:extent cx="342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-2571115</wp:posOffset>
            </wp:positionV>
            <wp:extent cx="342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-2571115</wp:posOffset>
            </wp:positionV>
            <wp:extent cx="342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-2571115</wp:posOffset>
            </wp:positionV>
            <wp:extent cx="342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-2571115</wp:posOffset>
            </wp:positionV>
            <wp:extent cx="342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-2571115</wp:posOffset>
            </wp:positionV>
            <wp:extent cx="514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1265555</wp:posOffset>
            </wp:positionH>
            <wp:positionV relativeFrom="paragraph">
              <wp:posOffset>-2571115</wp:posOffset>
            </wp:positionV>
            <wp:extent cx="514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-2571115</wp:posOffset>
            </wp:positionV>
            <wp:extent cx="514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is based on the closing price of our common stock as of December 31, 2023 of $0.7203 per share.</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on June 16, 2024, subject to continued service with us.</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in seven equal quarterly installments beginning on February 15, 2024, subject to continued service with us.</w:t>
      </w:r>
    </w:p>
    <w:p>
      <w:pPr>
        <w:ind w:left="640" w:right="299" w:hanging="348"/>
        <w:spacing w:after="0" w:line="261" w:lineRule="auto"/>
        <w:tabs>
          <w:tab w:leader="none" w:pos="6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in nine equal quarterly installments beginning on February 15, 2024, subject to continued service with us.</w:t>
      </w:r>
    </w:p>
    <w:p>
      <w:pPr>
        <w:ind w:left="640" w:right="319" w:hanging="348"/>
        <w:spacing w:after="0" w:line="261" w:lineRule="auto"/>
        <w:tabs>
          <w:tab w:leader="none" w:pos="6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in eleven equal quarterly installments beginning on February 15, 2024, subject to continued service with us.</w:t>
      </w:r>
    </w:p>
    <w:p>
      <w:pPr>
        <w:ind w:left="640" w:right="299" w:hanging="348"/>
        <w:spacing w:after="0" w:line="261" w:lineRule="auto"/>
        <w:tabs>
          <w:tab w:leader="none" w:pos="6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in three equal quarterly installments beginning on February 15, 2024, subject to continued service with us.</w:t>
      </w:r>
    </w:p>
    <w:p>
      <w:pPr>
        <w:ind w:left="640" w:right="319" w:hanging="348"/>
        <w:spacing w:after="0" w:line="261" w:lineRule="auto"/>
        <w:tabs>
          <w:tab w:leader="none" w:pos="6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in eleven equal quarterly installments beginning on February 15, 2024, subject to continued service with us.</w:t>
      </w:r>
    </w:p>
    <w:p>
      <w:pPr>
        <w:jc w:val="both"/>
        <w:ind w:left="640" w:right="299" w:hanging="348"/>
        <w:spacing w:after="0" w:line="241" w:lineRule="auto"/>
        <w:tabs>
          <w:tab w:leader="none" w:pos="6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PRSU award vests on January 1, 2024 in accordance with the performance-based vesting conditions described above under “Equity-Based Incentive Awards.” The number of shares subject to each named executive officer’s PRSU award assumes threshold achievement, with the Adjusted EBITDA Margin Percentage deemed to equal 100% and Revenue CAGR Percentage deemed to equal 0%.</w:t>
      </w:r>
    </w:p>
    <w:p>
      <w:pPr>
        <w:spacing w:after="0" w:line="14"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Class P Unit award vests in four quarterly installments beginning on January 12, 2024, subject to continued service with us.</w:t>
      </w:r>
    </w:p>
    <w:p>
      <w:pPr>
        <w:ind w:left="640" w:right="299" w:hanging="348"/>
        <w:spacing w:after="0" w:line="261" w:lineRule="auto"/>
        <w:tabs>
          <w:tab w:leader="none" w:pos="64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Class P Unit award vests in four quarterly installments beginning on March 8, 2024, subject to continued service with us.</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 xml:space="preserve">For 2023, the compensation programs for our Named Executive Officers consisted of base salary, cash bonuses and equity-based incentive awards. Detailed information about these compensation programs can be found above in the section </w:t>
      </w:r>
      <w:r>
        <w:rPr>
          <w:rFonts w:ascii="Times New Roman" w:cs="Times New Roman" w:eastAsia="Times New Roman" w:hAnsi="Times New Roman"/>
          <w:sz w:val="18"/>
          <w:szCs w:val="18"/>
          <w:i w:val="1"/>
          <w:iCs w:val="1"/>
          <w:color w:val="auto"/>
        </w:rPr>
        <w:t>Executive Compensation – Compensation Elements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4" w:name="page105"/>
    <w:bookmarkEnd w:id="1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Employment Arrangements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Each of our Named Executive Officers, have entered into an offer letter with Ghost Management Group, LLC, which provides for employment on an at-will basis.</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Douglas Francis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Mr. Francis entered into an offer of continued employment with Ghost Management Group, LLC, dated August 15, 2023, reflecting his continued service as our Executive Chair. Pursuant to the terms of the offer letter, Mr. Francis’ annual base salary is $1,020,000, and he received a signing bonus of $700,000. Mr. Francis also is eligible to participate in the employee benefit plans generally available to our employees and maintained by us.</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Duncan Grazier</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Mr. Grazier previously entered into an offer letter with Ghost Management Group, LLC, dated August 20, 2019. Pursuant to the terms of the offer letter, Mr. Grazier’s annual base salary was $250,000 per year, which increased to $425,000 following his promotion to Chief Technology Officer. Mr. Grazier also was advanced a retention bonus in the amount of $200,000 pursuant to the retention bonus agreement entered into on October 2, 2023, as further described in the Form 8-K filed on October 6, 2023. Mr. Grazier also is eligible to participate in the employee benefit plans generally available to our employees and maintained by us.</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Brian Camire</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Mr. Camire previously entered into an offer letter with Ghost Management Group, LLC, dated April 4, 2019. Pursuant to the terms of the offer letter, Mr. Camire’s annual base salary was $350,000, which increased to $410,000 per year. Mr. Camire also is eligible to participate in the employee benefit plans generally available to our employees and maintained by us.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Each of Mr. Grazier and Mr. Camire is eligible to participate in the Severance Plan, which provides certain benefits. Mr. Francis is not a participant in the Severance Plan and did not have any severance benefits as of December 31, 2023.</w:t>
      </w:r>
    </w:p>
    <w:p>
      <w:pPr>
        <w:spacing w:after="0" w:line="6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Severance Plan provides for severance and change in control benefits to our Named Executive Officers upon a “change in control termination” or a “regular termination” (each, as described below). Upon a change in control termination, each of Mr. Grazier and Mr. Camire (our current Named Executive Officers eligible to participate in the Severance Plan) is entitled to (i) a lump sum payment equal to 12 months of his base salary, (ii) a lump sum payment equal to 100% of the Named Executive Officer’s annual target cash bonus, (iii) full vesting acceleration of all outstanding equity awards (with any performance-based vesting awards deemed achieved at target level), and</w:t>
      </w:r>
    </w:p>
    <w:p>
      <w:pPr>
        <w:spacing w:after="0" w:line="5" w:lineRule="exact"/>
        <w:rPr>
          <w:sz w:val="20"/>
          <w:szCs w:val="20"/>
          <w:color w:val="auto"/>
        </w:rPr>
      </w:pPr>
    </w:p>
    <w:p>
      <w:pPr>
        <w:jc w:val="both"/>
        <w:ind w:left="300" w:right="299" w:hanging="8"/>
        <w:spacing w:after="0" w:line="253" w:lineRule="auto"/>
        <w:tabs>
          <w:tab w:leader="none" w:pos="6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group health insurance premiums for 12 months. Upon a regular termination, each of Mr. Grazier and Mr. Camire is entitled to (i) continued payment of the Named Executive Officer’s base salary for 9 months, (ii) a lump sum payment equal to 75% of the Named Executive Officer’s annual target cash bonus, and (iii) payment of group health insurance premiums for 9 months. All benefits under the Severance Plan are subject to the Named Executive Officer’s execution of an effective release of claims against us.</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For purposes of the Severance Plan, a “change in control termination” is a termination by us without “cause” (and not as a result of death or disability) or a resignation by the Named Executive Officer for “good reason” (each, as defined in the Severance Plan), that occurs during the period of time beginning three months before the closing of, and ending 12 months following the closing of, a “change in control” (as defined in our 2021 Equity Plan), which we refer to as the “change in control period.” A “regular termination” is a termination by us without cause that does not occur during a change in control period. No benefits are payable pursuant to our Severance Plan in the event of a Named Executive Officer’s retirement or voluntary resignation (other than for Good Reason, as described above).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5" w:name="page106"/>
    <w:bookmarkEnd w:id="105"/>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The following table quantifies the amount of cash payments, continued health benefits, and the value of any equity acceleration our eligible Named Executive Officers would have received in connection with certain terminations of employment as if such termination of employment had occurred on December 31, 2023.</w:t>
      </w:r>
    </w:p>
    <w:p>
      <w:pPr>
        <w:spacing w:after="0" w:line="210" w:lineRule="exact"/>
        <w:rPr>
          <w:sz w:val="20"/>
          <w:szCs w:val="20"/>
          <w:color w:val="auto"/>
        </w:rPr>
      </w:pPr>
    </w:p>
    <w:tbl>
      <w:tblPr>
        <w:tblLayout w:type="fixed"/>
        <w:tblInd w:w="1300" w:type="dxa"/>
        <w:tblCellMar>
          <w:top w:w="0" w:type="dxa"/>
          <w:left w:w="0" w:type="dxa"/>
          <w:bottom w:w="0" w:type="dxa"/>
          <w:right w:w="0" w:type="dxa"/>
        </w:tblCellMar>
      </w:tblPr>
      <w:tr>
        <w:trPr>
          <w:trHeight w:val="187"/>
        </w:trPr>
        <w:tc>
          <w:tcPr>
            <w:tcW w:w="1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0" w:type="dxa"/>
            <w:vAlign w:val="bottom"/>
          </w:tcPr>
          <w:p>
            <w:pPr>
              <w:spacing w:after="0"/>
              <w:rPr>
                <w:sz w:val="16"/>
                <w:szCs w:val="16"/>
                <w:color w:val="auto"/>
              </w:rPr>
            </w:pPr>
          </w:p>
        </w:tc>
        <w:tc>
          <w:tcPr>
            <w:tcW w:w="7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Continued</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6"/>
                <w:szCs w:val="16"/>
                <w:color w:val="auto"/>
              </w:rPr>
            </w:pPr>
          </w:p>
        </w:tc>
        <w:tc>
          <w:tcPr>
            <w:tcW w:w="7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23"/>
                <w:szCs w:val="23"/>
                <w:b w:val="1"/>
                <w:bCs w:val="1"/>
                <w:color w:val="auto"/>
                <w:vertAlign w:val="superscript"/>
              </w:rPr>
              <w:t>(1)</w:t>
            </w:r>
          </w:p>
        </w:tc>
        <w:tc>
          <w:tcPr>
            <w:tcW w:w="60" w:type="dxa"/>
            <w:vAlign w:val="bottom"/>
            <w:vMerge w:val="restart"/>
          </w:tcPr>
          <w:p>
            <w:pPr>
              <w:spacing w:after="0"/>
              <w:rPr>
                <w:sz w:val="12"/>
                <w:szCs w:val="12"/>
                <w:color w:val="auto"/>
              </w:rPr>
            </w:pPr>
          </w:p>
        </w:tc>
        <w:tc>
          <w:tcPr>
            <w:tcW w:w="40" w:type="dxa"/>
            <w:vAlign w:val="bottom"/>
          </w:tcPr>
          <w:p>
            <w:pPr>
              <w:spacing w:after="0"/>
              <w:rPr>
                <w:sz w:val="12"/>
                <w:szCs w:val="12"/>
                <w:color w:val="auto"/>
              </w:rPr>
            </w:pPr>
          </w:p>
        </w:tc>
        <w:tc>
          <w:tcPr>
            <w:tcW w:w="2640" w:type="dxa"/>
            <w:vAlign w:val="bottom"/>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Triggering Event</w:t>
            </w: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Acceleration</w:t>
            </w: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720" w:type="dxa"/>
            <w:vAlign w:val="bottom"/>
            <w:tcBorders>
              <w:bottom w:val="single" w:sz="8" w:color="auto"/>
            </w:tcBorders>
            <w:vMerge w:val="continue"/>
          </w:tcPr>
          <w:p>
            <w:pPr>
              <w:spacing w:after="0"/>
              <w:rPr>
                <w:sz w:val="21"/>
                <w:szCs w:val="21"/>
                <w:color w:val="auto"/>
              </w:rPr>
            </w:pPr>
          </w:p>
        </w:tc>
        <w:tc>
          <w:tcPr>
            <w:tcW w:w="60" w:type="dxa"/>
            <w:vAlign w:val="bottom"/>
            <w:tcBorders>
              <w:bottom w:val="single" w:sz="8" w:color="CCEEFF"/>
            </w:tcBorders>
            <w:vMerge w:val="continue"/>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6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8"/>
                <w:szCs w:val="28"/>
                <w:b w:val="1"/>
                <w:bCs w:val="1"/>
                <w:color w:val="auto"/>
                <w:w w:val="88"/>
                <w:vertAlign w:val="subscript"/>
              </w:rPr>
              <w:t>($)</w:t>
            </w:r>
            <w:r>
              <w:rPr>
                <w:rFonts w:ascii="Times New Roman" w:cs="Times New Roman" w:eastAsia="Times New Roman" w:hAnsi="Times New Roman"/>
                <w:sz w:val="12"/>
                <w:szCs w:val="12"/>
                <w:b w:val="1"/>
                <w:bCs w:val="1"/>
                <w:color w:val="auto"/>
                <w:w w:val="88"/>
              </w:rPr>
              <w:t>(2)(3)</w:t>
            </w: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77"/>
        </w:trPr>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Duncan Grazier</w:t>
            </w:r>
          </w:p>
        </w:tc>
        <w:tc>
          <w:tcPr>
            <w:tcW w:w="40" w:type="dxa"/>
            <w:vAlign w:val="bottom"/>
            <w:shd w:val="clear" w:color="auto" w:fill="CCEEFF"/>
          </w:tcPr>
          <w:p>
            <w:pPr>
              <w:spacing w:after="0"/>
              <w:rPr>
                <w:sz w:val="24"/>
                <w:szCs w:val="24"/>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Involuntary Termination (non-CIC)</w:t>
            </w:r>
          </w:p>
        </w:tc>
        <w:tc>
          <w:tcPr>
            <w:tcW w:w="7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318,750</w:t>
            </w:r>
          </w:p>
        </w:tc>
        <w:tc>
          <w:tcPr>
            <w:tcW w:w="7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159,375</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24,151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502,276</w:t>
            </w:r>
          </w:p>
        </w:tc>
        <w:tc>
          <w:tcPr>
            <w:tcW w:w="0" w:type="dxa"/>
            <w:vAlign w:val="bottom"/>
          </w:tcPr>
          <w:p>
            <w:pPr>
              <w:spacing w:after="0"/>
              <w:rPr>
                <w:sz w:val="1"/>
                <w:szCs w:val="1"/>
                <w:color w:val="auto"/>
              </w:rPr>
            </w:pPr>
          </w:p>
        </w:tc>
      </w:tr>
      <w:tr>
        <w:trPr>
          <w:trHeight w:val="306"/>
        </w:trPr>
        <w:tc>
          <w:tcPr>
            <w:tcW w:w="17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Involuntary Termination during CIC</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17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w:t>
            </w:r>
          </w:p>
        </w:tc>
        <w:tc>
          <w:tcPr>
            <w:tcW w:w="7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425,000</w:t>
            </w:r>
          </w:p>
        </w:tc>
        <w:tc>
          <w:tcPr>
            <w:tcW w:w="7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212,500</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32,202</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504,301</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1,174,003</w:t>
            </w:r>
          </w:p>
        </w:tc>
        <w:tc>
          <w:tcPr>
            <w:tcW w:w="0" w:type="dxa"/>
            <w:vAlign w:val="bottom"/>
          </w:tcPr>
          <w:p>
            <w:pPr>
              <w:spacing w:after="0"/>
              <w:rPr>
                <w:sz w:val="1"/>
                <w:szCs w:val="1"/>
                <w:color w:val="auto"/>
              </w:rPr>
            </w:pPr>
          </w:p>
        </w:tc>
      </w:tr>
      <w:tr>
        <w:trPr>
          <w:trHeight w:val="270"/>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40" w:type="dxa"/>
            <w:vAlign w:val="bottom"/>
          </w:tcPr>
          <w:p>
            <w:pPr>
              <w:spacing w:after="0"/>
              <w:rPr>
                <w:sz w:val="23"/>
                <w:szCs w:val="23"/>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Involuntary Termination (non-CIC)</w:t>
            </w:r>
          </w:p>
        </w:tc>
        <w:tc>
          <w:tcPr>
            <w:tcW w:w="7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307,500</w:t>
            </w:r>
          </w:p>
        </w:tc>
        <w:tc>
          <w:tcPr>
            <w:tcW w:w="7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153,750</w:t>
            </w:r>
          </w:p>
        </w:tc>
        <w:tc>
          <w:tcPr>
            <w:tcW w:w="12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16,841</w:t>
            </w:r>
          </w:p>
        </w:tc>
        <w:tc>
          <w:tcPr>
            <w:tcW w:w="10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478,091</w:t>
            </w:r>
          </w:p>
        </w:tc>
        <w:tc>
          <w:tcPr>
            <w:tcW w:w="0" w:type="dxa"/>
            <w:vAlign w:val="bottom"/>
          </w:tcPr>
          <w:p>
            <w:pPr>
              <w:spacing w:after="0"/>
              <w:rPr>
                <w:sz w:val="1"/>
                <w:szCs w:val="1"/>
                <w:color w:val="auto"/>
              </w:rPr>
            </w:pPr>
          </w:p>
        </w:tc>
      </w:tr>
      <w:tr>
        <w:trPr>
          <w:trHeight w:val="306"/>
        </w:trPr>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w w:val="99"/>
              </w:rPr>
              <w:t>Involuntary Termination during CIC</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period</w:t>
            </w:r>
          </w:p>
        </w:tc>
        <w:tc>
          <w:tcPr>
            <w:tcW w:w="7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410,000</w:t>
            </w:r>
          </w:p>
        </w:tc>
        <w:tc>
          <w:tcPr>
            <w:tcW w:w="7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205,000</w:t>
            </w:r>
          </w:p>
        </w:tc>
        <w:tc>
          <w:tcPr>
            <w:tcW w:w="1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22,454</w:t>
            </w:r>
          </w:p>
        </w:tc>
        <w:tc>
          <w:tcPr>
            <w:tcW w:w="10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474,996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1,112,450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5612130</wp:posOffset>
            </wp:positionH>
            <wp:positionV relativeFrom="paragraph">
              <wp:posOffset>-1079500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5038090</wp:posOffset>
            </wp:positionH>
            <wp:positionV relativeFrom="paragraph">
              <wp:posOffset>-1079500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4549140</wp:posOffset>
            </wp:positionH>
            <wp:positionV relativeFrom="paragraph">
              <wp:posOffset>-1079500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4103370</wp:posOffset>
            </wp:positionH>
            <wp:positionV relativeFrom="paragraph">
              <wp:posOffset>-1079500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-1079500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1917700</wp:posOffset>
            </wp:positionH>
            <wp:positionV relativeFrom="paragraph">
              <wp:posOffset>-1079500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146050</wp:posOffset>
            </wp:positionV>
            <wp:extent cx="8229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ind w:left="1640" w:hanging="348"/>
        <w:spacing w:after="0"/>
        <w:tabs>
          <w:tab w:leader="none" w:pos="16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Mr. Francis, who was not a participant in the Severance Plan as of December 31, 2023.</w:t>
      </w:r>
    </w:p>
    <w:p>
      <w:pPr>
        <w:spacing w:after="0" w:line="41" w:lineRule="exact"/>
        <w:rPr>
          <w:rFonts w:ascii="Times New Roman" w:cs="Times New Roman" w:eastAsia="Times New Roman" w:hAnsi="Times New Roman"/>
          <w:sz w:val="14"/>
          <w:szCs w:val="14"/>
          <w:color w:val="auto"/>
        </w:rPr>
      </w:pPr>
    </w:p>
    <w:p>
      <w:pPr>
        <w:ind w:left="1640" w:right="1320" w:hanging="348"/>
        <w:spacing w:after="0" w:line="261" w:lineRule="auto"/>
        <w:tabs>
          <w:tab w:leader="none" w:pos="16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of equity acceleration is calculated based on the closing price of our common stock as of December 31, 2023 of $0.7203 per share.</w:t>
      </w:r>
    </w:p>
    <w:p>
      <w:pPr>
        <w:ind w:left="1640" w:hanging="348"/>
        <w:spacing w:after="0"/>
        <w:tabs>
          <w:tab w:leader="none" w:pos="16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remaining unvested RSU award vests on June 16, 2024, subject to continued service with us.</w:t>
      </w:r>
    </w:p>
    <w:p>
      <w:pPr>
        <w:spacing w:after="0" w:line="2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21" w:lineRule="exact"/>
        <w:rPr>
          <w:sz w:val="20"/>
          <w:szCs w:val="20"/>
          <w:color w:val="auto"/>
        </w:rPr>
      </w:pPr>
    </w:p>
    <w:p>
      <w:pPr>
        <w:jc w:val="both"/>
        <w:ind w:left="1300" w:right="1300"/>
        <w:spacing w:after="0" w:line="282" w:lineRule="auto"/>
        <w:rPr>
          <w:sz w:val="20"/>
          <w:szCs w:val="20"/>
          <w:color w:val="auto"/>
        </w:rPr>
      </w:pPr>
      <w:r>
        <w:rPr>
          <w:rFonts w:ascii="Times New Roman" w:cs="Times New Roman" w:eastAsia="Times New Roman" w:hAnsi="Times New Roman"/>
          <w:sz w:val="18"/>
          <w:szCs w:val="18"/>
          <w:color w:val="auto"/>
        </w:rPr>
        <w:t>Our Named Executive Officers did not participate in, or otherwise receive any benefits under, any pension or retirement plan sponsored by us during 2023 other than the 401(k) Plan.</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21" w:lineRule="exact"/>
        <w:rPr>
          <w:sz w:val="20"/>
          <w:szCs w:val="20"/>
          <w:color w:val="auto"/>
        </w:rPr>
      </w:pPr>
    </w:p>
    <w:p>
      <w:pPr>
        <w:jc w:val="both"/>
        <w:ind w:left="1300" w:right="1300"/>
        <w:spacing w:after="0" w:line="282" w:lineRule="auto"/>
        <w:rPr>
          <w:sz w:val="20"/>
          <w:szCs w:val="20"/>
          <w:color w:val="auto"/>
        </w:rPr>
      </w:pPr>
      <w:r>
        <w:rPr>
          <w:rFonts w:ascii="Times New Roman" w:cs="Times New Roman" w:eastAsia="Times New Roman" w:hAnsi="Times New Roman"/>
          <w:sz w:val="18"/>
          <w:szCs w:val="18"/>
          <w:color w:val="auto"/>
        </w:rPr>
        <w:t>In 2023, we adopted our Incentive Compensation Recoupment Policy in compliance with requirements under the Dodd Frank Wall Street Reform and Consumer Protection Act and related Nasdaq listing rules.</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w:t>
      </w:r>
    </w:p>
    <w:p>
      <w:pPr>
        <w:spacing w:after="0" w:line="121" w:lineRule="exact"/>
        <w:rPr>
          <w:sz w:val="20"/>
          <w:szCs w:val="20"/>
          <w:color w:val="auto"/>
        </w:rPr>
      </w:pPr>
    </w:p>
    <w:p>
      <w:pPr>
        <w:jc w:val="both"/>
        <w:ind w:left="1300" w:right="1300"/>
        <w:spacing w:after="0" w:line="258" w:lineRule="auto"/>
        <w:rPr>
          <w:sz w:val="20"/>
          <w:szCs w:val="20"/>
          <w:color w:val="auto"/>
        </w:rPr>
      </w:pPr>
      <w:r>
        <w:rPr>
          <w:rFonts w:ascii="Times New Roman" w:cs="Times New Roman" w:eastAsia="Times New Roman" w:hAnsi="Times New Roman"/>
          <w:sz w:val="18"/>
          <w:szCs w:val="18"/>
          <w:color w:val="auto"/>
        </w:rPr>
        <w:t>In 2023, we compensated our non-employee directors in accordance with a Non-Employee Director Compensation Policy established by our Compensation Committee in consultation with the Board, compensation consultants, Chief Executive Officer, and other members of our senior management team. The Non-Employee Director Compensation Policy is intended to provide a total compensation package that enables us to attract and retain, on a long-term basis, high-caliber directors who are not our employees or officers.</w:t>
      </w:r>
    </w:p>
    <w:p>
      <w:pPr>
        <w:spacing w:after="0" w:line="75" w:lineRule="exact"/>
        <w:rPr>
          <w:sz w:val="20"/>
          <w:szCs w:val="20"/>
          <w:color w:val="auto"/>
        </w:rPr>
      </w:pPr>
    </w:p>
    <w:p>
      <w:pPr>
        <w:jc w:val="both"/>
        <w:ind w:left="1300" w:right="1300"/>
        <w:spacing w:after="0" w:line="282" w:lineRule="auto"/>
        <w:rPr>
          <w:sz w:val="20"/>
          <w:szCs w:val="20"/>
          <w:color w:val="auto"/>
        </w:rPr>
      </w:pPr>
      <w:r>
        <w:rPr>
          <w:rFonts w:ascii="Times New Roman" w:cs="Times New Roman" w:eastAsia="Times New Roman" w:hAnsi="Times New Roman"/>
          <w:sz w:val="18"/>
          <w:szCs w:val="18"/>
          <w:color w:val="auto"/>
        </w:rPr>
        <w:t>The Non-Employee Director Compensation Policy was amended in 2023 with changes effective on 1/1/2023. The Non-Employee Director Compensation Policy that was effective for 2023 consisted of the following elements: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7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Non-Employee Director Compensation</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7820" w:type="dxa"/>
            <w:vAlign w:val="bottom"/>
            <w:gridSpan w:val="2"/>
            <w:vMerge w:val="continue"/>
          </w:tcPr>
          <w:p>
            <w:pPr>
              <w:spacing w:after="0"/>
              <w:rPr>
                <w:sz w:val="16"/>
                <w:szCs w:val="16"/>
                <w:color w:val="auto"/>
              </w:rPr>
            </w:pPr>
          </w:p>
        </w:tc>
        <w:tc>
          <w:tcPr>
            <w:tcW w:w="6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77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1300" w:type="dxa"/>
            <w:vAlign w:val="bottom"/>
          </w:tcPr>
          <w:p>
            <w:pPr>
              <w:spacing w:after="0"/>
              <w:rPr>
                <w:sz w:val="24"/>
                <w:szCs w:val="24"/>
                <w:color w:val="auto"/>
              </w:rPr>
            </w:pPr>
          </w:p>
        </w:tc>
        <w:tc>
          <w:tcPr>
            <w:tcW w:w="7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Annual Retainer for Board Membership</w:t>
            </w:r>
            <w:r>
              <w:rPr>
                <w:rFonts w:ascii="Times New Roman" w:cs="Times New Roman" w:eastAsia="Times New Roman" w:hAnsi="Times New Roman"/>
                <w:sz w:val="29"/>
                <w:szCs w:val="29"/>
                <w:b w:val="1"/>
                <w:bCs w:val="1"/>
                <w:color w:val="auto"/>
                <w:vertAlign w:val="superscript"/>
              </w:rPr>
              <w:t>(1)(2)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300" w:type="dxa"/>
            <w:vAlign w:val="bottom"/>
          </w:tcPr>
          <w:p>
            <w:pPr>
              <w:spacing w:after="0"/>
              <w:rPr>
                <w:sz w:val="24"/>
                <w:szCs w:val="24"/>
                <w:color w:val="auto"/>
              </w:rPr>
            </w:pPr>
          </w:p>
        </w:tc>
        <w:tc>
          <w:tcPr>
            <w:tcW w:w="78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New Director Grant of RSUs for New Non-Employee Directors</w:t>
            </w:r>
            <w:r>
              <w:rPr>
                <w:rFonts w:ascii="Times New Roman" w:cs="Times New Roman" w:eastAsia="Times New Roman" w:hAnsi="Times New Roman"/>
                <w:sz w:val="29"/>
                <w:szCs w:val="29"/>
                <w:b w:val="1"/>
                <w:bCs w:val="1"/>
                <w:color w:val="auto"/>
                <w:vertAlign w:val="superscript"/>
              </w:rPr>
              <w:t>(3)(4)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200,000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300" w:type="dxa"/>
            <w:vAlign w:val="bottom"/>
          </w:tcPr>
          <w:p>
            <w:pPr>
              <w:spacing w:after="0"/>
              <w:rPr>
                <w:sz w:val="24"/>
                <w:szCs w:val="24"/>
                <w:color w:val="auto"/>
              </w:rPr>
            </w:pPr>
          </w:p>
        </w:tc>
        <w:tc>
          <w:tcPr>
            <w:tcW w:w="7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Initial Term Grants for Existing Non-Employee Directors</w:t>
            </w:r>
            <w:r>
              <w:rPr>
                <w:rFonts w:ascii="Times New Roman" w:cs="Times New Roman" w:eastAsia="Times New Roman" w:hAnsi="Times New Roman"/>
                <w:sz w:val="29"/>
                <w:szCs w:val="29"/>
                <w:b w:val="1"/>
                <w:bCs w:val="1"/>
                <w:color w:val="auto"/>
                <w:vertAlign w:val="superscript"/>
              </w:rPr>
              <w:t>(4)(5)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200,000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300" w:type="dxa"/>
            <w:vAlign w:val="bottom"/>
          </w:tcPr>
          <w:p>
            <w:pPr>
              <w:spacing w:after="0"/>
              <w:rPr>
                <w:sz w:val="24"/>
                <w:szCs w:val="24"/>
                <w:color w:val="auto"/>
              </w:rPr>
            </w:pPr>
          </w:p>
        </w:tc>
        <w:tc>
          <w:tcPr>
            <w:tcW w:w="78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Annual RSU Grant for All Non-Employee Directors</w:t>
            </w:r>
            <w:r>
              <w:rPr>
                <w:rFonts w:ascii="Times New Roman" w:cs="Times New Roman" w:eastAsia="Times New Roman" w:hAnsi="Times New Roman"/>
                <w:sz w:val="29"/>
                <w:szCs w:val="29"/>
                <w:b w:val="1"/>
                <w:bCs w:val="1"/>
                <w:color w:val="auto"/>
                <w:vertAlign w:val="superscript"/>
              </w:rPr>
              <w:t>(5)(6)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200,000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78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Committee Additional Cash Retainer</w:t>
            </w:r>
          </w:p>
        </w:tc>
        <w:tc>
          <w:tcPr>
            <w:tcW w:w="60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300" w:type="dxa"/>
            <w:vAlign w:val="bottom"/>
          </w:tcPr>
          <w:p>
            <w:pPr>
              <w:spacing w:after="0"/>
              <w:rPr>
                <w:sz w:val="24"/>
                <w:szCs w:val="24"/>
                <w:color w:val="auto"/>
              </w:rPr>
            </w:pPr>
          </w:p>
        </w:tc>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Audit Committee Chairperson</w:t>
            </w:r>
            <w:r>
              <w:rPr>
                <w:rFonts w:ascii="Times New Roman" w:cs="Times New Roman" w:eastAsia="Times New Roman" w:hAnsi="Times New Roman"/>
                <w:sz w:val="29"/>
                <w:szCs w:val="29"/>
                <w:color w:val="auto"/>
                <w:vertAlign w:val="superscript"/>
              </w:rPr>
              <w:t>(1)(2)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300" w:type="dxa"/>
            <w:vAlign w:val="bottom"/>
          </w:tcPr>
          <w:p>
            <w:pPr>
              <w:spacing w:after="0"/>
              <w:rPr>
                <w:sz w:val="24"/>
                <w:szCs w:val="24"/>
                <w:color w:val="auto"/>
              </w:rPr>
            </w:pPr>
          </w:p>
        </w:tc>
        <w:tc>
          <w:tcPr>
            <w:tcW w:w="7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Audit Committee member (other than Chairperson)</w:t>
            </w:r>
            <w:r>
              <w:rPr>
                <w:rFonts w:ascii="Times New Roman" w:cs="Times New Roman" w:eastAsia="Times New Roman" w:hAnsi="Times New Roman"/>
                <w:sz w:val="29"/>
                <w:szCs w:val="29"/>
                <w:color w:val="auto"/>
                <w:vertAlign w:val="superscript"/>
              </w:rPr>
              <w:t>(1)(2)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300" w:type="dxa"/>
            <w:vAlign w:val="bottom"/>
          </w:tcPr>
          <w:p>
            <w:pPr>
              <w:spacing w:after="0"/>
              <w:rPr>
                <w:sz w:val="24"/>
                <w:szCs w:val="24"/>
                <w:color w:val="auto"/>
              </w:rPr>
            </w:pPr>
          </w:p>
        </w:tc>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Compensation Committee Chairperson</w:t>
            </w:r>
            <w:r>
              <w:rPr>
                <w:rFonts w:ascii="Times New Roman" w:cs="Times New Roman" w:eastAsia="Times New Roman" w:hAnsi="Times New Roman"/>
                <w:sz w:val="29"/>
                <w:szCs w:val="29"/>
                <w:color w:val="auto"/>
                <w:vertAlign w:val="superscript"/>
              </w:rPr>
              <w:t>(1)(2)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300" w:type="dxa"/>
            <w:vAlign w:val="bottom"/>
          </w:tcPr>
          <w:p>
            <w:pPr>
              <w:spacing w:after="0"/>
              <w:rPr>
                <w:sz w:val="24"/>
                <w:szCs w:val="24"/>
                <w:color w:val="auto"/>
              </w:rPr>
            </w:pPr>
          </w:p>
        </w:tc>
        <w:tc>
          <w:tcPr>
            <w:tcW w:w="7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Compensation Committee member (other than Chairperson)</w:t>
            </w:r>
            <w:r>
              <w:rPr>
                <w:rFonts w:ascii="Times New Roman" w:cs="Times New Roman" w:eastAsia="Times New Roman" w:hAnsi="Times New Roman"/>
                <w:sz w:val="29"/>
                <w:szCs w:val="29"/>
                <w:color w:val="auto"/>
                <w:vertAlign w:val="superscript"/>
              </w:rPr>
              <w:t>(1)(2)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300" w:type="dxa"/>
            <w:vAlign w:val="bottom"/>
          </w:tcPr>
          <w:p>
            <w:pPr>
              <w:spacing w:after="0"/>
              <w:rPr>
                <w:sz w:val="24"/>
                <w:szCs w:val="24"/>
                <w:color w:val="auto"/>
              </w:rPr>
            </w:pPr>
          </w:p>
        </w:tc>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Nominating and Corporate Governance Committee Chairperson</w:t>
            </w:r>
            <w:r>
              <w:rPr>
                <w:rFonts w:ascii="Times New Roman" w:cs="Times New Roman" w:eastAsia="Times New Roman" w:hAnsi="Times New Roman"/>
                <w:sz w:val="29"/>
                <w:szCs w:val="29"/>
                <w:color w:val="auto"/>
                <w:vertAlign w:val="superscript"/>
              </w:rPr>
              <w:t>(1)(2)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300" w:type="dxa"/>
            <w:vAlign w:val="bottom"/>
          </w:tcPr>
          <w:p>
            <w:pPr>
              <w:spacing w:after="0"/>
              <w:rPr>
                <w:sz w:val="24"/>
                <w:szCs w:val="24"/>
                <w:color w:val="auto"/>
              </w:rPr>
            </w:pPr>
          </w:p>
        </w:tc>
        <w:tc>
          <w:tcPr>
            <w:tcW w:w="7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Nominating and Corporate Governance Committee member (other than Chairperson)</w:t>
            </w:r>
            <w:r>
              <w:rPr>
                <w:rFonts w:ascii="Times New Roman" w:cs="Times New Roman" w:eastAsia="Times New Roman" w:hAnsi="Times New Roman"/>
                <w:sz w:val="29"/>
                <w:szCs w:val="29"/>
                <w:color w:val="auto"/>
                <w:vertAlign w:val="superscript"/>
              </w:rPr>
              <w:t>(1)(2)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300" w:type="dxa"/>
            <w:vAlign w:val="bottom"/>
          </w:tcPr>
          <w:p>
            <w:pPr>
              <w:spacing w:after="0"/>
              <w:rPr>
                <w:sz w:val="24"/>
                <w:szCs w:val="24"/>
                <w:color w:val="auto"/>
              </w:rPr>
            </w:pPr>
          </w:p>
        </w:tc>
        <w:tc>
          <w:tcPr>
            <w:tcW w:w="78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Technology Committee Chairperson</w:t>
            </w:r>
            <w:r>
              <w:rPr>
                <w:rFonts w:ascii="Times New Roman" w:cs="Times New Roman" w:eastAsia="Times New Roman" w:hAnsi="Times New Roman"/>
                <w:sz w:val="29"/>
                <w:szCs w:val="29"/>
                <w:color w:val="auto"/>
                <w:vertAlign w:val="superscript"/>
              </w:rPr>
              <w:t>(1)(2)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300" w:type="dxa"/>
            <w:vAlign w:val="bottom"/>
          </w:tcPr>
          <w:p>
            <w:pPr>
              <w:spacing w:after="0"/>
              <w:rPr>
                <w:sz w:val="24"/>
                <w:szCs w:val="24"/>
                <w:color w:val="auto"/>
              </w:rPr>
            </w:pPr>
          </w:p>
        </w:tc>
        <w:tc>
          <w:tcPr>
            <w:tcW w:w="78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 Committee member(other than Chairperson)</w:t>
            </w:r>
            <w:r>
              <w:rPr>
                <w:rFonts w:ascii="Times New Roman" w:cs="Times New Roman" w:eastAsia="Times New Roman" w:hAnsi="Times New Roman"/>
                <w:sz w:val="29"/>
                <w:szCs w:val="29"/>
                <w:color w:val="auto"/>
                <w:vertAlign w:val="superscript"/>
              </w:rPr>
              <w:t>(1)(2)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040" w:type="dxa"/>
            <w:vAlign w:val="bottom"/>
            <w:gridSpan w:val="2"/>
          </w:tcPr>
          <w:p>
            <w:pPr>
              <w:jc w:val="right"/>
              <w:ind w:right="3351"/>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7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5741035</wp:posOffset>
            </wp:positionH>
            <wp:positionV relativeFrom="paragraph">
              <wp:posOffset>-3402330</wp:posOffset>
            </wp:positionV>
            <wp:extent cx="514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020"/>
          </w:cols>
          <w:pgMar w:left="440" w:top="263" w:right="439" w:bottom="1027" w:gutter="0" w:footer="0" w:header="0"/>
        </w:sectPr>
      </w:pPr>
    </w:p>
    <w:bookmarkStart w:id="106" w:name="page107"/>
    <w:bookmarkEnd w:id="106"/>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6300" w:type="dxa"/>
            <w:vAlign w:val="bottom"/>
            <w:gridSpan w:val="2"/>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78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Non-Employee Director Compensation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0"/>
        </w:trPr>
        <w:tc>
          <w:tcPr>
            <w:tcW w:w="7840" w:type="dxa"/>
            <w:vAlign w:val="bottom"/>
            <w:gridSpan w:val="3"/>
            <w:vMerge w:val="continue"/>
          </w:tcPr>
          <w:p>
            <w:pPr>
              <w:spacing w:after="0"/>
              <w:rPr>
                <w:sz w:val="16"/>
                <w:szCs w:val="16"/>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51"/>
        </w:trPr>
        <w:tc>
          <w:tcPr>
            <w:tcW w:w="1540" w:type="dxa"/>
            <w:vAlign w:val="bottom"/>
            <w:tcBorders>
              <w:bottom w:val="single" w:sz="8" w:color="auto"/>
            </w:tcBorders>
          </w:tcPr>
          <w:p>
            <w:pPr>
              <w:spacing w:after="0"/>
              <w:rPr>
                <w:sz w:val="4"/>
                <w:szCs w:val="4"/>
                <w:color w:val="auto"/>
              </w:rPr>
            </w:pPr>
          </w:p>
        </w:tc>
        <w:tc>
          <w:tcPr>
            <w:tcW w:w="62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72"/>
        </w:trPr>
        <w:tc>
          <w:tcPr>
            <w:tcW w:w="78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Annual Retainer for Chairperson of the Board (if a Non-Employee Director)</w:t>
            </w:r>
            <w:r>
              <w:rPr>
                <w:rFonts w:ascii="Times New Roman" w:cs="Times New Roman" w:eastAsia="Times New Roman" w:hAnsi="Times New Roman"/>
                <w:sz w:val="29"/>
                <w:szCs w:val="29"/>
                <w:color w:val="auto"/>
                <w:vertAlign w:val="superscript"/>
              </w:rPr>
              <w:t>(1)(2)</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364"/>
        </w:trPr>
        <w:tc>
          <w:tcPr>
            <w:tcW w:w="78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Additional Annual Retainer for Lead Independent Director</w:t>
            </w:r>
            <w:r>
              <w:rPr>
                <w:rFonts w:ascii="Times New Roman" w:cs="Times New Roman" w:eastAsia="Times New Roman" w:hAnsi="Times New Roman"/>
                <w:sz w:val="29"/>
                <w:szCs w:val="29"/>
                <w:color w:val="auto"/>
                <w:vertAlign w:val="superscript"/>
              </w:rPr>
              <w:t>(1)(2)</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364"/>
        </w:trPr>
        <w:tc>
          <w:tcPr>
            <w:tcW w:w="78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Meeting Fees for each Director</w:t>
            </w:r>
            <w:r>
              <w:rPr>
                <w:rFonts w:ascii="Times New Roman" w:cs="Times New Roman" w:eastAsia="Times New Roman" w:hAnsi="Times New Roman"/>
                <w:sz w:val="29"/>
                <w:szCs w:val="29"/>
                <w:color w:val="auto"/>
                <w:vertAlign w:val="superscript"/>
              </w:rPr>
              <w:t>(7)</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-710565</wp:posOffset>
            </wp:positionV>
            <wp:extent cx="514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171450</wp:posOffset>
            </wp:positionV>
            <wp:extent cx="8229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95" w:lineRule="exact"/>
        <w:rPr>
          <w:sz w:val="20"/>
          <w:szCs w:val="20"/>
          <w:color w:val="auto"/>
        </w:rPr>
      </w:pPr>
    </w:p>
    <w:p>
      <w:pPr>
        <w:ind w:left="640" w:right="319" w:hanging="348"/>
        <w:spacing w:after="0" w:line="261" w:lineRule="auto"/>
        <w:tabs>
          <w:tab w:leader="none" w:pos="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Vested upon payment and paid in arrears on the last business day of each fiscal quarter in which the Non -Employee Director’s service occurred.</w:t>
      </w:r>
    </w:p>
    <w:p>
      <w:pPr>
        <w:jc w:val="both"/>
        <w:ind w:left="640" w:right="299" w:hanging="348"/>
        <w:spacing w:after="0" w:line="241" w:lineRule="auto"/>
        <w:tabs>
          <w:tab w:leader="none" w:pos="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Non-Employee Director joins the Board or a committee of the Board at a time other than effective as of the first day of a fiscal quarter, this annual retainer will be pro-rated based on days served in the applicable fiscal year, with the pro-rated amount paid for the first fiscal quarter in which the Non-Employee Director provides the service, and regular full quarterly payments thereafter.</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Non-Employee Director elected or appointed to be a Non-Employee Director for the first time will receive an initial one-time RSU grant (the “New Director Grant”) with an aggregate value of approximately (i) $200,000 multiplied by the ratio of (A) the number of calendar months between their commencement date and the first anniversary of the date of our most recent annual meeting of our stockholders, rounded up to the nearest whole number, and (B) 12, plus (ii) $200,000 multiplied by the number of whole calendar years remaining on their initial term. The portion of the grant described in clause (i) of the prior sentence will vest on the date of the next annual meeting of our stockholders (the “First Meeting Date”) and the portion of the grant described in clause (ii) of the prior sentence, if any, will vest in equal annual installments on the date of each annual meeting of our stockholders (an “Annual Meeting Date”) following the First Meeting Date that is part of their initial term.</w:t>
      </w:r>
    </w:p>
    <w:p>
      <w:pPr>
        <w:spacing w:after="0" w:line="115" w:lineRule="exact"/>
        <w:rPr>
          <w:rFonts w:ascii="Times New Roman" w:cs="Times New Roman" w:eastAsia="Times New Roman" w:hAnsi="Times New Roman"/>
          <w:sz w:val="14"/>
          <w:szCs w:val="14"/>
          <w:color w:val="auto"/>
        </w:rPr>
      </w:pPr>
    </w:p>
    <w:p>
      <w:pPr>
        <w:jc w:val="both"/>
        <w:ind w:left="640" w:right="299" w:hanging="348"/>
        <w:spacing w:after="0" w:line="227" w:lineRule="auto"/>
        <w:tabs>
          <w:tab w:leader="none" w:pos="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vesting is subject to the Non-Employee Director’s Continuous Service (as defined in the 2021 Equity Plan) through the applicable vesting date. In the event of a change of control (as defined in the 2021 Equity Plan), any unvested portion of an equity award granted to our Non-Employee Directors pursuant to the Non-Employee Director Compensation Policy shall vest as follows: (i) the portion of each New Director Grant held by such Non-Employee Director that, if the change in control had not occurred, would have vested at each of the next two Annual Meeting Dates following the closing date will, immediately prior to the closing, accelerate and become vested; (ii) the portion of each Initial Term Grant held by such Non-Employee Director that, if the change in control had not occurred, would have vested at the next Annual Meeting Date following the closing date will, immediately prior to the closing, accelerate and become vested; and (iii) the portion of each Renewal Term Grant held by such Non-Employee Director that, if the change in control had not occurred, would have vested at the next Annual Meeting Date following the closing date will, immediately prior to the closing, accelerate and become vested.</w:t>
      </w:r>
    </w:p>
    <w:p>
      <w:pPr>
        <w:spacing w:after="0" w:line="20"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1, 2023, each Non-Employee Director who was then in office automatically received a one-time grant of restricted stock units (each, an “Initial Term Grant”) with an aggregate value of approximately $200,000 multiplied by the number of whole calendar years remaining on the Non-Employee Director’s term. Each Initial Term Grant will vest in equal annual installments on the date of each remaining Annual Meeting Date following the First Meeting Date subsequent to the effectiveness of the Initial Term Grant that is part of the Non-Employee Directors current term. The Initial Term Grant may only be granted once to any Non-Employee Director.</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close of business on the date of each annual meeting of our stockholders, each Non-Employee Director who will continue as a member of the Board following the date of such annual meeting of our stockholders will receive an RSU grant (the “Renewal Term Grant”) with an aggregate value of approximately $600,000, that vests in three equal annual installments over the next three Annual Meeting Dates.</w:t>
      </w:r>
    </w:p>
    <w:p>
      <w:pPr>
        <w:spacing w:after="0" w:line="14" w:lineRule="exact"/>
        <w:rPr>
          <w:rFonts w:ascii="Times New Roman" w:cs="Times New Roman" w:eastAsia="Times New Roman" w:hAnsi="Times New Roman"/>
          <w:sz w:val="14"/>
          <w:szCs w:val="14"/>
          <w:color w:val="auto"/>
        </w:rPr>
      </w:pPr>
    </w:p>
    <w:p>
      <w:pPr>
        <w:jc w:val="both"/>
        <w:ind w:left="640" w:right="319" w:hanging="348"/>
        <w:spacing w:after="0"/>
        <w:tabs>
          <w:tab w:leader="none" w:pos="6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Outside Director who attends more than eight (8) meetings of (i) the Board plus (ii) any ad hoc or special committee meetings not named in I.(b) above during any calendar year will receive an additional $1,000 for each meeting attended in the calendar year in excess of eight (8). Any Outside Director who attends more than eight (8) meetings of any Committee named in I.(b) above on which that Outside Director serves during any calendar year will receive $1,000 for each meeting of that Committee attended in the calendar year in excess of eight (8).</w:t>
      </w:r>
    </w:p>
    <w:p>
      <w:pPr>
        <w:spacing w:after="0" w:line="21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following table shows certain information with respect to the compensation of all non-employee directors of the Company in 2023. These amounts reflect our accounting expense for these RSUs, as further described in the footnotes to the table, and do not represent the actual economic value that was realized in 2023 or may be realized upon vesting by the non-employee director.</w:t>
      </w:r>
    </w:p>
    <w:p>
      <w:pPr>
        <w:sectPr>
          <w:pgSz w:w="11900" w:h="16838" w:orient="portrait"/>
          <w:cols w:equalWidth="0" w:num="1">
            <w:col w:w="9019"/>
          </w:cols>
          <w:pgMar w:left="1440" w:top="262" w:right="1440" w:bottom="1440" w:gutter="0" w:footer="0" w:header="0"/>
        </w:sectPr>
      </w:pPr>
    </w:p>
    <w:p>
      <w:pPr>
        <w:spacing w:after="0" w:line="35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40" w:type="dxa"/>
            <w:vAlign w:val="bottom"/>
          </w:tcPr>
          <w:p>
            <w:pPr>
              <w:spacing w:after="0"/>
              <w:rPr>
                <w:sz w:val="13"/>
                <w:szCs w:val="13"/>
                <w:color w:val="auto"/>
              </w:rPr>
            </w:pPr>
          </w:p>
        </w:tc>
        <w:tc>
          <w:tcPr>
            <w:tcW w:w="2060" w:type="dxa"/>
            <w:vAlign w:val="bottom"/>
          </w:tcPr>
          <w:p>
            <w:pPr>
              <w:jc w:val="center"/>
              <w:ind w:left="1028"/>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580" w:type="dxa"/>
            <w:vAlign w:val="bottom"/>
            <w:vMerge w:val="restart"/>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6"/>
        </w:trPr>
        <w:tc>
          <w:tcPr>
            <w:tcW w:w="1540" w:type="dxa"/>
            <w:vAlign w:val="bottom"/>
          </w:tcPr>
          <w:p>
            <w:pPr>
              <w:spacing w:after="0"/>
              <w:rPr>
                <w:sz w:val="12"/>
                <w:szCs w:val="12"/>
                <w:color w:val="auto"/>
              </w:rPr>
            </w:pPr>
          </w:p>
        </w:tc>
        <w:tc>
          <w:tcPr>
            <w:tcW w:w="2060" w:type="dxa"/>
            <w:vAlign w:val="bottom"/>
          </w:tcPr>
          <w:p>
            <w:pPr>
              <w:jc w:val="center"/>
              <w:ind w:left="988"/>
              <w:spacing w:after="0" w:line="146"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60" w:type="dxa"/>
            <w:vAlign w:val="bottom"/>
          </w:tcPr>
          <w:p>
            <w:pPr>
              <w:jc w:val="center"/>
              <w:ind w:left="1008"/>
              <w:spacing w:after="0" w:line="149" w:lineRule="exact"/>
              <w:rPr>
                <w:sz w:val="20"/>
                <w:szCs w:val="20"/>
                <w:color w:val="auto"/>
              </w:rPr>
            </w:pPr>
            <w:r>
              <w:rPr>
                <w:rFonts w:ascii="Times New Roman" w:cs="Times New Roman" w:eastAsia="Times New Roman" w:hAnsi="Times New Roman"/>
                <w:sz w:val="14"/>
                <w:szCs w:val="14"/>
                <w:b w:val="1"/>
                <w:bCs w:val="1"/>
                <w:color w:val="auto"/>
                <w:w w:val="98"/>
              </w:rPr>
              <w:t>Cash</w:t>
            </w:r>
          </w:p>
        </w:tc>
        <w:tc>
          <w:tcPr>
            <w:tcW w:w="580" w:type="dxa"/>
            <w:vAlign w:val="bottom"/>
          </w:tcPr>
          <w:p>
            <w:pPr>
              <w:jc w:val="center"/>
              <w:ind w:left="32"/>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243"/>
        </w:trPr>
        <w:tc>
          <w:tcPr>
            <w:tcW w:w="1540" w:type="dxa"/>
            <w:vAlign w:val="bottom"/>
            <w:vMerge w:val="continue"/>
          </w:tcPr>
          <w:p>
            <w:pPr>
              <w:spacing w:after="0"/>
              <w:rPr>
                <w:sz w:val="21"/>
                <w:szCs w:val="21"/>
                <w:color w:val="auto"/>
              </w:rPr>
            </w:pPr>
          </w:p>
        </w:tc>
        <w:tc>
          <w:tcPr>
            <w:tcW w:w="2060" w:type="dxa"/>
            <w:vAlign w:val="bottom"/>
          </w:tcPr>
          <w:p>
            <w:pPr>
              <w:jc w:val="center"/>
              <w:ind w:left="10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58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8"/>
                <w:szCs w:val="28"/>
                <w:b w:val="1"/>
                <w:bCs w:val="1"/>
                <w:color w:val="auto"/>
                <w:w w:val="88"/>
                <w:vertAlign w:val="subscript"/>
              </w:rPr>
              <w:t>($)</w:t>
            </w:r>
            <w:r>
              <w:rPr>
                <w:rFonts w:ascii="Times New Roman" w:cs="Times New Roman" w:eastAsia="Times New Roman" w:hAnsi="Times New Roman"/>
                <w:sz w:val="12"/>
                <w:szCs w:val="12"/>
                <w:b w:val="1"/>
                <w:bCs w:val="1"/>
                <w:color w:val="auto"/>
                <w:w w:val="88"/>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0</wp:posOffset>
            </wp:positionV>
            <wp:extent cx="857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0</wp:posOffset>
            </wp:positionV>
            <wp:extent cx="857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980" w:type="dxa"/>
            <w:vAlign w:val="bottom"/>
            <w:vMerge w:val="continue"/>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020" w:type="dxa"/>
            <w:vAlign w:val="bottom"/>
            <w:vMerge w:val="restart"/>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500" w:type="dxa"/>
            <w:vAlign w:val="bottom"/>
            <w:vMerge w:val="continue"/>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9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20" w:type="dxa"/>
            <w:vAlign w:val="bottom"/>
            <w:vMerge w:val="continue"/>
          </w:tcPr>
          <w:p>
            <w:pPr>
              <w:spacing w:after="0"/>
              <w:rPr>
                <w:sz w:val="12"/>
                <w:szCs w:val="12"/>
                <w:color w:val="auto"/>
              </w:rPr>
            </w:pPr>
          </w:p>
        </w:tc>
        <w:tc>
          <w:tcPr>
            <w:tcW w:w="44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8"/>
                <w:szCs w:val="28"/>
                <w:b w:val="1"/>
                <w:bCs w:val="1"/>
                <w:color w:val="auto"/>
                <w:w w:val="83"/>
                <w:vertAlign w:val="subscript"/>
              </w:rPr>
              <w:t>($)</w:t>
            </w:r>
            <w:r>
              <w:rPr>
                <w:rFonts w:ascii="Times New Roman" w:cs="Times New Roman" w:eastAsia="Times New Roman" w:hAnsi="Times New Roman"/>
                <w:sz w:val="12"/>
                <w:szCs w:val="12"/>
                <w:b w:val="1"/>
                <w:bCs w:val="1"/>
                <w:color w:val="auto"/>
                <w:w w:val="83"/>
              </w:rPr>
              <w:t>(4)</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2117090</wp:posOffset>
            </wp:positionH>
            <wp:positionV relativeFrom="paragraph">
              <wp:posOffset>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1508125</wp:posOffset>
            </wp:positionH>
            <wp:positionV relativeFrom="paragraph">
              <wp:posOffset>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-76835</wp:posOffset>
            </wp:positionH>
            <wp:positionV relativeFrom="paragraph">
              <wp:posOffset>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480" w:space="200"/>
            <w:col w:w="4339"/>
          </w:cols>
          <w:pgMar w:left="1440" w:top="262" w:right="1440" w:bottom="1440" w:gutter="0" w:footer="0" w:header="0"/>
          <w:type w:val="continuous"/>
        </w:sectPr>
      </w:pPr>
    </w:p>
    <w:tbl>
      <w:tblPr>
        <w:tblLayout w:type="fixed"/>
        <w:tblInd w:w="300" w:type="dxa"/>
        <w:tblCellMar>
          <w:top w:w="0" w:type="dxa"/>
          <w:left w:w="0" w:type="dxa"/>
          <w:bottom w:w="0" w:type="dxa"/>
          <w:right w:w="0" w:type="dxa"/>
        </w:tblCellMar>
      </w:tblPr>
      <w:tr>
        <w:trPr>
          <w:trHeight w:val="20"/>
        </w:trPr>
        <w:tc>
          <w:tcPr>
            <w:tcW w:w="2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291"/>
        </w:trPr>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Tony Aquila</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65,000</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600,364</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35,297</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700,661</w:t>
            </w:r>
          </w:p>
        </w:tc>
      </w:tr>
      <w:tr>
        <w:trPr>
          <w:trHeight w:val="27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Anthony Bay</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122,500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394,114</w:t>
            </w:r>
          </w:p>
        </w:tc>
        <w:tc>
          <w:tcPr>
            <w:tcW w:w="100" w:type="dxa"/>
            <w:vAlign w:val="bottom"/>
          </w:tcPr>
          <w:p>
            <w:pPr>
              <w:spacing w:after="0"/>
              <w:rPr>
                <w:sz w:val="23"/>
                <w:szCs w:val="23"/>
                <w:color w:val="auto"/>
              </w:rPr>
            </w:pP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516,614</w:t>
            </w:r>
          </w:p>
        </w:tc>
      </w:tr>
      <w:tr>
        <w:trPr>
          <w:trHeight w:val="54"/>
        </w:trPr>
        <w:tc>
          <w:tcPr>
            <w:tcW w:w="2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365"/>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9"/>
                <w:szCs w:val="29"/>
                <w:color w:val="auto"/>
                <w:vertAlign w:val="superscript"/>
              </w:rPr>
              <w:t>(5)</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37,768</w:t>
            </w:r>
          </w:p>
        </w:tc>
        <w:tc>
          <w:tcPr>
            <w:tcW w:w="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30,905</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68,673</w:t>
            </w:r>
          </w:p>
        </w:tc>
      </w:tr>
      <w:tr>
        <w:trPr>
          <w:trHeight w:val="27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183,000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500,363</w:t>
            </w:r>
          </w:p>
        </w:tc>
        <w:tc>
          <w:tcPr>
            <w:tcW w:w="100" w:type="dxa"/>
            <w:vAlign w:val="bottom"/>
          </w:tcPr>
          <w:p>
            <w:pPr>
              <w:spacing w:after="0"/>
              <w:rPr>
                <w:sz w:val="23"/>
                <w:szCs w:val="23"/>
                <w:color w:val="auto"/>
              </w:rPr>
            </w:pP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26,775</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710,138</w:t>
            </w:r>
          </w:p>
        </w:tc>
      </w:tr>
      <w:tr>
        <w:trPr>
          <w:trHeight w:val="54"/>
        </w:trPr>
        <w:tc>
          <w:tcPr>
            <w:tcW w:w="2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304"/>
        </w:trPr>
        <w:tc>
          <w:tcPr>
            <w:tcW w:w="2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120,000</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500,363</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27,073</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647,436</w:t>
            </w:r>
          </w:p>
        </w:tc>
      </w:tr>
      <w:tr>
        <w:trPr>
          <w:trHeight w:val="27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97,500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187,864</w:t>
            </w:r>
          </w:p>
        </w:tc>
        <w:tc>
          <w:tcPr>
            <w:tcW w:w="100" w:type="dxa"/>
            <w:vAlign w:val="bottom"/>
          </w:tcPr>
          <w:p>
            <w:pPr>
              <w:spacing w:after="0"/>
              <w:rPr>
                <w:sz w:val="23"/>
                <w:szCs w:val="23"/>
                <w:color w:val="auto"/>
              </w:rPr>
            </w:pP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37,964</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323,328</w:t>
            </w:r>
          </w:p>
        </w:tc>
      </w:tr>
      <w:tr>
        <w:trPr>
          <w:trHeight w:val="54"/>
        </w:trPr>
        <w:tc>
          <w:tcPr>
            <w:tcW w:w="2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365"/>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Hartfield</w:t>
            </w:r>
            <w:r>
              <w:rPr>
                <w:rFonts w:ascii="Times New Roman" w:cs="Times New Roman" w:eastAsia="Times New Roman" w:hAnsi="Times New Roman"/>
                <w:sz w:val="29"/>
                <w:szCs w:val="29"/>
                <w:color w:val="auto"/>
                <w:vertAlign w:val="superscript"/>
              </w:rPr>
              <w:t>(3)</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35,000</w:t>
            </w:r>
          </w:p>
        </w:tc>
        <w:tc>
          <w:tcPr>
            <w:tcW w:w="14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33,684</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68,684</w:t>
            </w:r>
          </w:p>
        </w:tc>
      </w:tr>
      <w:tr>
        <w:trPr>
          <w:trHeight w:val="27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Fiona Tan</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122,000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394,114</w:t>
            </w:r>
          </w:p>
        </w:tc>
        <w:tc>
          <w:tcPr>
            <w:tcW w:w="100" w:type="dxa"/>
            <w:vAlign w:val="bottom"/>
          </w:tcPr>
          <w:p>
            <w:pPr>
              <w:spacing w:after="0"/>
              <w:rPr>
                <w:sz w:val="23"/>
                <w:szCs w:val="23"/>
                <w:color w:val="auto"/>
              </w:rPr>
            </w:pPr>
          </w:p>
        </w:tc>
        <w:tc>
          <w:tcPr>
            <w:tcW w:w="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36,550</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552,664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171450</wp:posOffset>
            </wp:positionV>
            <wp:extent cx="82296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95" w:lineRule="exact"/>
        <w:rPr>
          <w:sz w:val="20"/>
          <w:szCs w:val="20"/>
          <w:color w:val="auto"/>
        </w:rPr>
      </w:pPr>
    </w:p>
    <w:p>
      <w:pPr>
        <w:ind w:left="640" w:right="299" w:hanging="348"/>
        <w:spacing w:after="0" w:line="261" w:lineRule="auto"/>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shows, for each named individual, the aggregate shares under stock awards and the aggregate shares underlying option awards held by that individual as of December 31, 2023.</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107" w:name="page108"/>
    <w:bookmarkEnd w:id="107"/>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1640" w:right="1300" w:hanging="348"/>
        <w:spacing w:after="0" w:line="233" w:lineRule="auto"/>
        <w:tabs>
          <w:tab w:leader="none" w:pos="1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reflect the grant date fair value of all service-vesting RSU awards in accordance with ASC 718, rather than amounts paid to or realized by the named individual. The grant date fair value of each RSU award was measured based on the closing price of our shares of our Class A Common Stock on the date of grant. The amounts reported do not correspond to the economic value received by each non-employee director from the equity award. For information regarding assumptions underlying the value of equity awards, see Note 14 to our consolidated financial statements included in our Annual Report on Form 10-K .</w:t>
      </w:r>
    </w:p>
    <w:p>
      <w:pPr>
        <w:spacing w:after="0" w:line="15" w:lineRule="exact"/>
        <w:rPr>
          <w:rFonts w:ascii="Times New Roman" w:cs="Times New Roman" w:eastAsia="Times New Roman" w:hAnsi="Times New Roman"/>
          <w:sz w:val="14"/>
          <w:szCs w:val="14"/>
          <w:color w:val="auto"/>
        </w:rPr>
      </w:pPr>
    </w:p>
    <w:p>
      <w:pPr>
        <w:ind w:left="1640" w:hanging="348"/>
        <w:spacing w:after="0"/>
        <w:tabs>
          <w:tab w:leader="none" w:pos="1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Hartfield resigned as a member of the Board and forfeited $187,864 of stock awards on August 9, 2023.</w:t>
      </w:r>
    </w:p>
    <w:p>
      <w:pPr>
        <w:spacing w:after="0" w:line="41" w:lineRule="exact"/>
        <w:rPr>
          <w:rFonts w:ascii="Times New Roman" w:cs="Times New Roman" w:eastAsia="Times New Roman" w:hAnsi="Times New Roman"/>
          <w:sz w:val="14"/>
          <w:szCs w:val="14"/>
          <w:color w:val="auto"/>
        </w:rPr>
      </w:pPr>
    </w:p>
    <w:p>
      <w:pPr>
        <w:ind w:left="1640" w:right="1320" w:hanging="348"/>
        <w:spacing w:after="0" w:line="250" w:lineRule="auto"/>
        <w:tabs>
          <w:tab w:leader="none" w:pos="1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payments made to non-employee directors due to unanticipated tax obligations owed in connection with their 2022 service.</w:t>
      </w:r>
    </w:p>
    <w:p>
      <w:pPr>
        <w:spacing w:after="0" w:line="183" w:lineRule="exact"/>
        <w:rPr>
          <w:rFonts w:ascii="Times New Roman" w:cs="Times New Roman" w:eastAsia="Times New Roman" w:hAnsi="Times New Roman"/>
          <w:sz w:val="14"/>
          <w:szCs w:val="14"/>
          <w:color w:val="auto"/>
        </w:rPr>
      </w:pPr>
    </w:p>
    <w:p>
      <w:pPr>
        <w:ind w:left="1640" w:hanging="348"/>
        <w:spacing w:after="0"/>
        <w:tabs>
          <w:tab w:leader="none" w:pos="1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was a Non-Employee Director until he was named an executive officer on April 26, 2023.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20" w:type="dxa"/>
            <w:vAlign w:val="bottom"/>
            <w:gridSpan w:val="2"/>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Aggregate Stock Awards</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69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20" w:type="dxa"/>
            <w:vAlign w:val="bottom"/>
            <w:gridSpan w:val="2"/>
          </w:tcPr>
          <w:p>
            <w:pPr>
              <w:jc w:val="center"/>
              <w:ind w:right="13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as of</w:t>
            </w: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6900" w:type="dxa"/>
            <w:vAlign w:val="bottom"/>
            <w:gridSpan w:val="4"/>
            <w:vMerge w:val="continue"/>
          </w:tcPr>
          <w:p>
            <w:pPr>
              <w:spacing w:after="0"/>
              <w:rPr>
                <w:sz w:val="16"/>
                <w:szCs w:val="16"/>
                <w:color w:val="auto"/>
              </w:rPr>
            </w:pPr>
          </w:p>
        </w:tc>
        <w:tc>
          <w:tcPr>
            <w:tcW w:w="282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1280" w:type="dxa"/>
            <w:vAlign w:val="bottom"/>
            <w:tcBorders>
              <w:bottom w:val="single" w:sz="8" w:color="auto"/>
            </w:tcBorders>
            <w:gridSpan w:val="2"/>
          </w:tcPr>
          <w:p>
            <w:pPr>
              <w:spacing w:after="0"/>
              <w:rPr>
                <w:sz w:val="4"/>
                <w:szCs w:val="4"/>
                <w:color w:val="auto"/>
              </w:rPr>
            </w:pPr>
          </w:p>
        </w:tc>
        <w:tc>
          <w:tcPr>
            <w:tcW w:w="54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69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Tony Aquila</w:t>
            </w:r>
          </w:p>
        </w:tc>
        <w:tc>
          <w:tcPr>
            <w:tcW w:w="1520" w:type="dxa"/>
            <w:vAlign w:val="bottom"/>
            <w:tcBorders>
              <w:bottom w:val="single" w:sz="8" w:color="CCEEFF"/>
            </w:tcBorders>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548,582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Anthony Bay</w:t>
            </w:r>
          </w:p>
        </w:tc>
        <w:tc>
          <w:tcPr>
            <w:tcW w:w="152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432,743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5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4"/>
        </w:trPr>
        <w:tc>
          <w:tcPr>
            <w:tcW w:w="1300" w:type="dxa"/>
            <w:vAlign w:val="bottom"/>
          </w:tcPr>
          <w:p>
            <w:pPr>
              <w:spacing w:after="0"/>
              <w:rPr>
                <w:sz w:val="24"/>
                <w:szCs w:val="24"/>
                <w:color w:val="auto"/>
              </w:rPr>
            </w:pPr>
          </w:p>
        </w:tc>
        <w:tc>
          <w:tcPr>
            <w:tcW w:w="6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9"/>
                <w:szCs w:val="29"/>
                <w:color w:val="auto"/>
                <w:vertAlign w:val="superscript"/>
              </w:rPr>
              <w:t>(2)</w:t>
            </w:r>
          </w:p>
        </w:tc>
        <w:tc>
          <w:tcPr>
            <w:tcW w:w="152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10,094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152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472,824</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5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69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1520" w:type="dxa"/>
            <w:vAlign w:val="bottom"/>
            <w:tcBorders>
              <w:bottom w:val="single" w:sz="8" w:color="CCEEFF"/>
            </w:tcBorders>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472,824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152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236,082</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5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64"/>
        </w:trPr>
        <w:tc>
          <w:tcPr>
            <w:tcW w:w="1300" w:type="dxa"/>
            <w:vAlign w:val="bottom"/>
          </w:tcPr>
          <w:p>
            <w:pPr>
              <w:spacing w:after="0"/>
              <w:rPr>
                <w:sz w:val="24"/>
                <w:szCs w:val="24"/>
                <w:color w:val="auto"/>
              </w:rPr>
            </w:pPr>
          </w:p>
        </w:tc>
        <w:tc>
          <w:tcPr>
            <w:tcW w:w="6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Hartfield</w:t>
            </w:r>
            <w:r>
              <w:rPr>
                <w:rFonts w:ascii="Times New Roman" w:cs="Times New Roman" w:eastAsia="Times New Roman" w:hAnsi="Times New Roman"/>
                <w:sz w:val="29"/>
                <w:szCs w:val="29"/>
                <w:color w:val="auto"/>
                <w:vertAlign w:val="superscript"/>
              </w:rPr>
              <w:t>(1)</w:t>
            </w:r>
          </w:p>
        </w:tc>
        <w:tc>
          <w:tcPr>
            <w:tcW w:w="152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Fiona Tan</w:t>
            </w:r>
          </w:p>
        </w:tc>
        <w:tc>
          <w:tcPr>
            <w:tcW w:w="1520" w:type="dxa"/>
            <w:vAlign w:val="bottom"/>
          </w:tcPr>
          <w:p>
            <w:pPr>
              <w:jc w:val="right"/>
              <w:ind w:right="395"/>
              <w:spacing w:after="0"/>
              <w:rPr>
                <w:sz w:val="20"/>
                <w:szCs w:val="20"/>
                <w:color w:val="auto"/>
              </w:rPr>
            </w:pPr>
            <w:r>
              <w:rPr>
                <w:rFonts w:ascii="Times New Roman" w:cs="Times New Roman" w:eastAsia="Times New Roman" w:hAnsi="Times New Roman"/>
                <w:sz w:val="18"/>
                <w:szCs w:val="18"/>
                <w:color w:val="auto"/>
              </w:rPr>
              <w:t>392,332</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620" w:type="dxa"/>
            <w:vAlign w:val="bottom"/>
            <w:gridSpan w:val="2"/>
          </w:tcPr>
          <w:p>
            <w:pPr>
              <w:spacing w:after="0"/>
              <w:rPr>
                <w:sz w:val="24"/>
                <w:szCs w:val="24"/>
                <w:color w:val="auto"/>
              </w:rPr>
            </w:pPr>
          </w:p>
        </w:tc>
        <w:tc>
          <w:tcPr>
            <w:tcW w:w="1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520" w:type="dxa"/>
            <w:vAlign w:val="bottom"/>
            <w:gridSpan w:val="2"/>
          </w:tcPr>
          <w:p>
            <w:pPr>
              <w:ind w:left="1300"/>
              <w:spacing w:after="0"/>
              <w:rPr>
                <w:sz w:val="20"/>
                <w:szCs w:val="20"/>
                <w:color w:val="auto"/>
              </w:rPr>
            </w:pPr>
            <w:r>
              <w:rPr>
                <w:rFonts w:ascii="Times New Roman" w:cs="Times New Roman" w:eastAsia="Times New Roman" w:hAnsi="Times New Roman"/>
                <w:sz w:val="14"/>
                <w:szCs w:val="14"/>
                <w:color w:val="auto"/>
              </w:rPr>
              <w:t>1.</w:t>
            </w:r>
          </w:p>
        </w:tc>
        <w:tc>
          <w:tcPr>
            <w:tcW w:w="66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Mr. Hartfield resigned as a member of the Board on August 9, 2023.</w:t>
            </w:r>
          </w:p>
        </w:tc>
        <w:tc>
          <w:tcPr>
            <w:tcW w:w="15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520" w:type="dxa"/>
            <w:vAlign w:val="bottom"/>
            <w:gridSpan w:val="2"/>
          </w:tcPr>
          <w:p>
            <w:pPr>
              <w:ind w:left="1300"/>
              <w:spacing w:after="0"/>
              <w:rPr>
                <w:sz w:val="20"/>
                <w:szCs w:val="20"/>
                <w:color w:val="auto"/>
              </w:rPr>
            </w:pPr>
            <w:r>
              <w:rPr>
                <w:rFonts w:ascii="Times New Roman" w:cs="Times New Roman" w:eastAsia="Times New Roman" w:hAnsi="Times New Roman"/>
                <w:sz w:val="14"/>
                <w:szCs w:val="14"/>
                <w:color w:val="auto"/>
              </w:rPr>
              <w:t>2.</w:t>
            </w:r>
          </w:p>
        </w:tc>
        <w:tc>
          <w:tcPr>
            <w:tcW w:w="66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Mr. Francis was a Non-Employee Director until he was named an executive officer on April 26, 2023.</w:t>
            </w:r>
          </w:p>
        </w:tc>
        <w:tc>
          <w:tcPr>
            <w:tcW w:w="1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5"/>
        </w:trPr>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80" w:type="dxa"/>
            <w:vAlign w:val="bottom"/>
            <w:gridSpan w:val="2"/>
          </w:tcPr>
          <w:p>
            <w:pPr>
              <w:jc w:val="right"/>
              <w:ind w:right="236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4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5080635</wp:posOffset>
            </wp:positionH>
            <wp:positionV relativeFrom="paragraph">
              <wp:posOffset>-2536825</wp:posOffset>
            </wp:positionV>
            <wp:extent cx="12001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108" w:name="page109"/>
    <w:bookmarkEnd w:id="10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following is a summary of transactions since January 1, 2023, to which we have been a party in which the amount involved exceeded $120,000 and in which any of our executive officers, directors, managers, promoters, beneficial holders of more than 5% of our membership interests, or any associates or affiliates thereof had or will have a direct or indirect material interest, other than compensation arrangements which are described in the section entitled “Executive Compensation.”</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Amended Operating Company Agreement</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Concurrently with the Closing, the WMH LLC operating agreement was further amended and restated in its entirety to become the Fourth Amended and Restated Operating Agreement (the “Amended Operating Agreement”). Messrs. Camire, Grazier, Francis and Hartfield and Ghost Media Group, LLC all own Paired Interests and Class P Units as described in the section entitled “Security Ownership of Certain Beneficial Owners and Management.”</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Rights of the Units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Pursuant to the Amended Operating Agreement, the Units are entitled to share in the profits and losses of WMH LLC and to receive distributions as and if declared by the managing member of WMH LLC and have no voting rights. The Amended Operating Agreement generally establishes the rights and vesting conditions of the LTIP Units and the Class P Units, which are treated as profits interests in WMH LLC, and may be offered to directors, employees, officers, consultants or other service providers. LTIP Units and Class P Units have all the rights, privileges, preferences, and obligations as are specifically provided for in the Amended Operating Agreement, and as may otherwise be generally applicable to all classes of Units, however, LTIP Units and Class P Units are not entitled to vote on any matter subject to a vote of the members, except as otherwise required by law.</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as the managing member of WMH LLC, have the sole vote on all matters that require a vote of members under the Amended Operating Agreement or applicable law. The business, property and affairs of WMH LLC are managed solely by the managing member, and the managing member cannot be removed or replaced except by the incumbent managing member.</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as managing member of WMH LLC may, in our sole discretion, authorize distributions to the WMH LLC members (to the extent of available cash, as defined in the amended operating agreement). Subject to provisions in the Amended Operating Agreement governing tax distributions and the treatment of Class P Units and LTIP Units (as defined in the Amended Operating Agreement), all such distributions will be made pro rata in accordance each member’s number of Class P Units.</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holders of Class P Units will generally incur U.S. federal, state and local income taxes on their proportionate share of any net taxable income of WMH LLC. Net profits and net losses of WMH LLC will generally be allocated to its members pro rata in accordance with the percentages of their respective ownership of Units. The Amended Operating Agreement provides for pro rata cash distributions to the holders of Units for purposes of funding their tax obligations in respect of the taxable income of WMH LLC that is allocated to them. Generally, these tax distributions will be computed based on WMH LLC’s estimate of the net taxable income of WMH LLC allocable to each holder of Units multiplied by an assumed tax rate equal to the highest effective marginal combined U.S. federal, state and local income tax rate prescribed for an individual or corporate resident of California or New York, New York (taking into account the non-deductibility of certain expenses, the character of our income, and the deductibility of state and local income taxes, to the extent applicable, but not taking into account any deduction under Section 199A of the Code). As a result of (i) potential differences in the amount of net taxable income allocable to us and the other Unit holders, (ii) the lower tax rate applicable to corporations than individuals and (iii) the use of an assumed tax rate in calculating WMH LLC’s distribution obligations, we may receive tax distributions significantly in excess of its tax liabilities and obligations to make payments under the Tax Receivable Agreement.</w:t>
      </w:r>
    </w:p>
    <w:p>
      <w:pPr>
        <w:spacing w:after="0" w:line="8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Upon the liquidation or winding up of WMH LLC, subject to the treatment of Class P Units and LTIP Units (as defined in the Amended Operating Agreement) and tax distributions, all net proceeds thereof will be distributed in accordance with each member’s number of Units.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9" w:name="page110"/>
    <w:bookmarkEnd w:id="10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Restrictions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Amended Operating Agreement contains restrictions on transfers of units and requires the prior consent of the managing member for such transfers, except in specified cases, including (i) certain transfers to permitted transferees under certain conditions and (ii) exchanges of Units for shares of Class A Common Stock or cash pursuant to the exchange agreement.</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Exchange Agreement</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Concurrently with the Closing, we, WMH LLC and the Unit holders, including Messrs. Camire, Grazier, Francis, Hartfield and Ghost Media Group, LLC, as described in the section entitled “Security Ownership of Certain Beneficial Owners and Management,” entered into an exchange agreement (the “Exchange Agreement”). The terms of the Exchange Agreement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and to exchange their vested Class P Units for shares of Class A Common Stock with a value equal to the value of such Class P Units less their participation threshold, or, in each case, at the Company’s election, the cash equivalent of such shares of Class A Common Stock. By default, each exchange will take the form of a redemption by us of the WMH Units in exchange for Class A Common Stock or cash, as applicable, unless we elect to effect such exchange directly with the applicable Unit holder. The shares of Class V Common Stock surrendered in any exchange will be immediately cancelled.</w:t>
      </w:r>
    </w:p>
    <w:p>
      <w:pPr>
        <w:spacing w:after="0" w:line="8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Exchange Agreement provides that, as a general matter, a Unit holder does not have the right to exchange Units if we determine that such exchange would be prohibited by law or regulation or would violate other agreements with us and our subsidiaries to which the Unit holder may be subject, including the Amended Operating Agreement and the Exchange Agreement. Additionally, the Exchange Agreement contains restrictions on redemptions and exchanges intended to prevent WMH LLC from being treated as a “publicly traded partnership” for U.S. federal income tax purposes. These restrictions are modeled on certain safe harbors provided for under applicable U.S. federal income tax law. We may impose additional restrictions on exchanges that it determines to be necessary or advisable so that WMH LLC is not treated as a “publicly traded partnership” for U.S. federal income tax purposes.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Receivable Agreement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Concurrently with the Closing, we, the Holder Representative and the Class A Unit holders, including Mr. Francis, Mr. Hartfield and Ghost Media Group, LLC, as described in the section entitled “Security Ownership of Certain Beneficial Owners and Management,” entered into the tax receivable agreement, (the “Tax Receivable Agreement”), pursuant to which we are required to pay to holders of Class A Units, in the aggregate, 85% of the amount of cash savings, if any, in U.S. federal, state and local income tax or franchise tax that we actually realizes as a result of</w:t>
      </w:r>
    </w:p>
    <w:p>
      <w:pPr>
        <w:spacing w:after="0" w:line="3" w:lineRule="exact"/>
        <w:rPr>
          <w:sz w:val="20"/>
          <w:szCs w:val="20"/>
          <w:color w:val="auto"/>
        </w:rPr>
      </w:pPr>
    </w:p>
    <w:p>
      <w:pPr>
        <w:jc w:val="both"/>
        <w:ind w:left="300" w:right="299" w:hanging="8"/>
        <w:spacing w:after="0" w:line="253" w:lineRule="auto"/>
        <w:tabs>
          <w:tab w:leader="none" w:pos="52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to the tax basis of WMH LLC’s assets resulting from our acquisition of common units for cash in the Business Combination and taxable redemptions or exchanges of Class A Units for shares of Class A Common Stock or cash pursuant to the Exchange Agreement, (ii) tax benefits related to imputed interest or (iii) tax attributes resulting from payments made under Tax Receivable Agreement. The payment obligations under Tax Receivable Agreement are our obligations and not obligations of WMH LLC.</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payments we will be required to make under the Tax Receivable Agreement may be substantial.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$151.3 million over 15 years from the Closing Date. Under this scenario, we would be required to pay to the Class A Unit holders approximately 85% of such amount, or $128.6 million, over the 15-year period from the Closing Date.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Class A Unit holders’ continued ownership of WMH LLC.</w:t>
      </w:r>
    </w:p>
    <w:p>
      <w:pPr>
        <w:spacing w:after="0" w:line="7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we determine, and the IRS or another tax authority may challenge all or a part of the existing tax basis, tax basis increases, or other tax</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0" w:name="page111"/>
    <w:bookmarkEnd w:id="1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attributes subject to the Tax Receivable Agreement, and a court could sustain such challenge. The parties to the Tax Receivable Agreement will not reimburse us for any payments previously made if such tax basis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addition, the Tax Receivable Agreement provides that if (1) we breach any of our material obligations under the Tax Receivable Agreement (including in the event that we are more than three months late making a payment that is due under the Tax Receivable Agreement, except in the case of certain liquidity exceptions), (2) we are subject to certain bankruptcy, insolvency or similar proceedings, or (3) at any time, we elect an early termination of the Tax Receivable Agreement, our obligations under the Tax Receivable Agreement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Tax Receivable Agreement. The Tax Receivable Agreement also provides that, upon certain mergers, asset sales or other forms of business combination, or certain other changes of control, (A) our obligations under the Tax Receivable Agreement with respect to Class A Units that have been exchanged or redeemed prior to or in connection with such change of control transaction would accelerate and become payable in a lump sum as described above and (B) with respect to Class A Units that have not been exchanged as of such change of control transaction, our or our successor’s obligations under the Tax Receivable Agreement would be based on certain assumptions, including that our or our successor would have sufficient taxable income to fully utilize the increased tax deductions and tax basis and other benefits covered by the Tax Receivable Agreement. As a result, upon any acceleration of our obligations under the Tax Receivable Agreement (including upon a change of control), we could be required to make payments under the Tax Receivable Agreement that are greater than 85% of our actual cash tax savings, which could negatively impact its liquidity. The change of control provisions in the Tax Receivable Agreement may also result in situations where the Class A Unit holders have interests that differ from or are in addition to those of the Class A stockholders.</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Finally, because we are a holding company with no operations of our own, our ability to make payments under the Tax Receivable Agreement depends on our ability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Amended and Restated Registration Rights Agreement</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Concurrently with the Closing, Silver Spike Sponsor, LLC (“Silver Spike Sponsor”) and certain Unit holders, including Messrs. Camire, Grazier, Francis, Silver Spike Sponsor, LLC and Ghost Media Group, LLC, as described in the section entitled “Security Ownership of Certain Beneficial Owners and Management,” entered into the Amended and Restated Registration Rights Agreement, dated June 16, 2021, among us and certain of our stockholders (the “Amended and Restated Registration Rights Agreement”). As a result, Silver Spike Sponsor, LLC and such certain Unit holders are able to make a written demand for registration under the Securities Act of all or a portion of their registrable securities, subject to a maximum of three such demand registrations for Silver Spike Sponsor, LLC and three such demand registrations for such certain Unit holders thereto, in each case so long as such demand includes a number of registrable securities with a total offering price in excess of $10.0 million. Any such demand may be in the form of an underwritten offering, it being understood that we will not be able to conduct more than two underwritten offerings where the expected aggregate proceeds are less than $25.0 million but in excess of $10.0 million in any 12-month period. In addition, the holders of registrable securities will have “piggy-back” registration rights to include their securities in other registration statements filed by us. We have filed a resale shelf registration statement covering the resale of all registrable securities within 45 days of the Closing.</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Silver Spike Related Transactions and Agreements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Silver Spike Acquisition Corp.’s (“Silver Spike’s”) Initial Public Offering (“IPO”), Silver Spike Sponsor granted sponsor LLC equity interests to Silver Spike’s independent directors that collectively comprised approximately 1% of the outstanding equity interests in Silver Spike Sponsor.</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Silver Spike Sponsor purchased an aggregate of 7,000,000 Private Placement Warrants for a purchase price of $1.00 per warrant in a private placement simultaneously with the closing of Silver Spike’s IPO. Each Private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1" w:name="page112"/>
    <w:bookmarkEnd w:id="1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Placement Warrant may be exercised for one share of Class A Common Stock at a price of $11.50 per share, subject to adjustment as provided herein. The Private Placement Warrants (including the Class A Common Stock issuable upon exercise of the Private Placement Warrants) may not, subject to certain limited exceptions, be transferred, assigned or sold by it until 30 days after the completion of the Business Combination.</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we paid $1.1 million in certain transaction costs reimbursable by Silver Spike Sponsor, an affiliate to a member of the Board. On March 16, 2023, Silver Spike Holdings, an affiliate of Silver Spike Sponsor, entered into a promissory note with us and agreed to pay the principal amount in 12 equal quarterly installments commencing on March 31, 2023. The promissory note will bear interest at a rate of 5% per annum commencing on March 31, 2023. In an event of default, the outstanding principal amount shall bear interest for the entire period during which the principal balance is unpaid at a rate which is equal to 10% per annum. As of December 31, 2023, the remaining balance of the promissory note receivable was $0.7 million. We received a total of $383,724 in 2023 for principal and interest related to the promissory note receivable.</w:t>
      </w:r>
    </w:p>
    <w:p>
      <w:pPr>
        <w:spacing w:after="0" w:line="8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fourth quarter of 2023, we reimbursed $0.4 million to Silver Spike Holdings, an affiliate to a member of the board of directors in connection with responding to a subpoena received from the SEC’s Division of Enforcement in connection the SEC investigation disclosed in the Company’s Form 10-K.</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Legacy WMH Transactions and Agreements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Other Enterprises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Shield Management Group, LLC is a business in which currently Mr. Francis indirectly owns a majority interest, and Mr. Hartfield indirectly owns a minority interest. In 2023, Shield Management Group, LLC used our listing products and participated in other brand promotion opportunities. Shield Management Group, LLC paid us a total of $427,797 in 2023 for such products and services. Glasir Group, LLC is a business owned by Mr. Francis and his spouse. During the second quarter of 2022, we entered into a sublease agreement with Glasir Group, LLC of our offices located at 43 Discovery, Irvine, California 92618. The sublease commenced on June 1, 2022, and the term is for the remainder of the original lease and will expire on February 28, 2025, or sooner in the event that the original lease is cancelled prior to the expiration date. The monthly base rent, after the rent abatement period for the first four months, is $69,000. Glasir Group, LLC paid us a total of $169,095 in 2023 for rent under the sublease.</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Transactions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We have entered into employment and other agreements with certain of our executive officers. For a description of agreements with our Named Executive Officers, see the sections entitled “Executive Compensation - Executive Employment Arrangements” and “-Outstanding Equity Awards at December 31, 2023.”</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have granted equity awards to certain of our executive officers. For a description of equity awards granted to our Named Executive Officers, see the section entitled “Executive Compensation.”</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entered into indemnification agreements with substantially all of our directors and executive officers, other than our Interim Chief Financial Officer, Susan Echard, who is not an employee.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Related Person Transactions Policy</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Board has adopted a written Related Person Transactions Policy that sets forth our policies and procedures regarding the identification, review, consideration and oversight of related-person transactions. For purposes of our policy, a related-person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consultant or director will not be considered related-person transactions under this policy.</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Under the policy, a related person is any executive officer, director, nominee to become a director or a security holder known by us to beneficially own more than 5% of any class of our voting securities (a “significant stockholder”), including any of their immediate family members and affiliates, including entities controlled by such persons or such person has a 5% or greater beneficial ownership interest.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2" w:name="page113"/>
    <w:bookmarkEnd w:id="1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Each director and executive officer shall identify, and we shall request each significant stockholder to identify, any related-person transaction involving such director, executive officer or significant stockholder or his, her or its immediate family members and inform our Audit Committee pursuant to this policy before such related person may engage in the transaction.</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considering related-person transactions, our Audit Committee takes into account the relevant available facts and circumstances, which may include, but are not limited to:</w:t>
      </w:r>
    </w:p>
    <w:p>
      <w:pPr>
        <w:spacing w:after="0" w:line="54" w:lineRule="exact"/>
        <w:rPr>
          <w:sz w:val="20"/>
          <w:szCs w:val="20"/>
          <w:color w:val="auto"/>
        </w:rPr>
      </w:pPr>
    </w:p>
    <w:p>
      <w:pPr>
        <w:ind w:left="1000" w:hanging="348"/>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cost and benefits to us: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the related person is a director, immediate family member of a director or an entity with which a director is affiliated: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Our Audit Committee shall approve only those related-party transactions that, in light of known circumstances, are in, or are not inconsistent with, our best interests and our stockholders, as our Audit Committee determines in the good faith exercise of its discretion.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3" w:name="page114"/>
    <w:bookmarkEnd w:id="1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known to us regarding the beneficial ownership of our Common Stock as of July 22, 2024, by</w:t>
      </w:r>
    </w:p>
    <w:p>
      <w:pPr>
        <w:spacing w:after="0" w:line="54" w:lineRule="exact"/>
        <w:rPr>
          <w:sz w:val="20"/>
          <w:szCs w:val="20"/>
          <w:color w:val="auto"/>
        </w:rPr>
      </w:pPr>
    </w:p>
    <w:p>
      <w:pPr>
        <w:ind w:left="1000" w:right="319" w:hanging="348"/>
        <w:spacing w:after="0" w:line="282"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by us to be the beneficial owner of more than 5% of the outstanding shares of our Class A Common Stock and Class V Common Stock;</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current Named Executive Officers and directors;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executive officers and directors, as a group.</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provides that a person has beneficial ownership of a security if he, she or it possesses sole or shared voting or investment power over that security, including options and warrants that are currently exercisable or exercisable within 60 days.</w:t>
      </w:r>
    </w:p>
    <w:p>
      <w:pPr>
        <w:spacing w:after="0" w:line="6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beneficial ownership percentages set forth in the table below are based on 152,434,611 shares of our Class A Common Stock and Class V Common Stock issued and outstanding as of July 22, 2024 and do not take into account the issuance of any shares of Class A Common Stock upon (i) the exercise of 19,499,973 Warrants to purchase an aggregate of 19,499,973 shares of Class A Common Stock or (ii) the exchange of 14,679,507 Class P Units for up to 14,679,507 shares of Class A Common Stock.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8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Unless otherwise noted in the footnotes to the following table, and subject to applicable community property laws, the persons and entities named in the table have sole voting and investment power with respect to their beneficially owned shares of our Common Stock.</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3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Class V</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Combined %</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of Class A</w:t>
            </w:r>
          </w:p>
        </w:tc>
        <w:tc>
          <w:tcPr>
            <w:tcW w:w="12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of Class V</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6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Total</w:t>
            </w:r>
          </w:p>
        </w:tc>
        <w:tc>
          <w:tcPr>
            <w:tcW w:w="0" w:type="dxa"/>
            <w:vAlign w:val="bottom"/>
          </w:tcPr>
          <w:p>
            <w:pPr>
              <w:spacing w:after="0"/>
              <w:rPr>
                <w:sz w:val="1"/>
                <w:szCs w:val="1"/>
                <w:color w:val="auto"/>
              </w:rPr>
            </w:pPr>
          </w:p>
        </w:tc>
      </w:tr>
      <w:tr>
        <w:trPr>
          <w:trHeight w:val="149"/>
        </w:trPr>
        <w:tc>
          <w:tcPr>
            <w:tcW w:w="3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r>
              <w:rPr>
                <w:rFonts w:ascii="Times New Roman" w:cs="Times New Roman" w:eastAsia="Times New Roman" w:hAnsi="Times New Roman"/>
                <w:sz w:val="23"/>
                <w:szCs w:val="23"/>
                <w:b w:val="1"/>
                <w:bCs w:val="1"/>
                <w:color w:val="auto"/>
                <w:vertAlign w:val="superscript"/>
              </w:rPr>
              <w:t>(1)</w:t>
            </w:r>
          </w:p>
        </w:tc>
        <w:tc>
          <w:tcPr>
            <w:tcW w:w="14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243"/>
        </w:trPr>
        <w:tc>
          <w:tcPr>
            <w:tcW w:w="36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21"/>
                <w:szCs w:val="21"/>
                <w:color w:val="auto"/>
              </w:rPr>
            </w:pPr>
          </w:p>
        </w:tc>
        <w:tc>
          <w:tcPr>
            <w:tcW w:w="92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4"/>
                <w:szCs w:val="14"/>
                <w:b w:val="1"/>
                <w:bCs w:val="1"/>
                <w:color w:val="auto"/>
                <w:w w:val="95"/>
              </w:rPr>
              <w:t>Owned</w:t>
            </w:r>
            <w:r>
              <w:rPr>
                <w:rFonts w:ascii="Times New Roman" w:cs="Times New Roman" w:eastAsia="Times New Roman" w:hAnsi="Times New Roman"/>
                <w:sz w:val="23"/>
                <w:szCs w:val="23"/>
                <w:b w:val="1"/>
                <w:bCs w:val="1"/>
                <w:color w:val="auto"/>
                <w:w w:val="95"/>
                <w:vertAlign w:val="superscript"/>
              </w:rPr>
              <w:t>(2)</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2"/>
              </w:rPr>
              <w:t>Power</w:t>
            </w:r>
            <w:r>
              <w:rPr>
                <w:rFonts w:ascii="Times New Roman" w:cs="Times New Roman" w:eastAsia="Times New Roman" w:hAnsi="Times New Roman"/>
                <w:sz w:val="23"/>
                <w:szCs w:val="23"/>
                <w:b w:val="1"/>
                <w:bCs w:val="1"/>
                <w:color w:val="auto"/>
                <w:w w:val="92"/>
                <w:vertAlign w:val="superscript"/>
              </w:rPr>
              <w:t>(3)</w:t>
            </w:r>
          </w:p>
        </w:tc>
        <w:tc>
          <w:tcPr>
            <w:tcW w:w="0" w:type="dxa"/>
            <w:vAlign w:val="bottom"/>
          </w:tcPr>
          <w:p>
            <w:pPr>
              <w:spacing w:after="0"/>
              <w:rPr>
                <w:sz w:val="1"/>
                <w:szCs w:val="1"/>
                <w:color w:val="auto"/>
              </w:rPr>
            </w:pPr>
          </w:p>
        </w:tc>
      </w:tr>
      <w:tr>
        <w:trPr>
          <w:trHeight w:val="311"/>
        </w:trPr>
        <w:tc>
          <w:tcPr>
            <w:tcW w:w="36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820" w:type="dxa"/>
            <w:vAlign w:val="bottom"/>
            <w:tcBorders>
              <w:top w:val="single" w:sz="8" w:color="auto"/>
              <w:bottom w:val="single" w:sz="8" w:color="CCEEFF"/>
            </w:tcBorders>
            <w:shd w:val="clear" w:color="auto" w:fill="CCEEFF"/>
          </w:tcPr>
          <w:p>
            <w:pPr>
              <w:spacing w:after="0"/>
              <w:rPr>
                <w:sz w:val="24"/>
                <w:szCs w:val="24"/>
                <w:color w:val="auto"/>
              </w:rPr>
            </w:pP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820" w:type="dxa"/>
            <w:vAlign w:val="bottom"/>
            <w:tcBorders>
              <w:top w:val="single" w:sz="8" w:color="auto"/>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82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840" w:type="dxa"/>
            <w:vAlign w:val="bottom"/>
            <w:tcBorders>
              <w:top w:val="single" w:sz="8" w:color="auto"/>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820" w:type="dxa"/>
            <w:vAlign w:val="bottom"/>
            <w:tcBorders>
              <w:top w:val="single" w:sz="8" w:color="auto"/>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Tony Aquila</w:t>
            </w:r>
            <w:r>
              <w:rPr>
                <w:rFonts w:ascii="Times New Roman" w:cs="Times New Roman" w:eastAsia="Times New Roman" w:hAnsi="Times New Roman"/>
                <w:sz w:val="29"/>
                <w:szCs w:val="29"/>
                <w:color w:val="auto"/>
                <w:vertAlign w:val="superscript"/>
              </w:rPr>
              <w:t>(5)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5,297,761</w:t>
            </w:r>
          </w:p>
        </w:tc>
        <w:tc>
          <w:tcPr>
            <w:tcW w:w="140" w:type="dxa"/>
            <w:vAlign w:val="bottom"/>
          </w:tcPr>
          <w:p>
            <w:pPr>
              <w:spacing w:after="0"/>
              <w:rPr>
                <w:sz w:val="24"/>
                <w:szCs w:val="24"/>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65"/>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Francis</w:t>
            </w:r>
            <w:r>
              <w:rPr>
                <w:rFonts w:ascii="Times New Roman" w:cs="Times New Roman" w:eastAsia="Times New Roman" w:hAnsi="Times New Roman"/>
                <w:sz w:val="29"/>
                <w:szCs w:val="29"/>
                <w:color w:val="auto"/>
                <w:vertAlign w:val="superscript"/>
              </w:rPr>
              <w:t>(6)</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4,792,347</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4.9%</w:t>
            </w:r>
          </w:p>
        </w:tc>
        <w:tc>
          <w:tcPr>
            <w:tcW w:w="9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22,970,182</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258,221</w:t>
            </w:r>
          </w:p>
        </w:tc>
        <w:tc>
          <w:tcPr>
            <w:tcW w:w="140" w:type="dxa"/>
            <w:vAlign w:val="bottom"/>
          </w:tcPr>
          <w:p>
            <w:pPr>
              <w:spacing w:after="0"/>
              <w:rPr>
                <w:sz w:val="23"/>
                <w:szCs w:val="23"/>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54"/>
        </w:trPr>
        <w:tc>
          <w:tcPr>
            <w:tcW w:w="3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Fiona Tan</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153,063</w:t>
            </w: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182,691</w:t>
            </w:r>
          </w:p>
        </w:tc>
        <w:tc>
          <w:tcPr>
            <w:tcW w:w="140" w:type="dxa"/>
            <w:vAlign w:val="bottom"/>
          </w:tcPr>
          <w:p>
            <w:pPr>
              <w:spacing w:after="0"/>
              <w:rPr>
                <w:sz w:val="23"/>
                <w:szCs w:val="23"/>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54"/>
        </w:trPr>
        <w:tc>
          <w:tcPr>
            <w:tcW w:w="3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182,693</w:t>
            </w: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Anthony Bay</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223,528</w:t>
            </w:r>
          </w:p>
        </w:tc>
        <w:tc>
          <w:tcPr>
            <w:tcW w:w="140" w:type="dxa"/>
            <w:vAlign w:val="bottom"/>
          </w:tcPr>
          <w:p>
            <w:pPr>
              <w:spacing w:after="0"/>
              <w:rPr>
                <w:sz w:val="23"/>
                <w:szCs w:val="23"/>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54"/>
        </w:trPr>
        <w:tc>
          <w:tcPr>
            <w:tcW w:w="3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Camire</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259,738</w:t>
            </w: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Duncan Grazier</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192,785</w:t>
            </w:r>
          </w:p>
        </w:tc>
        <w:tc>
          <w:tcPr>
            <w:tcW w:w="140" w:type="dxa"/>
            <w:vAlign w:val="bottom"/>
          </w:tcPr>
          <w:p>
            <w:pPr>
              <w:spacing w:after="0"/>
              <w:rPr>
                <w:sz w:val="23"/>
                <w:szCs w:val="23"/>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54"/>
        </w:trPr>
        <w:tc>
          <w:tcPr>
            <w:tcW w:w="3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 Echard</w:t>
            </w:r>
          </w:p>
        </w:tc>
        <w:tc>
          <w:tcPr>
            <w:tcW w:w="1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1"/>
        </w:trPr>
        <w:tc>
          <w:tcPr>
            <w:tcW w:w="3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of the</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9"/>
        </w:trPr>
        <w:tc>
          <w:tcPr>
            <w:tcW w:w="3680" w:type="dxa"/>
            <w:vAlign w:val="bottom"/>
          </w:tcPr>
          <w:p>
            <w:pPr>
              <w:ind w:left="180"/>
              <w:spacing w:after="0" w:line="328" w:lineRule="exact"/>
              <w:rPr>
                <w:sz w:val="20"/>
                <w:szCs w:val="20"/>
                <w:color w:val="auto"/>
              </w:rPr>
            </w:pPr>
            <w:r>
              <w:rPr>
                <w:rFonts w:ascii="Times New Roman" w:cs="Times New Roman" w:eastAsia="Times New Roman" w:hAnsi="Times New Roman"/>
                <w:sz w:val="18"/>
                <w:szCs w:val="18"/>
                <w:b w:val="1"/>
                <w:bCs w:val="1"/>
                <w:color w:val="auto"/>
              </w:rPr>
              <w:t>Company as a Group (10 Individuals)</w:t>
            </w:r>
            <w:r>
              <w:rPr>
                <w:rFonts w:ascii="Times New Roman" w:cs="Times New Roman" w:eastAsia="Times New Roman" w:hAnsi="Times New Roman"/>
                <w:sz w:val="29"/>
                <w:szCs w:val="29"/>
                <w:b w:val="1"/>
                <w:bCs w:val="1"/>
                <w:color w:val="auto"/>
                <w:vertAlign w:val="superscript"/>
              </w:rPr>
              <w:t>(8)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11,542,827</w:t>
            </w:r>
          </w:p>
        </w:tc>
        <w:tc>
          <w:tcPr>
            <w:tcW w:w="140" w:type="dxa"/>
            <w:vAlign w:val="bottom"/>
          </w:tcPr>
          <w:p>
            <w:pPr>
              <w:spacing w:after="0"/>
              <w:rPr>
                <w:sz w:val="24"/>
                <w:szCs w:val="24"/>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11.9%</w:t>
            </w:r>
          </w:p>
        </w:tc>
        <w:tc>
          <w:tcPr>
            <w:tcW w:w="9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22,970,182</w:t>
            </w:r>
          </w:p>
        </w:tc>
        <w:tc>
          <w:tcPr>
            <w:tcW w:w="100" w:type="dxa"/>
            <w:vAlign w:val="bottom"/>
          </w:tcPr>
          <w:p>
            <w:pPr>
              <w:spacing w:after="0"/>
              <w:rPr>
                <w:sz w:val="24"/>
                <w:szCs w:val="24"/>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24"/>
                <w:szCs w:val="24"/>
                <w:color w:val="auto"/>
              </w:rPr>
            </w:pPr>
          </w:p>
        </w:tc>
        <w:tc>
          <w:tcPr>
            <w:tcW w:w="8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304"/>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Five Percent Holders:</w:t>
            </w: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Ghost Media Group, LLC</w:t>
            </w:r>
            <w:r>
              <w:rPr>
                <w:rFonts w:ascii="Times New Roman" w:cs="Times New Roman" w:eastAsia="Times New Roman" w:hAnsi="Times New Roman"/>
                <w:sz w:val="29"/>
                <w:szCs w:val="29"/>
                <w:color w:val="auto"/>
                <w:vertAlign w:val="superscript"/>
              </w:rPr>
              <w:t>(6)(7)</w:t>
            </w: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8,469,191</w:t>
            </w:r>
          </w:p>
        </w:tc>
        <w:tc>
          <w:tcPr>
            <w:tcW w:w="100" w:type="dxa"/>
            <w:vAlign w:val="bottom"/>
          </w:tcPr>
          <w:p>
            <w:pPr>
              <w:spacing w:after="0"/>
              <w:rPr>
                <w:sz w:val="24"/>
                <w:szCs w:val="24"/>
                <w:color w:val="auto"/>
              </w:rPr>
            </w:pPr>
          </w:p>
        </w:tc>
        <w:tc>
          <w:tcPr>
            <w:tcW w:w="8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24"/>
                <w:szCs w:val="24"/>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364"/>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w:t>
            </w:r>
            <w:r>
              <w:rPr>
                <w:rFonts w:ascii="Times New Roman" w:cs="Times New Roman" w:eastAsia="Times New Roman" w:hAnsi="Times New Roman"/>
                <w:sz w:val="29"/>
                <w:szCs w:val="29"/>
                <w:color w:val="auto"/>
                <w:vertAlign w:val="superscript"/>
              </w:rPr>
              <w:t>(9)</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6,016,658</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365"/>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Christopher Beals</w:t>
            </w:r>
            <w:r>
              <w:rPr>
                <w:rFonts w:ascii="Times New Roman" w:cs="Times New Roman" w:eastAsia="Times New Roman" w:hAnsi="Times New Roman"/>
                <w:sz w:val="29"/>
                <w:szCs w:val="29"/>
                <w:color w:val="auto"/>
                <w:vertAlign w:val="superscript"/>
              </w:rPr>
              <w:t>(4)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428,773</w:t>
            </w:r>
          </w:p>
        </w:tc>
        <w:tc>
          <w:tcPr>
            <w:tcW w:w="140" w:type="dxa"/>
            <w:vAlign w:val="bottom"/>
          </w:tcPr>
          <w:p>
            <w:pPr>
              <w:spacing w:after="0"/>
              <w:rPr>
                <w:sz w:val="24"/>
                <w:szCs w:val="24"/>
                <w:color w:val="auto"/>
              </w:rPr>
            </w:pP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0.4%</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6,166,819</w:t>
            </w:r>
          </w:p>
        </w:tc>
        <w:tc>
          <w:tcPr>
            <w:tcW w:w="100" w:type="dxa"/>
            <w:vAlign w:val="bottom"/>
          </w:tcPr>
          <w:p>
            <w:pPr>
              <w:spacing w:after="0"/>
              <w:rPr>
                <w:sz w:val="24"/>
                <w:szCs w:val="24"/>
                <w:color w:val="auto"/>
              </w:rPr>
            </w:pPr>
          </w:p>
        </w:tc>
        <w:tc>
          <w:tcPr>
            <w:tcW w:w="8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4"/>
                <w:szCs w:val="24"/>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364"/>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Hartfield</w:t>
            </w:r>
            <w:r>
              <w:rPr>
                <w:rFonts w:ascii="Times New Roman" w:cs="Times New Roman" w:eastAsia="Times New Roman" w:hAnsi="Times New Roman"/>
                <w:sz w:val="29"/>
                <w:szCs w:val="29"/>
                <w:color w:val="auto"/>
                <w:vertAlign w:val="superscript"/>
              </w:rPr>
              <w:t>(7)</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61,679</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0.1%</w:t>
            </w:r>
          </w:p>
        </w:tc>
        <w:tc>
          <w:tcPr>
            <w:tcW w:w="94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29,318,217</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-3830955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-3830955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-3830955</wp:posOffset>
            </wp:positionV>
            <wp:extent cx="768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3134360</wp:posOffset>
            </wp:positionH>
            <wp:positionV relativeFrom="paragraph">
              <wp:posOffset>-3830955</wp:posOffset>
            </wp:positionV>
            <wp:extent cx="857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-3830955</wp:posOffset>
            </wp:positionV>
            <wp:extent cx="857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noted, the business address of each of the following entities or individuals is 41 Discovery, Irvine, California 92618.</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of Class A Common Stock and Class V Common Stock are entitled to one vote for each share of Class A Common Stock or Class V Common Stock, as the case may be, held by them. Each share of Class V Common Stock, together with a corresponding limited liability company interest in WMH LLC (as defined below) (together, a “Paired Interest”) is exchangeable for shares of Class A Common Stock on a one-for-one basis from time to time, unless we determine to pay cash consideration for such Paired Interests.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4" w:name="page115"/>
    <w:bookmarkEnd w:id="1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right="299" w:hanging="348"/>
        <w:spacing w:after="0" w:line="250" w:lineRule="auto"/>
        <w:tabs>
          <w:tab w:leader="none" w:pos="6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percentage of voting power of the holders of Class A Common Stock and Class V Common Stock voting together as a single class.</w:t>
      </w:r>
    </w:p>
    <w:p>
      <w:pPr>
        <w:spacing w:after="0" w:line="183"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information for the Company’s former executive officer, Mr. Beals is as of November 7, 2022, which is the date on which he ceased to be an employee of the Company and is the most recent date for which information is available.</w:t>
      </w:r>
    </w:p>
    <w:p>
      <w:pPr>
        <w:jc w:val="both"/>
        <w:ind w:left="640" w:right="299" w:hanging="348"/>
        <w:spacing w:after="0"/>
        <w:tabs>
          <w:tab w:leader="none" w:pos="6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3,750,000 shares in the aggregate of shares of Class A Common Stock held by AFV Partners SPV-5 (WM) LLC (“AFV 5”), AFV Partners SPV-6 (WM) LLC (“AFV 6”) and three family trusts (the “Trusts”) upon the completion of the business combination pursuant to the PIPE subscription financing. Mr. Aquila is the Chairman and CEO of AFV Management Advisors LLC, which exercises ultimate voting and investment power with respect to the shares held by AFV 5and AFV 6 and a co-trustee of each of the Trusts and as such may be deemed to hold voting and dispositive power with respect to the shares held in the aggregate by such Trusts. It includes 1.547.761 shares of Class A Common Stock that Mr. Aquila personally holds. The business address of the reporting person is 2126 Hamilton Road Suite 260, Argyle, TX 76226.</w:t>
      </w:r>
    </w:p>
    <w:p>
      <w:pPr>
        <w:spacing w:after="0" w:line="127"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Class V Common Stock beneficially owned includes 12,431,818 shares of Class V Common Stock held by Mr. Francis, 8,469,191 shares of Class V Common Stock held by Ghost Media Group, LLC, 600,618 shares of Class V Common Stock held by Genco Incentives, LLC and 1,468,555 shares of Class V Common Stock held by WM Founders Legacy I, LLC. Ghost Media Group, LLC is controlled by Messrs. Francis and Hartfield and WM Founders Legacy I, LLC and Genco Incentives, LLC are controlled by Mr. Francis. Accordingly, Mr. Francis may be deemed to be a beneficial owner of the Class A Units held by Ghost Media Group, LLC, Genco Incentives, LLC and WM Founders Legacy I, LLC.</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19,278,067 shares of Class V Common Stock held by Mr. Hartfield, 8,469,191 shares of Class V Common Stock held by Ghost Media Group, LLC and 1,570,959 shares of Class V Common Stock held by WM Founders Legacy II, LLC. Ghost Media Group, LLC is controlled by Messrs. Hartfield and Francis and WM Founders Legacy II, LLC is controlled by Mr. Hartfield. Accordingly, Mr. Hartfield may be deemed to be a beneficial owner of the shares held by Ghost Media Group, LLC and WM Founders Legacy II, LLC.</w:t>
      </w:r>
    </w:p>
    <w:p>
      <w:pPr>
        <w:spacing w:after="0" w:line="15" w:lineRule="exact"/>
        <w:rPr>
          <w:sz w:val="20"/>
          <w:szCs w:val="20"/>
          <w:color w:val="auto"/>
        </w:rPr>
      </w:pPr>
    </w:p>
    <w:p>
      <w:pPr>
        <w:jc w:val="center"/>
        <w:ind w:right="19"/>
        <w:spacing w:after="0"/>
        <w:tabs>
          <w:tab w:leader="none" w:pos="160" w:val="left"/>
        </w:tabs>
        <w:rPr>
          <w:sz w:val="20"/>
          <w:szCs w:val="20"/>
          <w:color w:val="auto"/>
        </w:rPr>
      </w:pPr>
      <w:r>
        <w:rPr>
          <w:rFonts w:ascii="Times New Roman" w:cs="Times New Roman" w:eastAsia="Times New Roman" w:hAnsi="Times New Roman"/>
          <w:sz w:val="14"/>
          <w:szCs w:val="14"/>
          <w:color w:val="auto"/>
        </w:rPr>
        <w:t>(8)</w:t>
        <w:tab/>
        <w:t>Class A Common shares consist of (i) 11,402,585 shares held of record by our current executive officers and directors, and</w:t>
      </w:r>
    </w:p>
    <w:p>
      <w:pPr>
        <w:spacing w:after="0" w:line="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(ii) 140,242 shares issuable upon the vesting of RSUs within 60 days of July 22, 2024.</w:t>
      </w:r>
    </w:p>
    <w:p>
      <w:pPr>
        <w:spacing w:after="0" w:line="25" w:lineRule="exact"/>
        <w:rPr>
          <w:sz w:val="20"/>
          <w:szCs w:val="20"/>
          <w:color w:val="auto"/>
        </w:rPr>
      </w:pPr>
    </w:p>
    <w:p>
      <w:pPr>
        <w:ind w:left="640" w:right="299" w:hanging="348"/>
        <w:spacing w:after="0" w:line="261" w:lineRule="auto"/>
        <w:tabs>
          <w:tab w:leader="none" w:pos="6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obtained from a Schedule 13G filed by Morgan Stanley on February 9, 2024, includes 6,016,658 shares of Class A Common stock. The business address of the reporting person is 1585 Broadway, New York, NY 10036.</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5" w:name="page116"/>
    <w:bookmarkEnd w:id="1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Selling Securityholders acquired the Private Placement Warrants and shares of our Class A Common Stock from us in private offerings pursuant to exemptions from registration under Section 4(a)(2) of the Securities Act in connection with a private placement concurrent with Silver Spike’s initial public offering and in connection with the Business Combination. Pursuant to the Amended and Restated Registration Rights Agreement, dated June 16, 2021 among us and certain of our stockholders, the subscription agreements pursuant to which certain of purchasers subscribed to purchase from Silver Spike an aggregate of 32,500,000 shares of Silver Spike’s Class A Common Stock, for a purchase price of $10.00 per share and an aggregate purchase price of $325,000,000, and the Warrant Agreement, dated as of August 7, 2019 (the “Warrant Agreement”), we agreed to file a registration statement with the SEC for the purposes of registering for resale (i) the Private Placement Warrants (and the shares of Class A Common Stock that may be issued upon exercise of the Private Placement Warrants) and (ii) the shares of our Class A Common Stock issued to the Selling Securityholders.</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Except as set forth in the footnotes below, the following table sets forth, based on written representations from the Selling Securityholders, certain information as of June 16, 2021 regarding the beneficial ownership of our Class A Common Stock and Warrants by the Selling Securityholders and the shares of Class A Common Stock and Warrants being offered by the Selling Securityholders (“Registrable Securities”). The applicable percentage ownership of Class A Common Stock is based on 88,836,328 shares of our Class A Common Stock issued and outstanding as of June 30, 2022 and do not take into account the issuance of any shares of Class A Common Stock upon (i) the exercise of 19,499,973 Warrants to purchase an aggregate of 19,499,973 shares of Class A Common Stock, (ii) the exchange of 15,740,281 Class P Units for up to 15,740,281 shares of Class A Common Stock or (iii) the exchange of 56,466,013 Paired Interests for up to 56,466,013 shares of Class A Common Stock.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84"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Information with respect to shares of Class A Common Stock and Private Placement Warrants owned beneficially after the offering assumes the sale of all of the shares of Class A Common Stock and Private Placement Warrants offered and no other purchases or sales of our Class A Common Stock or Private Placement Warrants. The Selling Securityholders may offer and sell some, all or none of their shares of Class A Common Stock or Private Placement Warrants, as applicable.</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Except as indicated by the footnotes below, we believe, based on the information furnished to us, that the Selling Securityholders have sole voting and investment power with respect to all shares of Class A Common Stock and Warrants that they beneficially own, subject to applicable community property laws. Except as otherwise described below, based on the information provided to us by the Selling Securityholders, no Selling Securityholder is a broker-dealer or an affiliate of a broker-dealer.</w:t>
      </w:r>
    </w:p>
    <w:p>
      <w:pPr>
        <w:spacing w:after="0" w:line="7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Up to 12,499,933 shares of Class A Common Stock issuable upon exercise of the Public Warrants are not included in the table below, unless specifically indicated in the footnotes therein.</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4"/>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80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 After</w:t>
            </w: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Beneficially</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780" w:type="dxa"/>
            <w:vAlign w:val="bottom"/>
            <w:gridSpan w:val="2"/>
            <w:vMerge w:val="continue"/>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Class A of</w:t>
            </w:r>
          </w:p>
        </w:tc>
        <w:tc>
          <w:tcPr>
            <w:tcW w:w="7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4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the Offered Shares of</w:t>
            </w:r>
          </w:p>
        </w:tc>
        <w:tc>
          <w:tcPr>
            <w:tcW w:w="1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40" w:type="dxa"/>
            <w:vAlign w:val="bottom"/>
            <w:gridSpan w:val="2"/>
            <w:vMerge w:val="continue"/>
          </w:tcPr>
          <w:p>
            <w:pPr>
              <w:spacing w:after="0"/>
              <w:rPr>
                <w:sz w:val="12"/>
                <w:szCs w:val="12"/>
                <w:color w:val="auto"/>
              </w:rPr>
            </w:pPr>
          </w:p>
        </w:tc>
        <w:tc>
          <w:tcPr>
            <w:tcW w:w="164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15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the Offered</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164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are Sold</w:t>
            </w:r>
          </w:p>
        </w:tc>
        <w:tc>
          <w:tcPr>
            <w:tcW w:w="15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are Sold</w:t>
            </w:r>
          </w:p>
        </w:tc>
        <w:tc>
          <w:tcPr>
            <w:tcW w:w="0" w:type="dxa"/>
            <w:vAlign w:val="bottom"/>
          </w:tcPr>
          <w:p>
            <w:pPr>
              <w:spacing w:after="0"/>
              <w:rPr>
                <w:sz w:val="1"/>
                <w:szCs w:val="1"/>
                <w:color w:val="auto"/>
              </w:rPr>
            </w:pPr>
          </w:p>
        </w:tc>
      </w:tr>
      <w:tr>
        <w:trPr>
          <w:trHeight w:val="92"/>
        </w:trPr>
        <w:tc>
          <w:tcPr>
            <w:tcW w:w="2100" w:type="dxa"/>
            <w:vAlign w:val="bottom"/>
            <w:gridSpan w:val="2"/>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Name of Selling</w:t>
            </w:r>
          </w:p>
        </w:tc>
        <w:tc>
          <w:tcPr>
            <w:tcW w:w="780" w:type="dxa"/>
            <w:vAlign w:val="bottom"/>
            <w:gridSpan w:val="2"/>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78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80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Being</w:t>
            </w:r>
          </w:p>
        </w:tc>
        <w:tc>
          <w:tcPr>
            <w:tcW w:w="74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7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10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line="20" w:lineRule="exact"/>
              <w:rPr>
                <w:sz w:val="1"/>
                <w:szCs w:val="1"/>
                <w:color w:val="auto"/>
              </w:rPr>
            </w:pPr>
          </w:p>
        </w:tc>
      </w:tr>
      <w:tr>
        <w:trPr>
          <w:trHeight w:val="190"/>
        </w:trPr>
        <w:tc>
          <w:tcPr>
            <w:tcW w:w="2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Securityholder</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8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20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Christopher Beals</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6,166,819</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6,166,819</w:t>
            </w:r>
          </w:p>
        </w:tc>
        <w:tc>
          <w:tcPr>
            <w:tcW w:w="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60"/>
        </w:trPr>
        <w:tc>
          <w:tcPr>
            <w:tcW w:w="20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Brian Camire</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681,749</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681,749</w:t>
            </w:r>
          </w:p>
        </w:tc>
        <w:tc>
          <w:tcPr>
            <w:tcW w:w="6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60"/>
        </w:trPr>
        <w:tc>
          <w:tcPr>
            <w:tcW w:w="2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Justin Dean</w:t>
            </w: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619,772</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619,772</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50"/>
        </w:trPr>
        <w:tc>
          <w:tcPr>
            <w:tcW w:w="2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Juanjo Feijoo-Osorio</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681,749</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681,749</w:t>
            </w:r>
          </w:p>
        </w:tc>
        <w:tc>
          <w:tcPr>
            <w:tcW w:w="6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60"/>
        </w:trPr>
        <w:tc>
          <w:tcPr>
            <w:tcW w:w="2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Arden Lee</w:t>
            </w: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1,239,543</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1,239,543</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50"/>
        </w:trPr>
        <w:tc>
          <w:tcPr>
            <w:tcW w:w="2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Steven Jung</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1,314,411</w:t>
            </w:r>
          </w:p>
        </w:tc>
        <w:tc>
          <w:tcPr>
            <w:tcW w:w="6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1,314,411</w:t>
            </w:r>
          </w:p>
        </w:tc>
        <w:tc>
          <w:tcPr>
            <w:tcW w:w="6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60"/>
        </w:trPr>
        <w:tc>
          <w:tcPr>
            <w:tcW w:w="2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Douglas Francis</w:t>
            </w:r>
            <w:r>
              <w:rPr>
                <w:rFonts w:ascii="Times New Roman" w:cs="Times New Roman" w:eastAsia="Times New Roman" w:hAnsi="Times New Roman"/>
                <w:sz w:val="26"/>
                <w:szCs w:val="26"/>
                <w:color w:val="auto"/>
                <w:vertAlign w:val="superscript"/>
              </w:rPr>
              <w:t>(1)</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7"/>
              </w:rPr>
              <w:t>27,700,849</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27,700,849</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51"/>
        </w:trPr>
        <w:tc>
          <w:tcPr>
            <w:tcW w:w="2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Justin Hartfield</w:t>
            </w:r>
            <w:r>
              <w:rPr>
                <w:rFonts w:ascii="Times New Roman" w:cs="Times New Roman" w:eastAsia="Times New Roman" w:hAnsi="Times New Roman"/>
                <w:sz w:val="26"/>
                <w:szCs w:val="26"/>
                <w:color w:val="auto"/>
                <w:vertAlign w:val="superscript"/>
              </w:rPr>
              <w:t>(2)</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7"/>
              </w:rPr>
              <w:t>29,328,310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29,328,310</w:t>
            </w:r>
          </w:p>
        </w:tc>
        <w:tc>
          <w:tcPr>
            <w:tcW w:w="6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4"/>
        </w:trPr>
        <w:tc>
          <w:tcPr>
            <w:tcW w:w="2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 Silver</w:t>
            </w: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Spike Sponsor, LLC</w:t>
            </w:r>
            <w:r>
              <w:rPr>
                <w:rFonts w:ascii="Times New Roman" w:cs="Times New Roman" w:eastAsia="Times New Roman" w:hAnsi="Times New Roman"/>
                <w:sz w:val="26"/>
                <w:szCs w:val="26"/>
                <w:color w:val="auto"/>
                <w:vertAlign w:val="superscript"/>
              </w:rPr>
              <w:t>(3)</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7,515,752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7,000,000</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7,515,752</w:t>
            </w: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7,000,000</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-1996440</wp:posOffset>
            </wp:positionV>
            <wp:extent cx="342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-1996440</wp:posOffset>
            </wp:positionV>
            <wp:extent cx="342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-1996440</wp:posOffset>
            </wp:positionV>
            <wp:extent cx="342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-1996440</wp:posOffset>
            </wp:positionV>
            <wp:extent cx="342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-1996440</wp:posOffset>
            </wp:positionV>
            <wp:extent cx="342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-1996440</wp:posOffset>
            </wp:positionV>
            <wp:extent cx="342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-1996440</wp:posOffset>
            </wp:positionV>
            <wp:extent cx="342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-1996440</wp:posOffset>
            </wp:positionV>
            <wp:extent cx="342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6" w:name="page117"/>
    <w:bookmarkEnd w:id="116"/>
    <w:p>
      <w:pPr>
        <w:spacing w:after="0" w:line="6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80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 After</w:t>
            </w: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Beneficially</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780" w:type="dxa"/>
            <w:vAlign w:val="bottom"/>
            <w:gridSpan w:val="2"/>
            <w:vMerge w:val="continue"/>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Class A of</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the Offered Shares of</w:t>
            </w:r>
          </w:p>
        </w:tc>
        <w:tc>
          <w:tcPr>
            <w:tcW w:w="1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380" w:type="dxa"/>
            <w:vAlign w:val="bottom"/>
            <w:gridSpan w:val="6"/>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Number of  Class A Common Stock</w:t>
            </w:r>
          </w:p>
        </w:tc>
        <w:tc>
          <w:tcPr>
            <w:tcW w:w="15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the Offered</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164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are Sold</w:t>
            </w:r>
          </w:p>
        </w:tc>
        <w:tc>
          <w:tcPr>
            <w:tcW w:w="15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are Sold</w:t>
            </w:r>
          </w:p>
        </w:tc>
        <w:tc>
          <w:tcPr>
            <w:tcW w:w="0" w:type="dxa"/>
            <w:vAlign w:val="bottom"/>
          </w:tcPr>
          <w:p>
            <w:pPr>
              <w:spacing w:after="0"/>
              <w:rPr>
                <w:sz w:val="1"/>
                <w:szCs w:val="1"/>
                <w:color w:val="auto"/>
              </w:rPr>
            </w:pPr>
          </w:p>
        </w:tc>
      </w:tr>
      <w:tr>
        <w:trPr>
          <w:trHeight w:val="92"/>
        </w:trPr>
        <w:tc>
          <w:tcPr>
            <w:tcW w:w="210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Name of Selling</w:t>
            </w:r>
          </w:p>
        </w:tc>
        <w:tc>
          <w:tcPr>
            <w:tcW w:w="780" w:type="dxa"/>
            <w:vAlign w:val="bottom"/>
            <w:gridSpan w:val="2"/>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78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80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Being</w:t>
            </w:r>
          </w:p>
        </w:tc>
        <w:tc>
          <w:tcPr>
            <w:tcW w:w="74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7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100" w:type="dxa"/>
            <w:vAlign w:val="bottom"/>
            <w:gridSpan w:val="3"/>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8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line="20" w:lineRule="exact"/>
              <w:rPr>
                <w:sz w:val="1"/>
                <w:szCs w:val="1"/>
                <w:color w:val="auto"/>
              </w:rPr>
            </w:pPr>
          </w:p>
        </w:tc>
      </w:tr>
      <w:tr>
        <w:trPr>
          <w:trHeight w:val="190"/>
        </w:trPr>
        <w:tc>
          <w:tcPr>
            <w:tcW w:w="2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Securityholder</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8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5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2012 Grassie Family Delaware</w:t>
            </w: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Dynasty Trust</w:t>
            </w:r>
            <w:r>
              <w:rPr>
                <w:rFonts w:ascii="Times New Roman" w:cs="Times New Roman" w:eastAsia="Times New Roman" w:hAnsi="Times New Roman"/>
                <w:sz w:val="26"/>
                <w:szCs w:val="26"/>
                <w:color w:val="auto"/>
                <w:vertAlign w:val="superscript"/>
              </w:rPr>
              <w:t>(4)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2019 Alternative Public</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Investments, LLC</w:t>
            </w:r>
            <w:r>
              <w:rPr>
                <w:rFonts w:ascii="Times New Roman" w:cs="Times New Roman" w:eastAsia="Times New Roman" w:hAnsi="Times New Roman"/>
                <w:sz w:val="26"/>
                <w:szCs w:val="26"/>
                <w:color w:val="auto"/>
                <w:vertAlign w:val="superscript"/>
              </w:rPr>
              <w:t>(5)</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231,123</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231,123</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51"/>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8704856 Canada Inc.</w:t>
            </w:r>
            <w:r>
              <w:rPr>
                <w:rFonts w:ascii="Times New Roman" w:cs="Times New Roman" w:eastAsia="Times New Roman" w:hAnsi="Times New Roman"/>
                <w:sz w:val="26"/>
                <w:szCs w:val="26"/>
                <w:color w:val="auto"/>
                <w:vertAlign w:val="superscript"/>
              </w:rPr>
              <w:t>(6)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5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Adam L. Reeder</w:t>
            </w:r>
            <w:r>
              <w:rPr>
                <w:rFonts w:ascii="Times New Roman" w:cs="Times New Roman" w:eastAsia="Times New Roman" w:hAnsi="Times New Roman"/>
                <w:sz w:val="26"/>
                <w:szCs w:val="26"/>
                <w:color w:val="auto"/>
                <w:vertAlign w:val="superscript"/>
              </w:rPr>
              <w:t>(7)</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51"/>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Aguila Ventures LLC</w:t>
            </w:r>
            <w:r>
              <w:rPr>
                <w:rFonts w:ascii="Times New Roman" w:cs="Times New Roman" w:eastAsia="Times New Roman" w:hAnsi="Times New Roman"/>
                <w:sz w:val="26"/>
                <w:szCs w:val="26"/>
                <w:color w:val="auto"/>
                <w:vertAlign w:val="superscript"/>
              </w:rPr>
              <w:t>(8)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AHPPCB Legacy Trust dated</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February 1, 2014</w:t>
            </w:r>
            <w:r>
              <w:rPr>
                <w:rFonts w:ascii="Times New Roman" w:cs="Times New Roman" w:eastAsia="Times New Roman" w:hAnsi="Times New Roman"/>
                <w:sz w:val="26"/>
                <w:szCs w:val="26"/>
                <w:color w:val="auto"/>
                <w:vertAlign w:val="superscript"/>
              </w:rPr>
              <w:t>(9)</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4"/>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Alasdair I.C. Grassie 2012</w:t>
            </w: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Delaware Trust</w:t>
            </w:r>
            <w:r>
              <w:rPr>
                <w:rFonts w:ascii="Times New Roman" w:cs="Times New Roman" w:eastAsia="Times New Roman" w:hAnsi="Times New Roman"/>
                <w:sz w:val="26"/>
                <w:szCs w:val="26"/>
                <w:color w:val="auto"/>
                <w:vertAlign w:val="superscript"/>
              </w:rPr>
              <w:t>(10)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5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Amer Bisat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Ansari 3 Twelve LLC II</w:t>
            </w:r>
            <w:r>
              <w:rPr>
                <w:rFonts w:ascii="Times New Roman" w:cs="Times New Roman" w:eastAsia="Times New Roman" w:hAnsi="Times New Roman"/>
                <w:sz w:val="26"/>
                <w:szCs w:val="26"/>
                <w:color w:val="auto"/>
                <w:vertAlign w:val="superscript"/>
              </w:rPr>
              <w:t>(11)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180,000</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91,666</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91,666</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Entities affiliated with</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Anthony Aquila</w:t>
            </w:r>
            <w:r>
              <w:rPr>
                <w:rFonts w:ascii="Times New Roman" w:cs="Times New Roman" w:eastAsia="Times New Roman" w:hAnsi="Times New Roman"/>
                <w:sz w:val="26"/>
                <w:szCs w:val="26"/>
                <w:color w:val="auto"/>
                <w:vertAlign w:val="superscript"/>
              </w:rPr>
              <w:t>(12)</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4"/>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Asia Pacific On-Line</w:t>
            </w: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Limited</w:t>
            </w:r>
            <w:r>
              <w:rPr>
                <w:rFonts w:ascii="Times New Roman" w:cs="Times New Roman" w:eastAsia="Times New Roman" w:hAnsi="Times New Roman"/>
                <w:sz w:val="26"/>
                <w:szCs w:val="26"/>
                <w:color w:val="auto"/>
                <w:vertAlign w:val="superscript"/>
              </w:rPr>
              <w:t>(13)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Entities affiliated with</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1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Monashee Investment</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21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Management, LLC</w:t>
            </w:r>
            <w:r>
              <w:rPr>
                <w:rFonts w:ascii="Times New Roman" w:cs="Times New Roman" w:eastAsia="Times New Roman" w:hAnsi="Times New Roman"/>
                <w:sz w:val="26"/>
                <w:szCs w:val="26"/>
                <w:color w:val="auto"/>
                <w:vertAlign w:val="superscript"/>
              </w:rPr>
              <w:t>(14)</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90"/>
        </w:trPr>
        <w:tc>
          <w:tcPr>
            <w:tcW w:w="21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Bernardino Colonna</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Cavenham Private Equity and</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Directs</w:t>
            </w:r>
            <w:r>
              <w:rPr>
                <w:rFonts w:ascii="Times New Roman" w:cs="Times New Roman" w:eastAsia="Times New Roman" w:hAnsi="Times New Roman"/>
                <w:sz w:val="26"/>
                <w:szCs w:val="26"/>
                <w:color w:val="auto"/>
                <w:vertAlign w:val="superscript"/>
              </w:rPr>
              <w:t>(15)</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4"/>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Citadel Multi-Strategy Equities</w:t>
            </w: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Master Fund Ltd.</w:t>
            </w:r>
            <w:r>
              <w:rPr>
                <w:rFonts w:ascii="Times New Roman" w:cs="Times New Roman" w:eastAsia="Times New Roman" w:hAnsi="Times New Roman"/>
                <w:sz w:val="26"/>
                <w:szCs w:val="26"/>
                <w:color w:val="auto"/>
                <w:vertAlign w:val="superscript"/>
              </w:rPr>
              <w:t>(16)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50"/>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Behdad Eghbali</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1,225,000</w:t>
            </w:r>
          </w:p>
        </w:tc>
        <w:tc>
          <w:tcPr>
            <w:tcW w:w="6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1,225,000</w:t>
            </w:r>
          </w:p>
        </w:tc>
        <w:tc>
          <w:tcPr>
            <w:tcW w:w="6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1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Jose E. Feliciano</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625,000</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5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Chalten Investments Ltd</w:t>
            </w:r>
            <w:r>
              <w:rPr>
                <w:rFonts w:ascii="Times New Roman" w:cs="Times New Roman" w:eastAsia="Times New Roman" w:hAnsi="Times New Roman"/>
                <w:sz w:val="26"/>
                <w:szCs w:val="26"/>
                <w:color w:val="auto"/>
                <w:vertAlign w:val="superscript"/>
              </w:rPr>
              <w:t>(17)</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4"/>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Craig Schlanger Trust UAD</w:t>
            </w: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8/31/1979</w:t>
            </w:r>
            <w:r>
              <w:rPr>
                <w:rFonts w:ascii="Times New Roman" w:cs="Times New Roman" w:eastAsia="Times New Roman" w:hAnsi="Times New Roman"/>
                <w:sz w:val="26"/>
                <w:szCs w:val="26"/>
                <w:color w:val="auto"/>
                <w:vertAlign w:val="superscript"/>
              </w:rPr>
              <w:t>(18)</w:t>
            </w:r>
          </w:p>
        </w:tc>
        <w:tc>
          <w:tcPr>
            <w:tcW w:w="5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5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CVI Investments, Inc.</w:t>
            </w:r>
            <w:r>
              <w:rPr>
                <w:rFonts w:ascii="Times New Roman" w:cs="Times New Roman" w:eastAsia="Times New Roman" w:hAnsi="Times New Roman"/>
                <w:sz w:val="26"/>
                <w:szCs w:val="26"/>
                <w:color w:val="auto"/>
                <w:vertAlign w:val="superscript"/>
              </w:rPr>
              <w:t>(19)</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90"/>
        </w:trPr>
        <w:tc>
          <w:tcPr>
            <w:tcW w:w="21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Darren Lazarus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12,150</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5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David M. Baron</w:t>
            </w:r>
            <w:r>
              <w:rPr>
                <w:rFonts w:ascii="Times New Roman" w:cs="Times New Roman" w:eastAsia="Times New Roman" w:hAnsi="Times New Roman"/>
                <w:sz w:val="26"/>
                <w:szCs w:val="26"/>
                <w:color w:val="auto"/>
                <w:vertAlign w:val="superscript"/>
              </w:rPr>
              <w:t>(20)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50"/>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David Mayer de Rothschild</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60"/>
        </w:trPr>
        <w:tc>
          <w:tcPr>
            <w:tcW w:w="15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David Morrill</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6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6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1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David Todd Posen</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50"/>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Debra Shemesh-Joester</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6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6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Doug Kaplan</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60"/>
        </w:trPr>
        <w:tc>
          <w:tcPr>
            <w:tcW w:w="15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Eric Aroesty</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6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6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Eric Hirschfield</w:t>
            </w:r>
            <w:r>
              <w:rPr>
                <w:rFonts w:ascii="Times New Roman" w:cs="Times New Roman" w:eastAsia="Times New Roman" w:hAnsi="Times New Roman"/>
                <w:sz w:val="26"/>
                <w:szCs w:val="26"/>
                <w:color w:val="auto"/>
                <w:vertAlign w:val="superscript"/>
              </w:rPr>
              <w:t>(21)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Euan C.A. Grassie 2012</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Delaware Trust</w:t>
            </w:r>
            <w:r>
              <w:rPr>
                <w:rFonts w:ascii="Times New Roman" w:cs="Times New Roman" w:eastAsia="Times New Roman" w:hAnsi="Times New Roman"/>
                <w:sz w:val="26"/>
                <w:szCs w:val="26"/>
                <w:color w:val="auto"/>
                <w:vertAlign w:val="superscript"/>
              </w:rPr>
              <w:t>(22)</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51"/>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Federated Funds</w:t>
            </w:r>
            <w:r>
              <w:rPr>
                <w:rFonts w:ascii="Times New Roman" w:cs="Times New Roman" w:eastAsia="Times New Roman" w:hAnsi="Times New Roman"/>
                <w:sz w:val="26"/>
                <w:szCs w:val="26"/>
                <w:color w:val="auto"/>
                <w:vertAlign w:val="superscript"/>
              </w:rPr>
              <w:t>(23)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Final Word Investments</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tcPr>
          <w:p>
            <w:pPr>
              <w:ind w:left="160"/>
              <w:spacing w:after="0" w:line="310" w:lineRule="exact"/>
              <w:rPr>
                <w:sz w:val="20"/>
                <w:szCs w:val="20"/>
                <w:color w:val="auto"/>
              </w:rPr>
            </w:pPr>
            <w:r>
              <w:rPr>
                <w:rFonts w:ascii="Times New Roman" w:cs="Times New Roman" w:eastAsia="Times New Roman" w:hAnsi="Times New Roman"/>
                <w:sz w:val="32"/>
                <w:szCs w:val="32"/>
                <w:color w:val="auto"/>
                <w:vertAlign w:val="subscript"/>
              </w:rPr>
              <w:t>LLC</w:t>
            </w:r>
            <w:r>
              <w:rPr>
                <w:rFonts w:ascii="Times New Roman" w:cs="Times New Roman" w:eastAsia="Times New Roman" w:hAnsi="Times New Roman"/>
                <w:sz w:val="13"/>
                <w:szCs w:val="13"/>
                <w:color w:val="auto"/>
              </w:rPr>
              <w:t>(24)</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4"/>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Granite Point Master Fund,</w:t>
            </w: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shd w:val="clear" w:color="auto" w:fill="CCEEFF"/>
          </w:tcPr>
          <w:p>
            <w:pPr>
              <w:ind w:left="160"/>
              <w:spacing w:after="0" w:line="310" w:lineRule="exact"/>
              <w:rPr>
                <w:sz w:val="20"/>
                <w:szCs w:val="20"/>
                <w:color w:val="auto"/>
              </w:rPr>
            </w:pPr>
            <w:r>
              <w:rPr>
                <w:rFonts w:ascii="Times New Roman" w:cs="Times New Roman" w:eastAsia="Times New Roman" w:hAnsi="Times New Roman"/>
                <w:sz w:val="32"/>
                <w:szCs w:val="32"/>
                <w:color w:val="auto"/>
                <w:vertAlign w:val="subscript"/>
              </w:rPr>
              <w:t>LP</w:t>
            </w:r>
            <w:r>
              <w:rPr>
                <w:rFonts w:ascii="Times New Roman" w:cs="Times New Roman" w:eastAsia="Times New Roman" w:hAnsi="Times New Roman"/>
                <w:sz w:val="13"/>
                <w:szCs w:val="13"/>
                <w:color w:val="auto"/>
              </w:rPr>
              <w:t>(25)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437,500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437,500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Gregor C.A. Grassie 2012</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Delaware Trust</w:t>
            </w:r>
            <w:r>
              <w:rPr>
                <w:rFonts w:ascii="Times New Roman" w:cs="Times New Roman" w:eastAsia="Times New Roman" w:hAnsi="Times New Roman"/>
                <w:sz w:val="26"/>
                <w:szCs w:val="26"/>
                <w:color w:val="auto"/>
                <w:vertAlign w:val="superscript"/>
              </w:rPr>
              <w:t>(26)</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2"/>
        </w:trPr>
        <w:tc>
          <w:tcPr>
            <w:tcW w:w="1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-9375140</wp:posOffset>
            </wp:positionV>
            <wp:extent cx="342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-9375140</wp:posOffset>
            </wp:positionV>
            <wp:extent cx="342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-9375140</wp:posOffset>
            </wp:positionV>
            <wp:extent cx="342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-9375140</wp:posOffset>
            </wp:positionV>
            <wp:extent cx="342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-9375140</wp:posOffset>
            </wp:positionV>
            <wp:extent cx="342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-9375140</wp:posOffset>
            </wp:positionV>
            <wp:extent cx="342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-9375140</wp:posOffset>
            </wp:positionV>
            <wp:extent cx="342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-9375140</wp:posOffset>
            </wp:positionV>
            <wp:extent cx="342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900" w:orient="portrait"/>
          <w:cols w:equalWidth="0" w:num="1">
            <w:col w:w="9019"/>
          </w:cols>
          <w:pgMar w:left="1440" w:top="262" w:right="1440" w:bottom="0" w:gutter="0" w:footer="0" w:header="0"/>
        </w:sectPr>
      </w:pPr>
    </w:p>
    <w:bookmarkStart w:id="117" w:name="page118"/>
    <w:bookmarkEnd w:id="117"/>
    <w:p>
      <w:pPr>
        <w:ind w:left="300"/>
        <w:spacing w:after="0"/>
        <w:tabs>
          <w:tab w:leader="none" w:pos="2540" w:val="left"/>
          <w:tab w:leader="none" w:pos="3580" w:val="left"/>
          <w:tab w:leader="none" w:pos="4100" w:val="left"/>
          <w:tab w:leader="none" w:pos="5000" w:val="left"/>
          <w:tab w:leader="none" w:pos="5800" w:val="left"/>
          <w:tab w:leader="none" w:pos="6600" w:val="left"/>
          <w:tab w:leader="none" w:pos="7560" w:val="left"/>
          <w:tab w:leader="none" w:pos="8240" w:val="left"/>
        </w:tabs>
        <w:rPr>
          <w:sz w:val="20"/>
          <w:szCs w:val="20"/>
          <w:color w:val="auto"/>
        </w:rPr>
      </w:pPr>
      <w:r>
        <w:rPr>
          <w:rFonts w:ascii="Times New Roman" w:cs="Times New Roman" w:eastAsia="Times New Roman" w:hAnsi="Times New Roman"/>
          <w:sz w:val="16"/>
          <w:szCs w:val="16"/>
          <w:color w:val="auto"/>
        </w:rPr>
        <w:t>GS+A Global Special</w:t>
      </w:r>
      <w:r>
        <w:rPr>
          <w:sz w:val="20"/>
          <w:szCs w:val="20"/>
          <w:color w:val="auto"/>
        </w:rPr>
        <w:tab/>
      </w:r>
      <w:r>
        <w:rPr>
          <w:rFonts w:ascii="Times New Roman" w:cs="Times New Roman" w:eastAsia="Times New Roman" w:hAnsi="Times New Roman"/>
          <w:sz w:val="16"/>
          <w:szCs w:val="16"/>
          <w:color w:val="auto"/>
        </w:rPr>
        <w:t>350,000</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350,000</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-107315</wp:posOffset>
            </wp:positionV>
            <wp:extent cx="5357495" cy="31686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357495" cy="31686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p>
      <w:pPr>
        <w:spacing w:after="0" w:line="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Situations Fund</w:t>
      </w:r>
      <w:r>
        <w:rPr>
          <w:rFonts w:ascii="Times New Roman" w:cs="Times New Roman" w:eastAsia="Times New Roman" w:hAnsi="Times New Roman"/>
          <w:sz w:val="26"/>
          <w:szCs w:val="26"/>
          <w:color w:val="auto"/>
          <w:vertAlign w:val="superscript"/>
        </w:rPr>
        <w:t>(27)</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144780</wp:posOffset>
            </wp:positionV>
            <wp:extent cx="699516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type w:val="continuous"/>
        </w:sectPr>
      </w:pPr>
    </w:p>
    <w:bookmarkStart w:id="118" w:name="page119"/>
    <w:bookmarkEnd w:id="118"/>
    <w:p>
      <w:pPr>
        <w:spacing w:after="0" w:line="6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80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 After</w:t>
            </w: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Beneficially</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780" w:type="dxa"/>
            <w:vAlign w:val="bottom"/>
            <w:gridSpan w:val="2"/>
            <w:vMerge w:val="continue"/>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Class A of</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the Offered Shares of</w:t>
            </w:r>
          </w:p>
        </w:tc>
        <w:tc>
          <w:tcPr>
            <w:tcW w:w="1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380" w:type="dxa"/>
            <w:vAlign w:val="bottom"/>
            <w:gridSpan w:val="6"/>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Number of  Class A Common Stock</w:t>
            </w:r>
          </w:p>
        </w:tc>
        <w:tc>
          <w:tcPr>
            <w:tcW w:w="15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the Offered</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164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are Sold</w:t>
            </w:r>
          </w:p>
        </w:tc>
        <w:tc>
          <w:tcPr>
            <w:tcW w:w="15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are Sold</w:t>
            </w:r>
          </w:p>
        </w:tc>
        <w:tc>
          <w:tcPr>
            <w:tcW w:w="0" w:type="dxa"/>
            <w:vAlign w:val="bottom"/>
          </w:tcPr>
          <w:p>
            <w:pPr>
              <w:spacing w:after="0"/>
              <w:rPr>
                <w:sz w:val="1"/>
                <w:szCs w:val="1"/>
                <w:color w:val="auto"/>
              </w:rPr>
            </w:pPr>
          </w:p>
        </w:tc>
      </w:tr>
      <w:tr>
        <w:trPr>
          <w:trHeight w:val="92"/>
        </w:trPr>
        <w:tc>
          <w:tcPr>
            <w:tcW w:w="210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Name of Selling</w:t>
            </w:r>
          </w:p>
        </w:tc>
        <w:tc>
          <w:tcPr>
            <w:tcW w:w="780" w:type="dxa"/>
            <w:vAlign w:val="bottom"/>
            <w:gridSpan w:val="2"/>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78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80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Being</w:t>
            </w:r>
          </w:p>
        </w:tc>
        <w:tc>
          <w:tcPr>
            <w:tcW w:w="74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7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100" w:type="dxa"/>
            <w:vAlign w:val="bottom"/>
            <w:gridSpan w:val="3"/>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8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4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line="20" w:lineRule="exact"/>
              <w:rPr>
                <w:sz w:val="1"/>
                <w:szCs w:val="1"/>
                <w:color w:val="auto"/>
              </w:rPr>
            </w:pPr>
          </w:p>
        </w:tc>
      </w:tr>
      <w:tr>
        <w:trPr>
          <w:trHeight w:val="190"/>
        </w:trPr>
        <w:tc>
          <w:tcPr>
            <w:tcW w:w="2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Securityholder</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8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5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Harbert Stoneview Master</w:t>
            </w: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Fund, Ltd.</w:t>
            </w:r>
            <w:r>
              <w:rPr>
                <w:rFonts w:ascii="Times New Roman" w:cs="Times New Roman" w:eastAsia="Times New Roman" w:hAnsi="Times New Roman"/>
                <w:sz w:val="26"/>
                <w:szCs w:val="26"/>
                <w:color w:val="auto"/>
                <w:vertAlign w:val="superscript"/>
              </w:rPr>
              <w:t>(28)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Homer Parkhill</w:t>
            </w:r>
            <w:r>
              <w:rPr>
                <w:rFonts w:ascii="Times New Roman" w:cs="Times New Roman" w:eastAsia="Times New Roman" w:hAnsi="Times New Roman"/>
                <w:sz w:val="26"/>
                <w:szCs w:val="26"/>
                <w:color w:val="auto"/>
                <w:vertAlign w:val="superscript"/>
              </w:rPr>
              <w:t>(29)</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Hoplite Capital Series LLC –</w:t>
            </w: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Kerdos</w:t>
            </w:r>
            <w:r>
              <w:rPr>
                <w:rFonts w:ascii="Times New Roman" w:cs="Times New Roman" w:eastAsia="Times New Roman" w:hAnsi="Times New Roman"/>
                <w:sz w:val="26"/>
                <w:szCs w:val="26"/>
                <w:color w:val="auto"/>
                <w:vertAlign w:val="superscript"/>
              </w:rPr>
              <w:t>(30)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Interward Capital Corp</w:t>
            </w:r>
            <w:r>
              <w:rPr>
                <w:rFonts w:ascii="Times New Roman" w:cs="Times New Roman" w:eastAsia="Times New Roman" w:hAnsi="Times New Roman"/>
                <w:sz w:val="26"/>
                <w:szCs w:val="26"/>
                <w:color w:val="auto"/>
                <w:vertAlign w:val="superscript"/>
              </w:rPr>
              <w:t>(31)</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James Ben</w:t>
            </w:r>
            <w:r>
              <w:rPr>
                <w:rFonts w:ascii="Times New Roman" w:cs="Times New Roman" w:eastAsia="Times New Roman" w:hAnsi="Times New Roman"/>
                <w:sz w:val="26"/>
                <w:szCs w:val="26"/>
                <w:color w:val="auto"/>
                <w:vertAlign w:val="superscript"/>
              </w:rPr>
              <w:t>(32)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James Neissa</w:t>
            </w:r>
            <w:r>
              <w:rPr>
                <w:rFonts w:ascii="Times New Roman" w:cs="Times New Roman" w:eastAsia="Times New Roman" w:hAnsi="Times New Roman"/>
                <w:sz w:val="26"/>
                <w:szCs w:val="26"/>
                <w:color w:val="auto"/>
                <w:vertAlign w:val="superscript"/>
              </w:rPr>
              <w:t>(33)</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0"/>
        </w:trPr>
        <w:tc>
          <w:tcPr>
            <w:tcW w:w="21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Jeffrey Jagid</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27,650</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Jonathan Jagid</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6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6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1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Joshua Jagid</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Joshua Samuelson</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91,250</w:t>
            </w:r>
          </w:p>
        </w:tc>
        <w:tc>
          <w:tcPr>
            <w:tcW w:w="6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91,250</w:t>
            </w:r>
          </w:p>
        </w:tc>
        <w:tc>
          <w:tcPr>
            <w:tcW w:w="6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1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Kaitlin Carey</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Katz 2014 Limited</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Partnership</w:t>
            </w:r>
            <w:r>
              <w:rPr>
                <w:rFonts w:ascii="Times New Roman" w:cs="Times New Roman" w:eastAsia="Times New Roman" w:hAnsi="Times New Roman"/>
                <w:sz w:val="26"/>
                <w:szCs w:val="26"/>
                <w:color w:val="auto"/>
                <w:vertAlign w:val="superscript"/>
              </w:rPr>
              <w:t>(34)</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90"/>
        </w:trPr>
        <w:tc>
          <w:tcPr>
            <w:tcW w:w="21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Keith F. Overlander</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Lachlan S.H. Grassie 2012</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Delaware Trust</w:t>
            </w:r>
            <w:r>
              <w:rPr>
                <w:rFonts w:ascii="Times New Roman" w:cs="Times New Roman" w:eastAsia="Times New Roman" w:hAnsi="Times New Roman"/>
                <w:sz w:val="26"/>
                <w:szCs w:val="26"/>
                <w:color w:val="auto"/>
                <w:vertAlign w:val="superscript"/>
              </w:rPr>
              <w:t>(35)</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Landis Capital LLC</w:t>
            </w:r>
            <w:r>
              <w:rPr>
                <w:rFonts w:ascii="Times New Roman" w:cs="Times New Roman" w:eastAsia="Times New Roman" w:hAnsi="Times New Roman"/>
                <w:sz w:val="26"/>
                <w:szCs w:val="26"/>
                <w:color w:val="auto"/>
                <w:vertAlign w:val="superscript"/>
              </w:rPr>
              <w:t>(36)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Laurence Russian</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1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Laurence Schreiber</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Entities affiliated with Luxor</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Capital</w:t>
            </w:r>
            <w:r>
              <w:rPr>
                <w:rFonts w:ascii="Times New Roman" w:cs="Times New Roman" w:eastAsia="Times New Roman" w:hAnsi="Times New Roman"/>
                <w:sz w:val="26"/>
                <w:szCs w:val="26"/>
                <w:color w:val="auto"/>
                <w:vertAlign w:val="superscript"/>
              </w:rPr>
              <w:t>(37)</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5,147,524</w:t>
            </w:r>
          </w:p>
        </w:tc>
        <w:tc>
          <w:tcPr>
            <w:tcW w:w="60" w:type="dxa"/>
            <w:vAlign w:val="bottom"/>
          </w:tcPr>
          <w:p>
            <w:pPr>
              <w:spacing w:after="0"/>
              <w:rPr>
                <w:sz w:val="24"/>
                <w:szCs w:val="24"/>
                <w:color w:val="auto"/>
              </w:rPr>
            </w:pP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369,756</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2,447,524</w:t>
            </w:r>
          </w:p>
        </w:tc>
        <w:tc>
          <w:tcPr>
            <w:tcW w:w="60" w:type="dxa"/>
            <w:vAlign w:val="bottom"/>
          </w:tcPr>
          <w:p>
            <w:pPr>
              <w:spacing w:after="0"/>
              <w:rPr>
                <w:sz w:val="24"/>
                <w:szCs w:val="24"/>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2.76%</w:t>
            </w:r>
          </w:p>
        </w:tc>
        <w:tc>
          <w:tcPr>
            <w:tcW w:w="60" w:type="dxa"/>
            <w:vAlign w:val="bottom"/>
          </w:tcPr>
          <w:p>
            <w:pPr>
              <w:spacing w:after="0"/>
              <w:rPr>
                <w:sz w:val="24"/>
                <w:szCs w:val="24"/>
                <w:color w:val="auto"/>
              </w:rPr>
            </w:pPr>
          </w:p>
        </w:tc>
        <w:tc>
          <w:tcPr>
            <w:tcW w:w="7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369,756</w:t>
            </w:r>
          </w:p>
        </w:tc>
        <w:tc>
          <w:tcPr>
            <w:tcW w:w="60" w:type="dxa"/>
            <w:vAlign w:val="bottom"/>
          </w:tcPr>
          <w:p>
            <w:pPr>
              <w:spacing w:after="0"/>
              <w:rPr>
                <w:sz w:val="24"/>
                <w:szCs w:val="24"/>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44"/>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w:t>
            </w: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Manatuck Hill</w:t>
            </w:r>
            <w:r>
              <w:rPr>
                <w:rFonts w:ascii="Times New Roman" w:cs="Times New Roman" w:eastAsia="Times New Roman" w:hAnsi="Times New Roman"/>
                <w:sz w:val="26"/>
                <w:szCs w:val="26"/>
                <w:color w:val="auto"/>
                <w:vertAlign w:val="superscript"/>
              </w:rPr>
              <w:t>(38)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Marc Sontrop</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1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Matthew Tomasino</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Measure 8 Full Spectrum,</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tcPr>
          <w:p>
            <w:pPr>
              <w:ind w:left="160"/>
              <w:spacing w:after="0" w:line="310" w:lineRule="exact"/>
              <w:rPr>
                <w:sz w:val="20"/>
                <w:szCs w:val="20"/>
                <w:color w:val="auto"/>
              </w:rPr>
            </w:pPr>
            <w:r>
              <w:rPr>
                <w:rFonts w:ascii="Times New Roman" w:cs="Times New Roman" w:eastAsia="Times New Roman" w:hAnsi="Times New Roman"/>
                <w:sz w:val="32"/>
                <w:szCs w:val="32"/>
                <w:color w:val="auto"/>
                <w:vertAlign w:val="subscript"/>
              </w:rPr>
              <w:t>LP</w:t>
            </w:r>
            <w:r>
              <w:rPr>
                <w:rFonts w:ascii="Times New Roman" w:cs="Times New Roman" w:eastAsia="Times New Roman" w:hAnsi="Times New Roman"/>
                <w:sz w:val="13"/>
                <w:szCs w:val="13"/>
                <w:color w:val="auto"/>
              </w:rPr>
              <w:t>(39)</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Ninepoint Alternative Health</w:t>
            </w: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Fund</w:t>
            </w:r>
            <w:r>
              <w:rPr>
                <w:rFonts w:ascii="Times New Roman" w:cs="Times New Roman" w:eastAsia="Times New Roman" w:hAnsi="Times New Roman"/>
                <w:sz w:val="26"/>
                <w:szCs w:val="26"/>
                <w:color w:val="auto"/>
                <w:vertAlign w:val="superscript"/>
              </w:rPr>
              <w:t>(40)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Paul A. Halpern Trust date</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July 24, 2000</w:t>
            </w:r>
            <w:r>
              <w:rPr>
                <w:rFonts w:ascii="Times New Roman" w:cs="Times New Roman" w:eastAsia="Times New Roman" w:hAnsi="Times New Roman"/>
                <w:sz w:val="26"/>
                <w:szCs w:val="26"/>
                <w:color w:val="auto"/>
                <w:vertAlign w:val="superscript"/>
              </w:rPr>
              <w:t>(41)</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Perch Bay Group, LLC</w:t>
            </w:r>
            <w:r>
              <w:rPr>
                <w:rFonts w:ascii="Times New Roman" w:cs="Times New Roman" w:eastAsia="Times New Roman" w:hAnsi="Times New Roman"/>
                <w:sz w:val="26"/>
                <w:szCs w:val="26"/>
                <w:color w:val="auto"/>
                <w:vertAlign w:val="superscript"/>
              </w:rPr>
              <w:t>(42)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Peter J. Moses</w:t>
            </w:r>
            <w:r>
              <w:rPr>
                <w:rFonts w:ascii="Times New Roman" w:cs="Times New Roman" w:eastAsia="Times New Roman" w:hAnsi="Times New Roman"/>
                <w:sz w:val="26"/>
                <w:szCs w:val="26"/>
                <w:color w:val="auto"/>
                <w:vertAlign w:val="superscript"/>
              </w:rPr>
              <w:t>(43)</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 the</w:t>
            </w: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Polar Funds</w:t>
            </w:r>
            <w:r>
              <w:rPr>
                <w:rFonts w:ascii="Times New Roman" w:cs="Times New Roman" w:eastAsia="Times New Roman" w:hAnsi="Times New Roman"/>
                <w:sz w:val="26"/>
                <w:szCs w:val="26"/>
                <w:color w:val="auto"/>
                <w:vertAlign w:val="superscript"/>
              </w:rPr>
              <w:t>(44)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Ponya Asset Management</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tcPr>
          <w:p>
            <w:pPr>
              <w:ind w:left="160"/>
              <w:spacing w:after="0" w:line="310" w:lineRule="exact"/>
              <w:rPr>
                <w:sz w:val="20"/>
                <w:szCs w:val="20"/>
                <w:color w:val="auto"/>
              </w:rPr>
            </w:pPr>
            <w:r>
              <w:rPr>
                <w:rFonts w:ascii="Times New Roman" w:cs="Times New Roman" w:eastAsia="Times New Roman" w:hAnsi="Times New Roman"/>
                <w:sz w:val="32"/>
                <w:szCs w:val="32"/>
                <w:color w:val="auto"/>
                <w:vertAlign w:val="subscript"/>
              </w:rPr>
              <w:t>LLC</w:t>
            </w:r>
            <w:r>
              <w:rPr>
                <w:rFonts w:ascii="Times New Roman" w:cs="Times New Roman" w:eastAsia="Times New Roman" w:hAnsi="Times New Roman"/>
                <w:sz w:val="13"/>
                <w:szCs w:val="13"/>
                <w:color w:val="auto"/>
              </w:rPr>
              <w:t>(45)</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Ray E. Newton III Revocable</w:t>
            </w: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2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Trust UAD 10/11/12 as</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2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amended 7/23/19</w:t>
            </w:r>
            <w:r>
              <w:rPr>
                <w:rFonts w:ascii="Times New Roman" w:cs="Times New Roman" w:eastAsia="Times New Roman" w:hAnsi="Times New Roman"/>
                <w:sz w:val="26"/>
                <w:szCs w:val="26"/>
                <w:color w:val="auto"/>
                <w:vertAlign w:val="superscript"/>
              </w:rPr>
              <w:t>(46)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7,550</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7,550</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Richard Goldman</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21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Richard Prager</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Robinson Family Trust</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1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2016</w:t>
            </w:r>
            <w:r>
              <w:rPr>
                <w:rFonts w:ascii="Times New Roman" w:cs="Times New Roman" w:eastAsia="Times New Roman" w:hAnsi="Times New Roman"/>
                <w:sz w:val="26"/>
                <w:szCs w:val="26"/>
                <w:color w:val="auto"/>
                <w:vertAlign w:val="superscript"/>
              </w:rPr>
              <w:t>(47)</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Rock J. Eiden &amp; Sandra K.</w:t>
            </w: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1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Eiden</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Rothschild &amp; Co US Inc.</w:t>
            </w:r>
            <w:r>
              <w:rPr>
                <w:rFonts w:ascii="Times New Roman" w:cs="Times New Roman" w:eastAsia="Times New Roman" w:hAnsi="Times New Roman"/>
                <w:sz w:val="26"/>
                <w:szCs w:val="26"/>
                <w:color w:val="auto"/>
                <w:vertAlign w:val="superscript"/>
              </w:rPr>
              <w:t>(48)</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190,000</w:t>
            </w:r>
          </w:p>
        </w:tc>
        <w:tc>
          <w:tcPr>
            <w:tcW w:w="6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Roystone Capital Master Fund</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699,437</w:t>
            </w: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297,000</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650,000</w:t>
            </w:r>
          </w:p>
        </w:tc>
        <w:tc>
          <w:tcPr>
            <w:tcW w:w="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49,437</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297,000</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42"/>
        </w:trPr>
        <w:tc>
          <w:tcPr>
            <w:tcW w:w="15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-9375140</wp:posOffset>
            </wp:positionV>
            <wp:extent cx="342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-9375140</wp:posOffset>
            </wp:positionV>
            <wp:extent cx="342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-9375140</wp:posOffset>
            </wp:positionV>
            <wp:extent cx="342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-9375140</wp:posOffset>
            </wp:positionV>
            <wp:extent cx="342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-9375140</wp:posOffset>
            </wp:positionV>
            <wp:extent cx="342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-9375140</wp:posOffset>
            </wp:positionV>
            <wp:extent cx="342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-9375140</wp:posOffset>
            </wp:positionV>
            <wp:extent cx="342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-9375140</wp:posOffset>
            </wp:positionV>
            <wp:extent cx="342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900" w:orient="portrait"/>
          <w:cols w:equalWidth="0" w:num="1">
            <w:col w:w="9019"/>
          </w:cols>
          <w:pgMar w:left="1440" w:top="262" w:right="1440" w:bottom="0" w:gutter="0" w:footer="0" w:header="0"/>
        </w:sectPr>
      </w:pPr>
    </w:p>
    <w:bookmarkStart w:id="119" w:name="page120"/>
    <w:bookmarkEnd w:id="119"/>
    <w:p>
      <w:pPr>
        <w:ind w:left="460"/>
        <w:spacing w:after="0"/>
        <w:rPr>
          <w:sz w:val="20"/>
          <w:szCs w:val="20"/>
          <w:color w:val="auto"/>
        </w:rPr>
      </w:pPr>
      <w:r>
        <w:rPr>
          <w:rFonts w:ascii="Times New Roman" w:cs="Times New Roman" w:eastAsia="Times New Roman" w:hAnsi="Times New Roman"/>
          <w:sz w:val="16"/>
          <w:szCs w:val="16"/>
          <w:color w:val="auto"/>
        </w:rPr>
        <w:t>Ltd.</w:t>
      </w:r>
      <w:r>
        <w:rPr>
          <w:rFonts w:ascii="Times New Roman" w:cs="Times New Roman" w:eastAsia="Times New Roman" w:hAnsi="Times New Roman"/>
          <w:sz w:val="26"/>
          <w:szCs w:val="26"/>
          <w:color w:val="auto"/>
          <w:vertAlign w:val="superscript"/>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-180975</wp:posOffset>
            </wp:positionV>
            <wp:extent cx="5357495" cy="18859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357495" cy="188595"/>
                    </a:xfrm>
                    <a:prstGeom prst="rect">
                      <a:avLst/>
                    </a:prstGeom>
                    <a:noFill/>
                  </pic:spPr>
                </pic:pic>
              </a:graphicData>
            </a:graphic>
          </wp:anchor>
        </w:drawing>
      </w:r>
    </w:p>
    <w:p>
      <w:pPr>
        <w:spacing w:after="0" w:line="36" w:lineRule="exact"/>
        <w:rPr>
          <w:sz w:val="20"/>
          <w:szCs w:val="20"/>
          <w:color w:val="auto"/>
        </w:rPr>
      </w:pPr>
    </w:p>
    <w:p>
      <w:pPr>
        <w:ind w:left="300"/>
        <w:spacing w:after="0"/>
        <w:tabs>
          <w:tab w:leader="none" w:pos="2700" w:val="left"/>
          <w:tab w:leader="none" w:pos="3620" w:val="left"/>
          <w:tab w:leader="none" w:pos="4260" w:val="left"/>
          <w:tab w:leader="none" w:pos="5000" w:val="left"/>
          <w:tab w:leader="none" w:pos="6040" w:val="left"/>
          <w:tab w:leader="none" w:pos="6660" w:val="left"/>
          <w:tab w:leader="none" w:pos="7600" w:val="left"/>
          <w:tab w:leader="none" w:pos="8300" w:val="left"/>
        </w:tabs>
        <w:rPr>
          <w:sz w:val="20"/>
          <w:szCs w:val="20"/>
          <w:color w:val="auto"/>
        </w:rPr>
      </w:pPr>
      <w:r>
        <w:rPr>
          <w:rFonts w:ascii="Times New Roman" w:cs="Times New Roman" w:eastAsia="Times New Roman" w:hAnsi="Times New Roman"/>
          <w:sz w:val="16"/>
          <w:szCs w:val="16"/>
          <w:color w:val="auto"/>
        </w:rPr>
        <w:t>Samantha Lewis</w:t>
      </w:r>
      <w:r>
        <w:rPr>
          <w:sz w:val="20"/>
          <w:szCs w:val="20"/>
          <w:color w:val="auto"/>
        </w:rPr>
        <w:tab/>
      </w:r>
      <w:r>
        <w:rPr>
          <w:rFonts w:ascii="Times New Roman" w:cs="Times New Roman" w:eastAsia="Times New Roman" w:hAnsi="Times New Roman"/>
          <w:sz w:val="16"/>
          <w:szCs w:val="16"/>
          <w:color w:val="auto"/>
        </w:rPr>
        <w:t>2,000</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2,000</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20" w:name="page121"/>
    <w:bookmarkEnd w:id="120"/>
    <w:tbl>
      <w:tblPr>
        <w:tblLayout w:type="fixed"/>
        <w:tblInd w:w="300" w:type="dxa"/>
        <w:tblCellMar>
          <w:top w:w="0" w:type="dxa"/>
          <w:left w:w="0" w:type="dxa"/>
          <w:bottom w:w="0" w:type="dxa"/>
          <w:right w:w="0" w:type="dxa"/>
        </w:tblCellMar>
      </w:tblPr>
      <w:tr>
        <w:trPr>
          <w:trHeight w:val="161"/>
        </w:trPr>
        <w:tc>
          <w:tcPr>
            <w:tcW w:w="2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80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4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 After</w:t>
            </w: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Beneficially</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780" w:type="dxa"/>
            <w:vAlign w:val="bottom"/>
            <w:gridSpan w:val="2"/>
            <w:vMerge w:val="continue"/>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Class A of</w:t>
            </w:r>
          </w:p>
        </w:tc>
        <w:tc>
          <w:tcPr>
            <w:tcW w:w="7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4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the Offered Shares of</w:t>
            </w:r>
          </w:p>
        </w:tc>
        <w:tc>
          <w:tcPr>
            <w:tcW w:w="1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40" w:type="dxa"/>
            <w:vAlign w:val="bottom"/>
            <w:gridSpan w:val="2"/>
            <w:vMerge w:val="continue"/>
          </w:tcPr>
          <w:p>
            <w:pPr>
              <w:spacing w:after="0"/>
              <w:rPr>
                <w:sz w:val="12"/>
                <w:szCs w:val="12"/>
                <w:color w:val="auto"/>
              </w:rPr>
            </w:pPr>
          </w:p>
        </w:tc>
        <w:tc>
          <w:tcPr>
            <w:tcW w:w="164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15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the Offered</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8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164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are Sold</w:t>
            </w:r>
          </w:p>
        </w:tc>
        <w:tc>
          <w:tcPr>
            <w:tcW w:w="15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are Sold</w:t>
            </w:r>
          </w:p>
        </w:tc>
        <w:tc>
          <w:tcPr>
            <w:tcW w:w="0" w:type="dxa"/>
            <w:vAlign w:val="bottom"/>
          </w:tcPr>
          <w:p>
            <w:pPr>
              <w:spacing w:after="0"/>
              <w:rPr>
                <w:sz w:val="1"/>
                <w:szCs w:val="1"/>
                <w:color w:val="auto"/>
              </w:rPr>
            </w:pPr>
          </w:p>
        </w:tc>
      </w:tr>
      <w:tr>
        <w:trPr>
          <w:trHeight w:val="92"/>
        </w:trPr>
        <w:tc>
          <w:tcPr>
            <w:tcW w:w="210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Name of Selling</w:t>
            </w:r>
          </w:p>
        </w:tc>
        <w:tc>
          <w:tcPr>
            <w:tcW w:w="780" w:type="dxa"/>
            <w:vAlign w:val="bottom"/>
            <w:gridSpan w:val="2"/>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78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80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Being</w:t>
            </w:r>
          </w:p>
        </w:tc>
        <w:tc>
          <w:tcPr>
            <w:tcW w:w="74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7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100" w:type="dxa"/>
            <w:vAlign w:val="bottom"/>
            <w:gridSpan w:val="3"/>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4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line="20" w:lineRule="exact"/>
              <w:rPr>
                <w:sz w:val="1"/>
                <w:szCs w:val="1"/>
                <w:color w:val="auto"/>
              </w:rPr>
            </w:pPr>
          </w:p>
        </w:tc>
      </w:tr>
      <w:tr>
        <w:trPr>
          <w:trHeight w:val="190"/>
        </w:trPr>
        <w:tc>
          <w:tcPr>
            <w:tcW w:w="2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Securityholder</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8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5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1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Scott J. Taylor</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87,500</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Entities affiliated with Pura</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Vida Investments, LLC</w:t>
            </w:r>
            <w:r>
              <w:rPr>
                <w:rFonts w:ascii="Times New Roman" w:cs="Times New Roman" w:eastAsia="Times New Roman" w:hAnsi="Times New Roman"/>
                <w:sz w:val="26"/>
                <w:szCs w:val="26"/>
                <w:color w:val="auto"/>
                <w:vertAlign w:val="superscript"/>
              </w:rPr>
              <w:t>(50)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3,200,000</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60" w:type="dxa"/>
            <w:vAlign w:val="bottom"/>
          </w:tcPr>
          <w:p>
            <w:pPr>
              <w:spacing w:after="0"/>
              <w:rPr>
                <w:sz w:val="24"/>
                <w:szCs w:val="24"/>
                <w:color w:val="auto"/>
              </w:rPr>
            </w:pP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Seawolf Capital LLC</w:t>
            </w:r>
            <w:r>
              <w:rPr>
                <w:rFonts w:ascii="Times New Roman" w:cs="Times New Roman" w:eastAsia="Times New Roman" w:hAnsi="Times New Roman"/>
                <w:sz w:val="26"/>
                <w:szCs w:val="26"/>
                <w:color w:val="auto"/>
                <w:vertAlign w:val="superscript"/>
              </w:rPr>
              <w:t>(51)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43,750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43,750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Entities affiliated with Senvest</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Management LLC</w:t>
            </w:r>
            <w:r>
              <w:rPr>
                <w:rFonts w:ascii="Times New Roman" w:cs="Times New Roman" w:eastAsia="Times New Roman" w:hAnsi="Times New Roman"/>
                <w:sz w:val="26"/>
                <w:szCs w:val="26"/>
                <w:color w:val="auto"/>
                <w:vertAlign w:val="superscript"/>
              </w:rPr>
              <w:t>(52)</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5,584,975</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3,468,682</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1,584,975</w:t>
            </w:r>
          </w:p>
        </w:tc>
        <w:tc>
          <w:tcPr>
            <w:tcW w:w="60" w:type="dxa"/>
            <w:vAlign w:val="bottom"/>
          </w:tcPr>
          <w:p>
            <w:pPr>
              <w:spacing w:after="0"/>
              <w:rPr>
                <w:sz w:val="24"/>
                <w:szCs w:val="24"/>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1.78%</w:t>
            </w: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3,468,682</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0" w:type="dxa"/>
            <w:vAlign w:val="bottom"/>
          </w:tcPr>
          <w:p>
            <w:pPr>
              <w:spacing w:after="0"/>
              <w:rPr>
                <w:sz w:val="1"/>
                <w:szCs w:val="1"/>
                <w:color w:val="auto"/>
              </w:rPr>
            </w:pPr>
          </w:p>
        </w:tc>
      </w:tr>
      <w:tr>
        <w:trPr>
          <w:trHeight w:val="351"/>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SOJE Fund LP</w:t>
            </w:r>
            <w:r>
              <w:rPr>
                <w:rFonts w:ascii="Times New Roman" w:cs="Times New Roman" w:eastAsia="Times New Roman" w:hAnsi="Times New Roman"/>
                <w:sz w:val="26"/>
                <w:szCs w:val="26"/>
                <w:color w:val="auto"/>
                <w:vertAlign w:val="superscript"/>
              </w:rPr>
              <w:t>(53)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65,625</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65,625</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SRC WM LP</w:t>
            </w:r>
            <w:r>
              <w:rPr>
                <w:rFonts w:ascii="Times New Roman" w:cs="Times New Roman" w:eastAsia="Times New Roman" w:hAnsi="Times New Roman"/>
                <w:sz w:val="26"/>
                <w:szCs w:val="26"/>
                <w:color w:val="auto"/>
                <w:vertAlign w:val="superscript"/>
              </w:rPr>
              <w:t>(54)</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Stephen J. Antinelli</w:t>
            </w:r>
            <w:r>
              <w:rPr>
                <w:rFonts w:ascii="Times New Roman" w:cs="Times New Roman" w:eastAsia="Times New Roman" w:hAnsi="Times New Roman"/>
                <w:sz w:val="26"/>
                <w:szCs w:val="26"/>
                <w:color w:val="auto"/>
                <w:vertAlign w:val="superscript"/>
              </w:rPr>
              <w:t>(55)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Stuart Spodek</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Sunshine Charitable</w:t>
            </w: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Foundation</w:t>
            </w:r>
            <w:r>
              <w:rPr>
                <w:rFonts w:ascii="Times New Roman" w:cs="Times New Roman" w:eastAsia="Times New Roman" w:hAnsi="Times New Roman"/>
                <w:sz w:val="26"/>
                <w:szCs w:val="26"/>
                <w:color w:val="auto"/>
                <w:vertAlign w:val="superscript"/>
              </w:rPr>
              <w:t>(56)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Susan Nappan Cocke</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6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6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Tauro Investments, LLC</w:t>
            </w:r>
            <w:r>
              <w:rPr>
                <w:rFonts w:ascii="Times New Roman" w:cs="Times New Roman" w:eastAsia="Times New Roman" w:hAnsi="Times New Roman"/>
                <w:sz w:val="26"/>
                <w:szCs w:val="26"/>
                <w:color w:val="auto"/>
                <w:vertAlign w:val="superscript"/>
              </w:rPr>
              <w:t>(57)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TCCS I, LP</w:t>
            </w:r>
            <w:r>
              <w:rPr>
                <w:rFonts w:ascii="Times New Roman" w:cs="Times New Roman" w:eastAsia="Times New Roman" w:hAnsi="Times New Roman"/>
                <w:sz w:val="26"/>
                <w:szCs w:val="26"/>
                <w:color w:val="auto"/>
                <w:vertAlign w:val="superscript"/>
              </w:rPr>
              <w:t>(58)</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Teak Fund, LP</w:t>
            </w:r>
            <w:r>
              <w:rPr>
                <w:rFonts w:ascii="Times New Roman" w:cs="Times New Roman" w:eastAsia="Times New Roman" w:hAnsi="Times New Roman"/>
                <w:sz w:val="26"/>
                <w:szCs w:val="26"/>
                <w:color w:val="auto"/>
                <w:vertAlign w:val="superscript"/>
              </w:rPr>
              <w:t>(59)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Teton Fund, LP</w:t>
            </w:r>
            <w:r>
              <w:rPr>
                <w:rFonts w:ascii="Times New Roman" w:cs="Times New Roman" w:eastAsia="Times New Roman" w:hAnsi="Times New Roman"/>
                <w:sz w:val="26"/>
                <w:szCs w:val="26"/>
                <w:color w:val="auto"/>
                <w:vertAlign w:val="superscript"/>
              </w:rPr>
              <w:t>(60)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Vorfeld Family Trust</w:t>
            </w:r>
            <w:r>
              <w:rPr>
                <w:rFonts w:ascii="Times New Roman" w:cs="Times New Roman" w:eastAsia="Times New Roman" w:hAnsi="Times New Roman"/>
                <w:sz w:val="26"/>
                <w:szCs w:val="26"/>
                <w:color w:val="auto"/>
                <w:vertAlign w:val="superscript"/>
              </w:rPr>
              <w:t>(61)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Thomas Marino</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6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1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Troy Gregory</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81,000</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TLP Investment Partners</w:t>
            </w: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2100" w:type="dxa"/>
            <w:vAlign w:val="bottom"/>
            <w:gridSpan w:val="3"/>
          </w:tcPr>
          <w:p>
            <w:pPr>
              <w:ind w:left="160"/>
              <w:spacing w:after="0" w:line="310" w:lineRule="exact"/>
              <w:rPr>
                <w:sz w:val="20"/>
                <w:szCs w:val="20"/>
                <w:color w:val="auto"/>
              </w:rPr>
            </w:pPr>
            <w:r>
              <w:rPr>
                <w:rFonts w:ascii="Times New Roman" w:cs="Times New Roman" w:eastAsia="Times New Roman" w:hAnsi="Times New Roman"/>
                <w:sz w:val="32"/>
                <w:szCs w:val="32"/>
                <w:color w:val="auto"/>
                <w:vertAlign w:val="subscript"/>
              </w:rPr>
              <w:t>LLC</w:t>
            </w:r>
            <w:r>
              <w:rPr>
                <w:rFonts w:ascii="Times New Roman" w:cs="Times New Roman" w:eastAsia="Times New Roman" w:hAnsi="Times New Roman"/>
                <w:sz w:val="13"/>
                <w:szCs w:val="13"/>
                <w:color w:val="auto"/>
              </w:rPr>
              <w:t>(62)</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TUP Investments, L.P.</w:t>
            </w:r>
            <w:r>
              <w:rPr>
                <w:rFonts w:ascii="Times New Roman" w:cs="Times New Roman" w:eastAsia="Times New Roman" w:hAnsi="Times New Roman"/>
                <w:sz w:val="26"/>
                <w:szCs w:val="26"/>
                <w:color w:val="auto"/>
                <w:vertAlign w:val="superscript"/>
              </w:rPr>
              <w:t>(63)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800,000</w:t>
            </w: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1"/>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Vobren Limited</w:t>
            </w:r>
            <w:r>
              <w:rPr>
                <w:rFonts w:ascii="Times New Roman" w:cs="Times New Roman" w:eastAsia="Times New Roman" w:hAnsi="Times New Roman"/>
                <w:sz w:val="26"/>
                <w:szCs w:val="26"/>
                <w:color w:val="auto"/>
                <w:vertAlign w:val="superscript"/>
              </w:rPr>
              <w:t>(64)</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2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William James Pade III</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0"/>
        </w:trPr>
        <w:tc>
          <w:tcPr>
            <w:tcW w:w="154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-5057140</wp:posOffset>
            </wp:positionV>
            <wp:extent cx="342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-5057140</wp:posOffset>
            </wp:positionV>
            <wp:extent cx="342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-5057140</wp:posOffset>
            </wp:positionV>
            <wp:extent cx="342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-5057140</wp:posOffset>
            </wp:positionV>
            <wp:extent cx="342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-5057140</wp:posOffset>
            </wp:positionV>
            <wp:extent cx="3429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-5057140</wp:posOffset>
            </wp:positionV>
            <wp:extent cx="342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-5057140</wp:posOffset>
            </wp:positionV>
            <wp:extent cx="342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1488440</wp:posOffset>
            </wp:positionH>
            <wp:positionV relativeFrom="paragraph">
              <wp:posOffset>-5057140</wp:posOffset>
            </wp:positionV>
            <wp:extent cx="3429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jc w:val="both"/>
        <w:ind w:left="640" w:right="299" w:hanging="348"/>
        <w:spacing w:after="0" w:line="229" w:lineRule="auto"/>
        <w:tabs>
          <w:tab w:leader="none" w:pos="6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17,162,485 shares of Class A Common Stock issuable upon exchange of Paired Interests held by Mr. Francis, 8,469,191 shares of Class A Common Stock issuable upon exchange of Paired Interests held by Ghost Media Group, LLC, 600,618 shares of Class A Common Stock issuable upon exchange of Paired Interests held by Genco Incentives, LLC and 1,468,555 shares of Class A Common Stock issuable upon exchange of Paired Interests held by WM Founders Legacy I, LLC. Ghost Media Group, LLC is controlled by Messrs. Francis and Hartfield and WM Founders Legacy I, LLC and Genco Incentives, LLC are controlled by Mr. Francis. Accordingly, Mr. Francis may be deemed to be a beneficial owner of the Registrable Securities held by Ghost Media Group, LLC, Genco Incentives, LLC and WM Founders Legacy I, LLC.</w:t>
      </w:r>
    </w:p>
    <w:p>
      <w:pPr>
        <w:spacing w:after="0" w:line="18"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19,288,160 shares of Class A Common Stock issuable upon exchange of Paired Interests held by Mr. Hartfield, 8,469,191 shares of Class A Common Stock issuable upon exchange of Paired Interests held by Ghost Media Group, LLC and 1,570,959 shares of Class A Common Stock issuable upon exchange of Paired Interests held by WM Founders Legacy II, LLC. Ghost Media Group, LLC is controlled by Messrs. Hartfield and Francis and WM Founders Legacy II, LLC is controlled by Mr. Hartfield. Accordingly, Mr. Hartfield may be deemed to be a beneficial owner of the Registrable Securities held by Ghost Media Group, LLC and WM Founders Legacy II, LLC.</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28" w:lineRule="auto"/>
        <w:tabs>
          <w:tab w:leader="none" w:pos="6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6,250,000 shares of Class A Common Stock held by Silver Spike Sponsor, LLC and 1,265,752 shares of Class A Common Stock held by Silver Spike Opportunities I, LLC (the “SPV”). Silver Spike Sponsor, LLC and Silver Spike Capital, LLC, the manager of the SPV, are both controlled by Silver Spike Holdings, LP. Accordingly, Silver Spike Holdings, LP may be deemed to be a beneficial owner of the Registrable Securities held by Silver Spike Sponsor, LLC and the Registrable Securities held by the SPV. Silver Spike Sponsor, LLC is controlled by Greg Gentile, Scott Gordon and William Healy. Accordingly, Mr. Gentile, Gordon and Healy may be deemed to be a beneficial owner of the Registrable Securities held by Silver Spike Sponsor, LLC. Mr. Gordon served as a director of Silver Spike prior to the Closing of the Business Combination and currently serves as a director of the Company. SPV is controlled by Mr. Gentile. Accordingly, Mr. Gentile may be deemed to be a beneficial owner of the Registrable Securities held by the SPV.</w:t>
      </w:r>
    </w:p>
    <w:p>
      <w:pPr>
        <w:spacing w:after="0" w:line="18"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Vince Maglio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Robert Josephson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Jaroslav Enrique Alonso is deemed to have power to vote or dispose of the Registrable Securities.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987" w:gutter="0" w:footer="0" w:header="0"/>
        </w:sectPr>
      </w:pPr>
    </w:p>
    <w:bookmarkStart w:id="121" w:name="page122"/>
    <w:bookmarkEnd w:id="1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hanging="348"/>
        <w:spacing w:after="0"/>
        <w:tabs>
          <w:tab w:leader="none" w:pos="6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Sanjay Patel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Mohsinuddin Ansari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1,250,000 shares of Class A Common Stock held by Mr. Aquila, 2,500,000 shares of Class A Common Stock held by AFV Partners SPV-5 (WM) LLC (“AFV 5”), 1,100,000 shares of Class A Common Stock held by AFV Partners SPV-6 (WM) LLC (“AFV 6”), 50,000 shares of Class A Common Stock held by Aquila 2007 Irrevocable Trust U/A FBO Cecily Aquila DTD 05/10/2007 (“Cecily Trust”), 50,000 shares of Class A Common Stock held by Aquila 2007 Irrevocable Trust U/A FBO Christopher Aquila DTD 05/10/2007 (“Christopher Trust”) and 50,000 shares of Class A Common Stock held by Aquila 2007 Irrevocable Trust U/A FBO Elliott Aquila DTD 05/10/2007 (“Elliott Trust”). Mr. Aquila is the Chairman and CEO of AFV Partners LLC, which exercises ultimate voting and investment power with respect to the Registrable Securities held by AFV 5 and AFV 6. Mr. Aquila is the trustee to Cecily Trust, Christopher Trust and Elliott Trust. As such, Mr. Aquila may be deemed to be a beneficial owner of the Registrable Securities held by AFV 5, AFV 6, Cecily Trust, Christopher Trust and Elliott Trust. The business address of the reporting person is 2126 Hamilton Road Suite 260, Argyle, TX 76226.</w:t>
      </w:r>
    </w:p>
    <w:p>
      <w:pPr>
        <w:spacing w:after="0" w:line="90"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Kelly Yip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9" w:lineRule="auto"/>
        <w:tabs>
          <w:tab w:leader="none" w:pos="6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112,740 shares of Class A Common Stock held by BEMAP Master Fund LTD, 13,547 shares of Class A Common Stock held by Bespoke Alpha MAC MIM LP, 91,492 shares of Class A Common Stock held by DS Liquid Div RVA MON LLC, 63,080 shares of Class A Common Stock held by Monashee Pure Alpha SPV I LP and 69,141 shares of Class A Common Stock held by Monashee Solitario Fund LP. Jeff Muller is the Chief Compliance Officer of Monashee Investment Management, LLC, which may be deemed to be the beneficial owner of the Registrable Securities held by BEMAP Master Fund LTD, Bespoke Alpha MAC MIM LP, DS Liquid Div RVA MON LLC, Monashee Pure Alpha SPV I LP and Monashee Solitario Fund LP. Mr. Muller, however, disclaims any beneficial ownership of the Registrable Securities held by Monashee Investment Management, LLC or its affiliated entities aforementioned.</w:t>
      </w:r>
    </w:p>
    <w:p>
      <w:pPr>
        <w:spacing w:after="0" w:line="18" w:lineRule="exact"/>
        <w:rPr>
          <w:rFonts w:ascii="Times New Roman" w:cs="Times New Roman" w:eastAsia="Times New Roman" w:hAnsi="Times New Roman"/>
          <w:sz w:val="14"/>
          <w:szCs w:val="14"/>
          <w:color w:val="auto"/>
        </w:rPr>
      </w:pPr>
    </w:p>
    <w:p>
      <w:pPr>
        <w:jc w:val="both"/>
        <w:ind w:left="640" w:right="299" w:hanging="348"/>
        <w:spacing w:after="0" w:line="229" w:lineRule="auto"/>
        <w:tabs>
          <w:tab w:leader="none" w:pos="6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Oriental Investments SA has voting and investment control of the Registrable Securities held by the Selling Securityholders. General Oriental Investments SA can be directed by certain of its representatives and must act by (i) Constantin Papadimitriou and David Cowling jointly or (ii) (A) one of Constantin Papadimitriou or David Cowling and (B) one of (1) Tom Lileng, (2) Jean-Baptiste Luccio,</w:t>
      </w:r>
    </w:p>
    <w:p>
      <w:pPr>
        <w:ind w:left="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Julien Brenier or (4) Rupert Martin.</w:t>
      </w:r>
    </w:p>
    <w:p>
      <w:pPr>
        <w:spacing w:after="0" w:line="25" w:lineRule="exact"/>
        <w:rPr>
          <w:rFonts w:ascii="Times New Roman" w:cs="Times New Roman" w:eastAsia="Times New Roman" w:hAnsi="Times New Roman"/>
          <w:sz w:val="14"/>
          <w:szCs w:val="14"/>
          <w:color w:val="auto"/>
        </w:rPr>
      </w:pPr>
    </w:p>
    <w:p>
      <w:pPr>
        <w:jc w:val="both"/>
        <w:ind w:left="640" w:right="299" w:hanging="348"/>
        <w:spacing w:after="0" w:line="227" w:lineRule="auto"/>
        <w:tabs>
          <w:tab w:leader="none" w:pos="6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 portfolio management agreement, Citadel Advisors LLC, an investment advisor registered under the U.S. Investment Advisors Act of 1940 (“CAL”), holds the voting and dispositive power with respect to the Registrable Securities held by Citadel Multi-Strategy Equities Master Fund Ltd. Citadel Advisors Holdings LP (“CAH”) is the sole member of CAL. Citadel GP LLC is the general partner of CAH. Kenneth Griffin (“Griffin”) is the President and Chief Executive Officer of and sole member of Citadel GP LLC. Citadel GP LLC and Griffin may be deemed to be the beneficial owners of the Registrable Securities through their control of CAL and/or certain other affiliated entities.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w:t>
      </w:r>
    </w:p>
    <w:p>
      <w:pPr>
        <w:spacing w:after="0" w:line="20"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Amy Collins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Craig Schlanger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8" w:lineRule="auto"/>
        <w:tabs>
          <w:tab w:leader="none" w:pos="6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Heights Capital Management, Inc., the authorized agent of CVI Investments, Inc. (“CVI”), has discretionary authority to vote and dispose of the Registrable Securities held by CVI and may be deemed to be the beneficial owner of such Registrable Securities. Martin Kobinger, in his capacity as Investment Manager of Heights Capital Management, Inc., may also be deemed to have investment discretion and voting power over the Registrable Securities held by CVI. Mr. Kobinger disclaims any such beneficial ownership of the Registrable Securities.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w:t>
      </w:r>
    </w:p>
    <w:p>
      <w:pPr>
        <w:spacing w:after="0" w:line="18"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6" w:lineRule="auto"/>
        <w:tabs>
          <w:tab w:leader="none" w:pos="6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consists of (i) 1,877,500 shares of Class A Common Stock held by Federated Hermes Kaufmann Fund, a portfolio of Federated Hermes Equity Funds, (ii) 2,070,000 shares of Class A Common Stock held by Federated Hermes Kaufmann Small Cap Fund, a portfolio of Federated Hermes Equity Funds and (iii) 52,500 shares of Class A Common Stock held by Federated Hermes Kaufmann Fund II, a Federated Hermes Insurance Series (collectively, the “Federated Funds”). The address of the Federated Funds is 4000 Ericsson Drive, Warrendale, Pennsylvania 15086-7561. The Federated Funds are managed by Federated Equity Management Company of Pennsylvania and subadvised by Federated Global Investment Management Corp., which are wholly owned subsidiaries of FII Holdings, Inc., which is a wholly owned subsidiary of Federated Hermes, Inc. (the “Federated Parent”). All of the Federated Parent’s outstanding voting stock is held in the Voting Shares Irrevocable Trust (the “Federated Trust”) for which Thomas R. Donahue, Rhodora J. Donahue and J. Christopher Donahue, who are collectively referred to as Federated Trustees, act as trustees. The Federated Parent’s subsidiaries have the power to direct the vote and disposition of the Registrable Securities held by the Federated Funds. Each of the Federated Parent, its subsidiaries, the Federated Trust, and each of the Federated Trustees expressly disclaim beneficial ownership of such Registrable Securities.</w:t>
      </w:r>
    </w:p>
    <w:p>
      <w:pPr>
        <w:spacing w:after="0" w:line="19"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Budd S. Goldman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 Scott Bushley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2" w:name="page123"/>
    <w:bookmarkEnd w:id="1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hanging="348"/>
        <w:spacing w:after="0"/>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Robert Fournier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Curry Ford is the Senior Managing Director and Portfolio Manager of Harbert Stoneview Fund GP, LLC and may be deemed to be the beneficial owner of the Registrable Securities held by Harbert Stoneview Master Fund, Ltd. Mr. Ford, however, disclaims any beneficial ownership of the Registrable Securities held by Harbert Stoneview Master Fund, Ltd.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w:t>
      </w:r>
    </w:p>
    <w:p>
      <w:pPr>
        <w:spacing w:after="0" w:line="127"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John T. Lkyouretzos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Marc Sontrop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James Neissa is an employee of Rothschild &amp; Co North America Inc., the parent company of Rothschild &amp; Co US Inc., which is a Selling Securityholder and a registered broker-dealer. The Selling Securityholder acquired the securities in his individual capacity. Based on information provided to us by the Selling Securityholder, the Selling Securityholder may be deemed to be an affiliate of Rothschild &amp; Co US Inc. Based on such information,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Raanan Katz is the Partner of Katz 2014 Limited Partnership and may be deemed to be the beneficial owner of the Registrable Securities held by Katz 2014 Limited Partnership.</w:t>
      </w:r>
    </w:p>
    <w:p>
      <w:pPr>
        <w:ind w:left="640" w:hanging="348"/>
        <w:spacing w:after="0"/>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Kenneth Landis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6" w:lineRule="auto"/>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5,066,885 shares of Class A Common Stock (2,655,632 of which are being registered by this prospectus) held by Lugard Road Capital Master Fund, LP (“Lugard”) beneficially owned by Luxor Capital Group, LP, the investment manager of Lugard, 26,823 shares of Class A Common Stock (14,890 of which are being registered by this prospectus) held by Luxor Capital Partners Offshore Master Fund, LP (“Luxor Offshore”) beneficially owned by Luxor Capital Group, LP, the investment manager of Luxor Offshore, 42,782 shares of Class A Common Stock (23,161 of which are being registered by this prospectus) held by Luxor Capital Partners, LP (“Luxor Capital”) beneficially owned by Luxor Capital Group, LP, the investment manager of Luxor Capital and 11,034 shares of Class A Common Stock (6,317 of which are being registered by this prospectus) held by Luxor Wavefront, LP (“Luxor Wavefront”) beneficially owned by Luxor Capital Group, LP, the investment manager of Luxor Wavefront. Christian Leone, in his position as Portfolio Manager at Luxor Capital Group, LP, may be deemed to have voting and investment power with respect to the securities owned by Luxor Offshore, Luxor Capital, and Luxor Wavefront. Jonathan Green, in his position as Portfolio Manager at Luxor Capital Group, LP, may be deemed to have voting and investment power with respect to the securities held by Lugard.</w:t>
      </w:r>
    </w:p>
    <w:p>
      <w:pPr>
        <w:spacing w:after="0" w:line="19"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25,700 shares of Class A Common Stock held by Manatuck Hill Mariner Master Fund, LP, 12,800 shares of Class A Common Stock held by Manatuck Hill Navigator Master Fund, LP and 61,500 shares of Class A Common Stock held by Manatuck Hill Scout Fund, LP. Mark Broach is deemed to have power to vote or dispose of such Registrable Securities.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Justin Ort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Jayvee &amp; Co is the registered holder. The beneficial holder is Ninepoint Alternative Health Fund. Douglas Waterson has investment control through an investment advisory agreement.</w:t>
      </w:r>
    </w:p>
    <w:p>
      <w:pPr>
        <w:ind w:left="640" w:hanging="348"/>
        <w:spacing w:after="0"/>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A. Halpern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Curtis F. Brockelman, Jr.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Polar Long/Short Master Fund and Polar Multi-Strategy Master Fund (“Polar Funds”) are under management by Polar Asset Management Partners Inc. (“PAMPI”). PAMPI serves as investment advisor of the Polar Funds and has control and discretion over the shares held by the Polar Funds. As such, PAMPI may be deemed the beneficial owner of the shares held by the Polar Funds. PAMPI disclaims any beneficial ownership of the reported shares other than to the extent of any pecuniary interest therein. The business address of the Polar Funds is c/o Polar Asset Management Partners Inc., 401 Bay Street, Suite 1900, Toronto, Ontario M5H 2Y4.</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John J Adair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Ray E. Newton III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Patrick Robinson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Rothschild &amp; Co US Inc. was the financial advisor to Ghost Management Group, LLC (d/b/a Weedmaps) with respect to the Business Combination and the PIPE subscription financing. Rothschild &amp; Co US Inc. is a registered broker-dealer. Based on information provided by the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3" w:name="page124"/>
    <w:bookmarkEnd w:id="1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hanging="348"/>
        <w:spacing w:after="0"/>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Rich Barrera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5" w:lineRule="auto"/>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125,000 shares of Class A Common Stock held by Sea Hawk Multi-Strategy Master Fund Ltd, 375,000 shares of Class A Common Stock held by Walleye Manager Opportunities LLC and 500,000 shares of Class A Common Stock held by Walleye Opportunities Master Fund Ltd. (collectively, the “Managed Accounts”); 700,000 shares of Class A Common Stock and 50,000 shares of Public Warrants for Class A Common Stock held by Pura Vida Pro Special Opportunity Master Fund Ltd. (the “PVP Fund”); and 1,500,000 shares of Class A Common Stock held by Pura Vida Master Fund Ltd. (the “PV Fund”). Pura Vida Investments, LLC (“PVI”) serves as the sub-adviser to the Managed Accounts and the investment manager to the PV Fund. Pura Vida Pro, LLC (“PVP”) serves as the investment manager to the PVP Fund. PVP is a relying adviser of PVI. Efrem Kamen serves as the managing member of both PVI and PVP. By virtue of these relationships, PVI and Efrem Kamen may be deemed to have shared voting and dispositive power with respect to the Registrable Securities and Public Warrants held by the Managed Accounts, the PV Fund, and the PVP Fund. This report shall not be deemed an admission that PVI and/or Efrem Kamen are beneficial owners of the Registrable Securities for purposes of Section 13 of the Exchange Act, or for any other purpose. Each of PVI and Efrem Kamen disclaims beneficial ownership of the Registrable Securities reported herein except to the extent of each PVI’s and Efrem Kamen’s pecuniary interest therein. Based on information provided to us by the Selling Securityholders, each of the Managed Accounts may be deemed to be an affiliate of a broker-dealer. Based on such information, the Selling Securityholders acquired the Registrable Securities in the ordinary course of business, and at the time of the acquisition of the Registrable Securities, the Selling Securityholders did not have any agreements or understandings with any person to distribute such Registrable Securities.</w:t>
      </w:r>
    </w:p>
    <w:p>
      <w:pPr>
        <w:spacing w:after="0" w:line="17"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Vincent Daniel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300,000 shares of Class A Common Stock held by Senvest Global (KY), LP, 4,733,779 shares of Class A Common Stock (3,300,000 of which are being registered by this prospectus) held by Senvest Master Fund, LP and 551,196 shares of Class A Common Stock (400,000 of which are being registered by this prospectus) held by Senvest Technology Partners Master Fund, LP. Senvest Management has voting and investment control of the Registrable Securities held by such Selling Securityholder. Richard Mashaal may be deemed to be the beneficial owner of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John J. Pinto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Peter Lee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David G. Bunning and Michael J. Bunning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Scot Fischer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Vikram Patel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Glen Schneider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Glen Schneider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Rodney Hodges and Fabrice Dupont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David G. Bunning and Michael J. Bunning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Vikram Patel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right="299" w:hanging="348"/>
        <w:spacing w:after="0" w:line="250" w:lineRule="auto"/>
        <w:tabs>
          <w:tab w:leader="none" w:pos="64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Pericles Spyrou, Sigthor Sigmarsson, Jan Rottiers and Melina Panagi are deemed to have power to vote or dispose of the Registrable Securities.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4" w:name="page125"/>
    <w:bookmarkEnd w:id="1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following summary of the material terms of our securities is not intended to be a complete summary of the rights and preferences of such securities, and is qualified by reference to our Certificate of Incorporation, our Bylaws and the Warrant-related documents described herein, which are exhibits to the registration statement of which this prospectus is a part. We urge you to read each of our Certificate of Incorporation, our Bylaws and the Warrant-related documents described herein in their entirety for a complete description of the rights and preferences of our securities.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Certificate of Incorporation authorizes the issuance of 2,075,000,000 shares of capital stock, consisting of</w:t>
      </w:r>
    </w:p>
    <w:p>
      <w:pPr>
        <w:spacing w:after="0" w:line="27" w:lineRule="exact"/>
        <w:rPr>
          <w:sz w:val="20"/>
          <w:szCs w:val="20"/>
          <w:color w:val="auto"/>
        </w:rPr>
      </w:pPr>
    </w:p>
    <w:p>
      <w:pPr>
        <w:jc w:val="both"/>
        <w:ind w:left="300" w:right="299" w:hanging="8"/>
        <w:spacing w:after="0" w:line="253" w:lineRule="auto"/>
        <w:tabs>
          <w:tab w:leader="none" w:pos="55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1,500,000,000 shares of Class A Common Stock, par value $0.0001 per share, (y) 500,000,000 shares of Class V Common Stock, par value $0.0001 per share and 75,000,000 shares of preferred stock, par value $0.0001 per share. All of our issued and outstanding shares of capital stock are duly authorized, validly issued, fully paid and non - assessable. As of July 22, 2024, there were (1) 96,948,250 shares of Class A Common Stock, (2) 55,486,361 shares of Class V Common Stock and no shares of preferred stock outstanding.</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our board of directors out of funds legally available therefor.</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 Dissolution and Winding-Up</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shares of Class A Common Stock are entitled to share ratably in all assets remaining after payment of our debts and other liabilities, subject to prior distribution rights of preferred stock or any class or series of stock having a preference over the shares of Class A Common Stock, then outstanding, if any.</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we may issue in the future.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5" w:name="page126"/>
    <w:bookmarkEnd w:id="1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holders of the outstanding shares of Class V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our board of directors.</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 Dissolution and Winding-Up</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are not entitled to receive any of our assets.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Issuance and Retirement of Class V Common Stock</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such share will automatically be transferred to us for no consideration and thereupon will be retired. We will not issue additional shares of Class V Common Stock other than in connection with the valid issuance or transfer of Units in accordance with the governing documents of WMH LLC.</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There are no shares of preferred stock outstanding. Our Certificate of Incorporation authorizes our board of directors to establish one or more series of preferred stock. Unless required by law or any stock exchange, the authorized shares of preferred stock will be available for issuance without further action by the holders of the common stock. Shares of preferred stock may be issued from time to time in one or more series of any number of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number of shares issued and not retired of any and all such series shall not exceed the total number of shares of preferred stock authorized, and with such powers, including voting powers, if any, and the designations, preferences and relative, participating, optional or other special rights, if any, and any qualifications, limitations or restrictions thereof, all as shall be stated and expressed in the resolution or resolutions providing for the designation and issue of such shares of preferred stock from time to time adopted by our board of directors pursuant to authority so to do which is expressly vested in the board of directors.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7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issuance of preferred stock may have the effect of delaying, deferring or preventing a change in control of the Company without further action by our stockholders. Additionally, the issuance of preferred stock may adversely affect the holders of our common stock by restricting dividends on the shares of Class A Common Stock, diluting the voting power of the shares of Class A Common Stock and the shares of Class V Common Stock or subordinating the liquidation rights of the shares of Class A Common Stock. As a result of these or other factors, the issuance of preferred stock could have an adverse impact on the market price of the shares of Class A Common Stock. At present, we have no plans to issue any preferred stock.</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Each whole Public Warrant entitles the registered holder to purchase one share of Class A Common Stock at a price of $11.50 per share, subject to adjustment as discussed below, at any time commencing 30 days after the Closing, provided that we have an effective registration statement under the Securities Act covering the issuance of the shares of Class A Common Stock issuable upon exercise of the Public Warrants and a current prospectus relating to them is available and such shares are registered, qualified or exempt from registration under the securities, or blue sky laws of the state of residence of the holder (or we permits holders to exercise their Public Warrants on a cashless basis under the circumstances specified in the Warrant Agreement). A holder of Public Warrants may exercise its Public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6" w:name="page127"/>
    <w:bookmarkEnd w:id="1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Warrants only for a whole number of shares of Class A Common Stock. This means only a whole Public Warrant may be exercised at a given time by a holder of Public Warrants. The Public Warrants will expire five years after the Closing, at 5:00 p.m., New York City time, or earlier upon redemption or liquidation.</w:t>
      </w:r>
    </w:p>
    <w:p>
      <w:pPr>
        <w:spacing w:after="0" w:line="6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shares of Class A Common Stock pursuant to the exercise of a Public Warrant and will have no obligation to settle such Public Warrant exercise unless a registration statement under the Securities Act covering the issuance of the shares of Class A Common Stock issuable upon exercise is then effective and a prospectus relating thereto is current, subject to us satisfying our obligations described below with respect to registration. No Public Warrant will be exercisable for cash or on a cashless basis, and we will not be obligated to issue any shares of Class A Common Stock to holders of Public Warrants seeking to exercise their Public Warrants, unless the issuance of the shares of Class A Common Stock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shares of Class A Common Stock underlying such unit.</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filed with the SEC and have an effective registration statement for covering the issuance, under the Securities Act, of the shares of Class A Common Stock issuable upon exercise of the Public Warrants, until the expiration of the Public Warrants in accordance with the provisions of the Warrant Agreement. Notwithstanding the above, if the shares of Class A Common Stock are,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elects, we will not be required to file or maintain in effect a registration statement, but will use our reasonable best efforts to qualify the shares under applicable blue sky laws to the extent an exemption is not available.</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may redeem the Public Warrants for redemption:</w:t>
      </w:r>
    </w:p>
    <w:p>
      <w:pPr>
        <w:spacing w:after="0" w:line="117" w:lineRule="exact"/>
        <w:rPr>
          <w:sz w:val="20"/>
          <w:szCs w:val="20"/>
          <w:color w:val="auto"/>
        </w:rPr>
      </w:pPr>
    </w:p>
    <w:p>
      <w:pPr>
        <w:ind w:left="1000" w:hanging="348"/>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holder of Public Warrants;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sales price of the shares of Class A Common Stock equals or exceeds $18.00 per share (as adjusted for share splits, share dividends, rights issuances, subdivisions, reorganizations, recapitalizations and the like) for any 20 trading days within a 30-trading day period ending on the third trading day prior to the date we send the notice of redemption to the holders of Public Warrants.</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If and when the Public Warrants become redeemable by us, we may exercise our redemption right even if we are unable to register or qualify the underlying securities for sale under all applicable state securities laws.</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the foregoing conditions are satisfied and we issue a notice of redemption of the Public Warrants, each holder of Public Warrants will be entitled to exercise his, her or its Public Warrant prior to the scheduled redemption date. However, the price of the shares of Class A Common Stock may fall below the $18.00 redemption trigger price as well as the $11.50 Public Warrant exercise price after the redemption notice is issued.</w:t>
      </w:r>
    </w:p>
    <w:p>
      <w:pPr>
        <w:spacing w:after="0" w:line="7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we call the Public Warrants for redemption as described above, our management will have the option to require any holder that wishes to exercise his, her or its Public Warrant to do so on a “cashless basis.” In determining whether to require any holders to exercise their Public Warrants on a “cashless basis,” our management will consider, among other factors, our cash position, the number of Public Warrants that are outstanding and the dilutive effect on our stockholders of issuing the maximum number of shares of Class A Common Stock issuable upon exercise of the Public Warrants. If our management takes advantage of this option, all holders of Public Warrants would pay the exercise price by surrendering their Public Warrants for that number of shares of Class A Common Stock equal to the quotient obtained by dividing (x) the product of the number of shares of Class A Common Stock underlying the Public Warrants, multiplied by the excess of the “fair market value” (defined below) over the exercise price of the Public Warrants by (y) the fair market value. The “fair market value” will mean the average last reported sale price of the shares of Class A Common Stock for the 10 trading days ending on the third trading day prior to the date 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7" w:name="page128"/>
    <w:bookmarkEnd w:id="1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which the notice of redemption is sent to the holders of Public Warrant.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Public Warrant redemption. If we calls the Public Warrants for redemption and our management does not take advantage of this option, Silver Spike Sponsor and its permitted transferees would still be entitled to exercise their Private Placement Warrants for cash or on a cashless basis using the same formula described above that other holders of Public Warrants would have been required to use had all warrant holders been required to exercise their warrants on a cashless basis, as described in more detail below.</w:t>
      </w:r>
    </w:p>
    <w:p>
      <w:pPr>
        <w:spacing w:after="0" w:line="8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 holder of Public Warrants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Class A Common Stock issued and outstanding immediately after giving effect to such exercise.</w:t>
      </w:r>
    </w:p>
    <w:p>
      <w:pPr>
        <w:spacing w:after="0" w:line="75"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If the number of issued and outstanding shares of Class A Common Stock is increased by a capitalization or share dividend payable in shares of Class A Common Stock, or by a split-up of shares of Class A Common Stock or other similar event, then, on the effective date of such share dividend, split-up or similar event, the number of shares of Class A Common Stock issuable on exercise of each Public Warrant will be increased in proportion to such increase in the issued and outstanding shares of Class A Common Stock. A rights offering to holders of shares of Class A Common Stock entitling holders to purchase shares of Class A Common Stock at a price less than the fair market value will be deemed a share dividend of a number of shares of Class A Common Stock equal to the product of</w:t>
      </w:r>
    </w:p>
    <w:p>
      <w:pPr>
        <w:spacing w:after="0" w:line="3" w:lineRule="exact"/>
        <w:rPr>
          <w:sz w:val="20"/>
          <w:szCs w:val="20"/>
          <w:color w:val="auto"/>
        </w:rPr>
      </w:pPr>
    </w:p>
    <w:p>
      <w:pPr>
        <w:jc w:val="both"/>
        <w:ind w:left="300" w:right="319" w:hanging="8"/>
        <w:spacing w:after="0" w:line="250" w:lineRule="auto"/>
        <w:tabs>
          <w:tab w:leader="none" w:pos="5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actually sold in such rights offering (or issuable under any other equity securities sold in such rights offering that are convertible into or exercisable for common stock) multiplied by</w:t>
      </w:r>
    </w:p>
    <w:p>
      <w:pPr>
        <w:jc w:val="both"/>
        <w:ind w:left="300" w:right="299" w:hanging="8"/>
        <w:spacing w:after="0" w:line="251" w:lineRule="auto"/>
        <w:tabs>
          <w:tab w:leader="none" w:pos="55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minus the quotient of (x) the price per shares of Class A Common Stock paid in such rights offering divided by (y) the fair market value. For these purposes, (1)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(2) fair market value means the volume weighted average price of shares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8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addition, if we, at any time while the Public Warrants are outstanding and unexpired, pay a dividend or make a distribution in cash, securities or other assets to the holders of the shares of Class A Common Stock on account of such shares of Class A Common Stock (or other securities into which the Public Warrants are convertible), other than (a) as described above or (b) certain ordinary cash dividends, then the Public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If the number of issued and outstanding shares of Class A Common Stock is decreased by a consolidation, combination, reverse share split or reclassification of the shares of Class A Common Stock or other similar event, then, on the effective date of such consolidation, combination, reverse share split, reclassification or similar event, the number of shares of Class A Common Stock issuable on exercise of each Public Warrant will be decreased in proportion to such decrease in issued and outstanding shares of Class A Common Stock.</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Whenever the number of shares of Class A Common Stock purchasable upon exercise of the Public Warrants is adjusted, as described above, the Public Warrant exercise price will be adjusted by multiplying the Public Warrant exercise price immediately prior to such adjustment by a fraction (x) the numerator of which will be the number of shares of Class A Common Stock purchasable upon exercise of the Public Warrants immediately prior to such adjustment, and (y) the denominator of which will be the number of shares of Class A Common Stock so purchasable immediately thereafter.</w:t>
      </w:r>
    </w:p>
    <w:p>
      <w:pPr>
        <w:spacing w:after="0" w:line="7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issued and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8" w:name="page129"/>
    <w:bookmarkEnd w:id="1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outstanding shares of Class A Common Stock), or in the case of any sale or conveyance to another corporation or entity of our assets or other property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shares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8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Public Warrants are issued in registered form under the Warrant Agreement. You should review a copy of the Warrant Agreement, which is filed as an exhibit to the registration statement of which this prospectus is a part,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65% of the then issued and outstanding Public Warrants to make any change that adversely affects the interests of the registered holders of Public Warrants.</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shares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held of record on all matters to be voted on by holders of shares of Class A Common Stock.</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July 22, 2024, there were 12,499,973 Public Warrants outstanding.</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Private Placement Warrants (including the shares of Class A Common Stock issuable upon exercise of the Private Placement Warrants) will not be transferable, assignable or salable until 30 days after the Closing, subject to certain exceptions and they will not be redeemable by Silver Spike so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us and exercisable by the holders on the same basis as the Public Warrants.</w:t>
      </w:r>
    </w:p>
    <w:p>
      <w:pPr>
        <w:spacing w:after="0" w:line="8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If holders of the Private Placement Warrants elect to exercise them on a cashless basis, they would pay the exercise price by surrendering his, her or its warrants for that number of Class A Common Stock equal to the quotient obtained by dividing (x) the product of the number of Class A Common Stock underlying the warrants, multiplied by the excess of the “fair market value” (defined below) over the exercise price of the warrants by (y) the fair market value. The “fair market value” will mean the average last reported sale price of the shares of Class A Common Stock for the 10 trading days ending on the third trading day prior to the date on which the notice of warrant exercise is sent to the Warrant Agent.</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of July 22, 2024, there were 7,000,000 Private Placement Warrants outstanding.</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We have not paid any cash dividends on the Class A Ordinary Shares, Class A Common Stock or Class V Common Stock to date. The payment of cash dividends in the future will be dependent upon our revenues and earnings, if any, capital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9" w:name="page130"/>
    <w:bookmarkEnd w:id="1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that we or our subsidiaries incur. We do not anticipate declaring any cash dividends to holders of Common Stock in the foreseeable future.</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provides that special meetings of our stockholders may be called by such persons as provided in the Bylaws. The Bylaws provide that special meetings of our stockholders may be called only, for any purpose as is a proper matter for stockholder action under Delaware, by (i) our Chairperson of the Board of Directors, (ii) our Chief Executive Officer or the President if the Chairperson of the Board of Directors is unavailable,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121" w:lineRule="exact"/>
        <w:rPr>
          <w:sz w:val="20"/>
          <w:szCs w:val="20"/>
          <w:color w:val="auto"/>
        </w:rPr>
      </w:pPr>
    </w:p>
    <w:p>
      <w:pPr>
        <w:jc w:val="both"/>
        <w:ind w:left="300" w:right="299"/>
        <w:spacing w:after="0" w:line="232" w:lineRule="auto"/>
        <w:rPr>
          <w:sz w:val="20"/>
          <w:szCs w:val="20"/>
          <w:color w:val="auto"/>
        </w:rPr>
      </w:pPr>
      <w:r>
        <w:rPr>
          <w:rFonts w:ascii="Times New Roman" w:cs="Times New Roman" w:eastAsia="Times New Roman" w:hAnsi="Times New Roman"/>
          <w:sz w:val="18"/>
          <w:szCs w:val="18"/>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under the Bylaws, a stockholder’s notice will need to be received by the company secretary at our principal executive offices not later than the close of business on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nor earlier</w:t>
      </w:r>
    </w:p>
    <w:p>
      <w:pPr>
        <w:spacing w:after="0" w:line="2" w:lineRule="exact"/>
        <w:rPr>
          <w:sz w:val="20"/>
          <w:szCs w:val="20"/>
          <w:color w:val="auto"/>
        </w:rPr>
      </w:pPr>
    </w:p>
    <w:p>
      <w:pPr>
        <w:jc w:val="both"/>
        <w:ind w:left="300" w:right="299"/>
        <w:spacing w:after="0" w:line="205" w:lineRule="auto"/>
        <w:rPr>
          <w:sz w:val="20"/>
          <w:szCs w:val="20"/>
          <w:color w:val="auto"/>
        </w:rPr>
      </w:pPr>
      <w:r>
        <w:rPr>
          <w:rFonts w:ascii="Times New Roman" w:cs="Times New Roman" w:eastAsia="Times New Roman" w:hAnsi="Times New Roman"/>
          <w:sz w:val="17"/>
          <w:szCs w:val="17"/>
          <w:color w:val="auto"/>
        </w:rPr>
        <w:t>than the open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the first anniversary of the preceding year’s annual meeting of stockholders; provided, however, that in the event that no annual meeting was held in the previous year or the annual meeting is called for a date that is more than 30 days before or after the anniversary date of the previous year’s annual meeting, notice by the stockholder must be received by the secretary no earlier than the close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such annual meeting and no later than the close of business on the latter of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w:t>
      </w:r>
    </w:p>
    <w:p>
      <w:pPr>
        <w:spacing w:after="0" w:line="2" w:lineRule="exact"/>
        <w:rPr>
          <w:sz w:val="20"/>
          <w:szCs w:val="20"/>
          <w:color w:val="auto"/>
        </w:rPr>
      </w:pPr>
    </w:p>
    <w:p>
      <w:pPr>
        <w:jc w:val="both"/>
        <w:ind w:left="300" w:right="299"/>
        <w:spacing w:after="0" w:line="227" w:lineRule="auto"/>
        <w:rPr>
          <w:sz w:val="20"/>
          <w:szCs w:val="20"/>
          <w:color w:val="auto"/>
        </w:rPr>
      </w:pPr>
      <w:r>
        <w:rPr>
          <w:rFonts w:ascii="Times New Roman" w:cs="Times New Roman" w:eastAsia="Times New Roman" w:hAnsi="Times New Roman"/>
          <w:sz w:val="18"/>
          <w:szCs w:val="18"/>
          <w:color w:val="auto"/>
        </w:rPr>
        <w:t>to such annual meeting or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day on which public announcement of the date of such meeting is first made. Our Certificate of Incorporation and the Bylaws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us by means of a proxy contest, tender offer, merger or otherwise.</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Selection</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requires, to the fullest extent permitted by law, that derivative actions brought in our name, actions against current or former directors, officers and employees for breach of fiduciary duty, other similar actions, any other action as to which the DGCL confers jurisdiction to the Court of Chancery of the State of Delaware and any action or proceeding concerning the validity of our Certificate of Incorporation or the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Although we believe this provision benefits us by providing increased consistency in the application of Delaware law in the types of lawsuits to which it applies, the provision may limit a stockholder’s ability to bring a claim in a judicial forum that it finds favorable for disputes with us and our directors, officers or other employees and may have the effect of discouraging lawsuits against our directors and officers. This provision would not apply to claims brought to enforce a duty or liability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0" w:name="page131"/>
    <w:bookmarkEnd w:id="1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concurrent jurisdiction for federal and state courts over all suits brought to enforce any duty or liability created by the Securities Act or the rules and regulations thereunder. However, our Certificate of Incorporation provides that the federal district courts of the United States shall be the exclusive forum for the resolution of any complaint asserting a cause of action arising under the Securities Act. Stockholders may be subject to increased costs to bring these claims, and the exclusive forum provision could have the effect of discouraging claims or limiting investors’ ability to bring claims in a judicial forum that they find favorable. 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do not opt out of Section 203 of the DGCL under our Certificate of Incorporation.</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Liability and Indemnification of Directors and Officers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68" w:lineRule="exact"/>
        <w:rPr>
          <w:sz w:val="20"/>
          <w:szCs w:val="20"/>
          <w:color w:val="auto"/>
        </w:rPr>
      </w:pPr>
    </w:p>
    <w:p>
      <w:pPr>
        <w:ind w:left="1000" w:hanging="348"/>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Delaware law and our Certificate of Incorporation and Bylaws provide that we will, in certain situations, indemnify our directors and officers and may indemnify other employees and other agents, to the fullest extent permitted by law. Any indemnified person is also entitled, subject to certain limitations, to advancement of reasonable expenses (including attorneys’ fees and disbursements) in advance of the final disposition of the proceeding.</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75"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these provisions in our Certificate of Incorporation and the Bylaws and these indemnification agreements are necessary to attract and retain qualified persons as directors and officers.</w:t>
      </w:r>
    </w:p>
    <w:p>
      <w:pPr>
        <w:spacing w:after="0" w:line="72"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such as the Company. However, Rule 144 also includes an important exception to this prohibition if the following conditions are met:</w:t>
      </w:r>
    </w:p>
    <w:p>
      <w:pPr>
        <w:spacing w:after="0" w:line="72" w:lineRule="exact"/>
        <w:rPr>
          <w:sz w:val="20"/>
          <w:szCs w:val="20"/>
          <w:color w:val="auto"/>
        </w:rPr>
      </w:pPr>
    </w:p>
    <w:p>
      <w:pPr>
        <w:ind w:left="1000" w:hanging="348"/>
        <w:spacing w:after="0"/>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1" w:name="page132"/>
    <w:bookmarkEnd w:id="1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Upon the Closing, we ceased to be a shell company.</w:t>
      </w:r>
    </w:p>
    <w:p>
      <w:pPr>
        <w:spacing w:after="0" w:line="11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When, and if, Rule 144 becomes available for the resale of our securities, a person who has beneficially owned restricted shares of our Class A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Persons who have beneficially owned restricted shares of our Class A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72" w:lineRule="exact"/>
        <w:rPr>
          <w:sz w:val="20"/>
          <w:szCs w:val="20"/>
          <w:color w:val="auto"/>
        </w:rPr>
      </w:pPr>
    </w:p>
    <w:p>
      <w:pPr>
        <w:ind w:left="1000" w:hanging="348"/>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(1%) of the total number of shares of Class A Common Stock then outstanding; or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Class A Common Stock during the four calendar weeks preceding the filing of a notice on Form 144 with respect to the sale.</w:t>
      </w:r>
    </w:p>
    <w:p>
      <w:pPr>
        <w:spacing w:after="0" w:line="54"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will also be limited by manner of sale provisions and notice requirements and to the availability of current public information about us.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Warrant Agent and Registrar</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transfer agent, warrant agent and registrar for our Class A Common Stock, Class V Common Stock and Warrants is Continental Stock Transfer &amp; Trust Company.</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Our Class A Common Stock and Public Warrants are listed on Nasdaq under the symbols “MAPS” and “MAPW,”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2" w:name="page133"/>
    <w:bookmarkEnd w:id="1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generally applicable to the purchase, ownership and disposition of our Class A Common Stock and the purchase, exercise, disposition and lapse of our Warrants. The Class A Common Stock and the Warrants are collectively referred to herein as our securities. All prospective holders of our securities should consult their tax advisors with respect to the U.S. federal, state, local and non-U.S. tax consequences of the purchase, ownership and disposition of our securities.</w:t>
      </w:r>
    </w:p>
    <w:p>
      <w:pPr>
        <w:spacing w:after="0" w:line="75" w:lineRule="exact"/>
        <w:rPr>
          <w:sz w:val="20"/>
          <w:szCs w:val="20"/>
          <w:color w:val="auto"/>
        </w:rPr>
      </w:pPr>
    </w:p>
    <w:p>
      <w:pPr>
        <w:jc w:val="both"/>
        <w:ind w:left="300" w:right="299"/>
        <w:spacing w:after="0" w:line="251" w:lineRule="auto"/>
        <w:rPr>
          <w:sz w:val="20"/>
          <w:szCs w:val="20"/>
          <w:color w:val="auto"/>
        </w:rPr>
      </w:pPr>
      <w:r>
        <w:rPr>
          <w:rFonts w:ascii="Times New Roman" w:cs="Times New Roman" w:eastAsia="Times New Roman" w:hAnsi="Times New Roman"/>
          <w:sz w:val="18"/>
          <w:szCs w:val="18"/>
          <w:color w:val="auto"/>
        </w:rPr>
        <w:t>This discussion is not a complete analysis of all potential U.S. federal income tax consequences relating to the purchase, ownership and disposition of our securities. This summary is based upon current provisions of the U.S. Internal Revenue Code of 1986, as amended, which we refer to as the Code, existing U.S. Treasury Regulations promulgated thereunder, published administrative pronouncements and rulings of the U.S. Internal Revenue Service, which we refer to as the IRS, and judicial decisions, all as in effect as of the date of this prospectus. These authorities are subject to change and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purchase, ownership or disposition of our securities. 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the special tax accounting rules under Section 451(b) of the Code, any alternative minimum, Medicare contribution, estate or gift tax consequences, or any aspects of U.S. state, local or non-U.S. taxes or any other U.S. federal tax laws. This discussion also does not address consequences relevant to holders subject to special tax rules, such as holders that own, or are deemed to own, more than 5%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real estate investment trusts, persons that have a “functional currency” other than the U.S. dollar, tax-qualified retirement plans, holders who hold or receive our securities pursuant to the exercise of employee stock options or otherwise as compensation, holders holding our securities as part of a hedge, straddle or other risk reduction strategy, conversion transaction or other integrated investment, holders deemed to sell our securities under the constructive sale provisions of the Code, passive foreign investment companies, controlled foreign corporations, and certain former U.S. citizens or long-term residents.</w:t>
      </w:r>
    </w:p>
    <w:p>
      <w:pPr>
        <w:spacing w:after="0" w:line="96"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addition, this discussion does not address the tax treatment of partnerships (or entities or arrangements that are treated as partnerships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will generally depend upon the status of the partner and the activities of the partnership. Such partners and partnerships should consult their tax advisors regarding the tax consequences of the purchase, ownership and disposition of our securities.</w:t>
      </w:r>
    </w:p>
    <w:p>
      <w:pPr>
        <w:spacing w:after="0" w:line="8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“U.S. Holder” means a beneficial owner of our securities (other than a partnership or an entity or arrangement treated as a partnership for U.S. federal income tax purposes) that is, for U.S. federal income tax purposes:</w:t>
      </w:r>
    </w:p>
    <w:p>
      <w:pPr>
        <w:spacing w:after="0" w:line="68" w:lineRule="exact"/>
        <w:rPr>
          <w:sz w:val="20"/>
          <w:szCs w:val="20"/>
          <w:color w:val="auto"/>
        </w:rPr>
      </w:pPr>
    </w:p>
    <w:p>
      <w:pPr>
        <w:ind w:left="1000" w:hanging="348"/>
        <w:spacing w:after="0"/>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p>
      <w:pPr>
        <w:spacing w:after="0" w:line="68" w:lineRule="exact"/>
        <w:rPr>
          <w:sz w:val="20"/>
          <w:szCs w:val="20"/>
          <w:color w:val="auto"/>
        </w:rPr>
      </w:pPr>
    </w:p>
    <w:p>
      <w:pPr>
        <w:jc w:val="both"/>
        <w:ind w:left="300" w:right="299"/>
        <w:spacing w:after="0" w:line="275" w:lineRule="auto"/>
        <w:rPr>
          <w:sz w:val="20"/>
          <w:szCs w:val="20"/>
          <w:color w:val="auto"/>
        </w:rPr>
      </w:pPr>
      <w:r>
        <w:rPr>
          <w:rFonts w:ascii="Times New Roman" w:cs="Times New Roman" w:eastAsia="Times New Roman" w:hAnsi="Times New Roman"/>
          <w:sz w:val="18"/>
          <w:szCs w:val="18"/>
          <w:color w:val="auto"/>
        </w:rPr>
        <w:t>For purposes of this discussion, a “non-U.S. Holder” is a beneficial owner of our securities that is neither a U.S. Holder nor a partnership or an entity or arrangement treated as a partnership for U.S. federal income tax purposes.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3" w:name="page134"/>
    <w:bookmarkEnd w:id="1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Considerations Applicable to U.S. Holders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If we pay distributions or make constructive distributions (other than certain 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“Tax Considerations Applicable to U.S. Holders—Gain or Loss on Sale, Taxable Exchange or Other Taxable Disposition of Class A Common Stock” below.</w:t>
      </w:r>
    </w:p>
    <w:p>
      <w:pPr>
        <w:spacing w:after="0" w:line="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Dividends we pay to a U.S. Holder that is a taxable corporation will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will generally constitute “qualified dividends” that will be subject to tax at the maximum tax rate accorded to long-term capital gains.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Gain or Loss on Sale, Taxable Exchange or Other Taxable Disposition of Class A Common Stock</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 U.S. Holder generally will recognize gain or loss on the sale, taxable exchange or other taxable disposition of our Class A Common Stock. Any such gain or loss will be capital gain or loss, and will be long-term capital gain or loss if the U.S. Holder’s holding period for the Class A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Class A Common Stock so disposed of. A U.S. Holder’s adjusted tax basis in its Class A Common Stock will generally equal the U.S. Holder’s acquisition cost for such Class A Common Stock (or, in the case of Class A Common Stock received upon exercise of a Warrant, the U.S. Holder’s initial basis for such Class A Common Stock, as discussed below), less any prior distributions treated as a return of capital. Long-term capital gains recognized by non-corporate U.S. Holders are generally eligible for reduced rates of tax. If the U.S. Holder’s holding period for the Class A Common Stock so disposed of is one year or less, any gain on a sale or other taxable disposition of the shares would be subject to short-term capital gain treatment and would be subject to U.S. federal income tax at ordinary income tax rates. The deductibility of capital losses is subject to limitations.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Exercise of a Warrant</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Except as discussed below with respect to the cashless exercise of a Warrant, a U.S. Holder generally will not recognize taxable gain or loss upon exercise of a Warrant for cash. The U.S. Holder’s initial tax basis in the share of our Class A Common Stock received upon exercise of the Warrant will generally be an amount equal to the sum of the U.S. Holder’s acquisition cost of the Warrant and the exercise price of such Warrant. It is unclear whether a U.S. Holder’s holding period for the Class A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spacing w:after="0" w:line="8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certain circumstances, the Warrants may be exercised on a cashless basis. The U.S. federal income tax treatment of an exercise of a warrant on a cashless basis is not clear, and could differ from the consequences described above. A cashless exercise may be nontaxable, either because the exercise is not a realization event or because the exercise is treated as a recapitalization for U.S. federal income tax purposes. It is also possible that a cashless exercise of a Warrant could be treated in part as a taxable exchange in which gain or loss is recognized. U.S. holders are urged to consult their tax advisors as to the consequences of an exercise of a Warrant on a cashless basis, including with respect to their holding period and tax basis in the Class A Common Stock received upon exercise of the Warrant.</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or Expiration of a Warrant</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Upon a sale, exchange (other than by exercise), redemption, or expiration of a Warrant, a U.S. Holder will recognize taxable gain or loss in an amount equal to the difference between (1) the amount realized upon such disposition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4" w:name="page135"/>
    <w:bookmarkEnd w:id="1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expiration and (2) the U.S. Holder’s adjusted tax basis in the Warrant. A U.S. Holder’s adjusted tax basis in its Warrants will generally equal the U.S. Holder’s acquisition cost, increased by the amount of any constructive distributions included in income by such U.S. Holder (as described below under “Tax Considerations Applicable to U.S. Holders—Possible Constructive Distributions”). Such gain or loss generally will be treated as long-term capital gain or loss if the Warrant is held by the U.S. Holder for more than one year at the time of such disposition or expiration.</w:t>
      </w:r>
    </w:p>
    <w:p>
      <w:pPr>
        <w:spacing w:after="0" w:line="7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If a Warrant is allowed to lapse unexercised, a U.S. Holder will generally recognize a capital loss equal to such holder’s adjusted tax basis in the Warrant. Because the term of the Warrants is more than one year, a U.S. Holder’s capital loss generally will be treated as a long-term capital loss. The deductibility of capital losses is subject to certain limitations.</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Possible Constructive Distributions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shares of Class A Common Stock for which the Warrant may be exercised or to the exercise price of the Warrant in certain events, as discussed in the section of this prospectus entitled “Description of Securities—Warrants—Public Warrants.” An adjustment which has the effect of preventing dilution generally should not be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an adjustment to the exercise price of the Warrant) as a result of a distribution of cash to the holders of shares of our Class A Common Stock which is taxable to such holders as a distribution. Such constructive distribution would be subject to tax as described above under “Tax Considerations Applicable to U.S. Holders—Taxation of Distributions” in the same manner as if such U.S. Holder received a cash distribution from us on Class A Common Stock equal to the fair market value of such increased interest.</w:t>
      </w:r>
    </w:p>
    <w:p>
      <w:pPr>
        <w:spacing w:after="0" w:line="2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general, information reporting requirements may apply to dividends paid to a U.S. Holder and to the proceeds of the sale or other disposition of our shares of Class A Common Stock and Warrants, unless the U.S. Holder is an exempt recipient. Backup withholding may apply to such payments if the U.S. Holder fails to provide a taxpayer identification number (or furnishes an incorrect taxpayer identification number) or a certification of exempt status, or has been notified by the IRS that it is subject to backup withholding (and such notification has not been withdrawn).</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 U.S. Holders should consult their tax advisors regarding their qualification for an exemption from backup withholding and the procedures for obtaining such an exemption.</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Considerations Applicable to Non-U.S. Holders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In general, any distributions (including constructive distributions) we make to a non-U.S. Holder of shares of 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applicable).In the case of any constructive dividend (as described below under “Tax Considerations Applicable to Non-U.S. Holders—Possible Constructive Distributions”),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“Tax Considerations Applicable to Non-U.S. Holders— Gain on Sale, Exchange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5" w:name="page136"/>
    <w:bookmarkEnd w:id="1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or Other Taxable Disposition of Class A Common Stock and Warrants” below. In addition, if we determine that we are likely to be classified as a “United States real property holding corporation” (see the section entitled “Tax Considerations Applicable to Non-U.S. Holders—Gain on Sale, Exchange or Other Taxable Disposition of Class A Common Stock and Warrants” below), we will withhold 15% of any distribution that exceeds our current and accumulated earnings and profits.</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Exercise of a Warrant</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U.S. federal income tax treatment of a non-U.S. Holder’s exercise of a Warrant will generally correspond to the U.S. federal income tax treatment of the exercise of a Warrant by a U.S. Holder, as described under “Tax Considerations Applicable to U.S. Holders—Exercise of a Warrant” above, although to the extent a cashless exercise results in a taxable exchange, the tax consequences to the non-U.S. Holder would be the same as those described below in “Tax Considerations Applicable to Non-U.S. Holders—Gain on Sale, Exchange or Other Taxable Disposition of Class A Common Stock and Warrants.”</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Gain on Sale, Exchange or Other Taxable Disposition of Class A Common Stock and Warrants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in respect of gain recognized on a sale, taxable exchange or other taxable disposition of our Class A Common Stock or Warrants or an expiration or redemption of our Warrants, unless:</w:t>
      </w:r>
    </w:p>
    <w:p>
      <w:pPr>
        <w:spacing w:after="0" w:line="68" w:lineRule="exact"/>
        <w:rPr>
          <w:sz w:val="20"/>
          <w:szCs w:val="20"/>
          <w:color w:val="auto"/>
        </w:rPr>
      </w:pPr>
    </w:p>
    <w:p>
      <w:pPr>
        <w:jc w:val="both"/>
        <w:ind w:left="1000" w:right="319" w:hanging="348"/>
        <w:spacing w:after="0" w:line="266"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disposition and certain other conditions are met; or</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or Warrants and, in the case where shares of our Class A Common Stock are regularly traded on an established securities market, (i) the non-U.S. Holder is disposing of our Class A Common Stock and has owned, directly or constructively, more than 5% of our Class A Common Stock at any time within the shorter of the five-year period preceding the disposition or such Non-U.S. Holder’s holding period for the shares of our Class A Common Stock or (ii), in the case where our Warrants are regularly traded on an established securities market, the non-U.S. Holder is disposing of our Warrants and has owned, directly or constructively, more than 5% of our Warrants at any time within the within the shorter of the five-year period preceding the disposition or such Non-U.S. Holder’s holding period for our Warrants. There can be no assurance that our Class A Common Stock or Warrants will be treated as regularly traded or not regularly traded on an established securities market for this purpose.</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7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If the third bullet point above applies to a non-U.S. Holder and applicable exceptions are not available, gain recognized by such holder on the sale, exchange or other disposition of our Class A Common Stock or Warrants, as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6" w:name="page137"/>
    <w:bookmarkEnd w:id="1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applicable, will be subject to tax at generally applicable U.S. federal income tax rates. In addition, a buyer of our Class A Common Stock or Warrants from such holder may be required to withhold U.S.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Possible Constructive Distributions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shares of Class A Common Stock for which the Warrant may be exercised or to the exercise price of the Warrant in certain events, as discussed in the section entitled “Description of Securities—Warrants—Public Warrants.” An adjustment which has the effect of preventing dilution generally should not be a taxable event. Nevertheless, a non-U.S.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an adjustment to the exercise price of the Warrant) as a result of a distribution of cash to the holders of shares of our Class A Common Stock which is taxable to such holders as a distribution. A non-U.S. Holder would be subject to U.S. federal income tax withholding as described above under “Tax Considerations Applicable to Non-U.S. Holders—Taxation of Distributions” in the same manner as if such non-U.S. Holder received a cash distribution from us on Class A Common Stock equal to the fair market value of such increased interest without any corresponding receipt of cash.</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21"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7"/>
          <w:szCs w:val="17"/>
          <w:color w:val="auto"/>
        </w:rPr>
        <w:t>Provisions of the Code and U.S. Treasury Regulations and administrative guidance promulgated thereunder commonly referred as the “Foreign Account Tax Compliance Act” (“FATCA”) generally impose withholding at a rate of 30% in certain circumstances on dividends (including constructive dividends) in respect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w:t>
      </w:r>
    </w:p>
    <w:p>
      <w:pPr>
        <w:spacing w:after="0" w:line="2" w:lineRule="exact"/>
        <w:rPr>
          <w:sz w:val="20"/>
          <w:szCs w:val="20"/>
          <w:color w:val="auto"/>
        </w:rPr>
      </w:pPr>
    </w:p>
    <w:p>
      <w:pPr>
        <w:jc w:val="both"/>
        <w:ind w:left="300" w:right="299" w:hanging="8"/>
        <w:spacing w:after="0" w:line="251" w:lineRule="auto"/>
        <w:tabs>
          <w:tab w:leader="none" w:pos="56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 respect of our securities held by an investor that is a non-financial foreign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Withholding under FATCA was scheduled to apply to payments of gross proceeds from the sale or other disposition of property that produces U.S.-source interest or dividends, however, proposed U.S. Treasury Regulations have been released that, if finalized in their proposed form, would eliminate the obligation under FATCA to withhold on such gross proceeds. Although these proposed Treasury Regulations are not final, the preamble states that taxpayers generally may rely on them until final U.S. Treasury Regulations are issued. Prospective investors should consult their tax advisors regarding the possible implications of FATCA on their investment in our securities.</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payments of dividends and the proceeds from a sale or other disposition of our Class A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7" w:name="page138"/>
    <w:bookmarkEnd w:id="1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are registering the issuance by us of an aggregate of up to 110,898,382 shares of our Class A Common Stock consisting of (i) 7,000,000 shares of Class A Common Stock issuable upon exercise of the Private Placement Warrants by the holders thereof, (ii) 12,499,993 shares of Class A Common Stock issuable upon exercise of the Public Warrants by the holders thereof, (iii) 65,502,347 shares of Class A Common Stock issuable upon exchange of Paired Interests and (iv) 25,896,042 shares of Class A Common Stock issuable upon exchange of Class P Units. We are also registering the resale by the Selling Securityholders or their permitted transferees from time to time of up to</w:t>
      </w:r>
    </w:p>
    <w:p>
      <w:pPr>
        <w:spacing w:after="0" w:line="5" w:lineRule="exact"/>
        <w:rPr>
          <w:sz w:val="20"/>
          <w:szCs w:val="20"/>
          <w:color w:val="auto"/>
        </w:rPr>
      </w:pPr>
    </w:p>
    <w:p>
      <w:pPr>
        <w:jc w:val="both"/>
        <w:ind w:left="300" w:right="299" w:hanging="8"/>
        <w:spacing w:after="0" w:line="253" w:lineRule="auto"/>
        <w:tabs>
          <w:tab w:leader="none" w:pos="56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105,014,011 shares of Class A Common Stock, consisting of (i) 38,750,000 issued and outstanding shares of Class A Common Stock, (ii) 59,264,011 shares of Class A Common Stock issuable upon exchange of such Selling Securityholder’s Paired Interests or Class P Units, (iii) 7,000,000 shares of Class A Common Stock issuable upon exercise of the Private Placement Warrants and (b) 7,000,000 Private Placement Warrants.</w:t>
      </w:r>
    </w:p>
    <w:p>
      <w:pPr>
        <w:spacing w:after="0" w:line="8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We are required to pay all fees and expenses incident to the registration of the securities to be offered and sold pursuant to this prospectus. The Selling Securityholders will bear all commissions and discounts, if any, attributable to their sale of securities.</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Securityholders. We will receive proceeds from Warrants exercised in the event that such Warrants are exercised for cash. The aggregate proceeds to the Selling Securityholders will be the purchase price of the securities less any discounts and commissions borne by the Selling Securityholders.</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shares of Class A Common Stock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securities by one or more of, or a combination of, the following methods:</w:t>
      </w:r>
    </w:p>
    <w:p>
      <w:pPr>
        <w:spacing w:after="0" w:line="84" w:lineRule="exact"/>
        <w:rPr>
          <w:sz w:val="20"/>
          <w:szCs w:val="20"/>
          <w:color w:val="auto"/>
        </w:rPr>
      </w:pPr>
    </w:p>
    <w:p>
      <w:pPr>
        <w:ind w:left="1000" w:right="319" w:hanging="348"/>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shares as agent but may position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Nasdaq;</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to employees, members, limited partners or stockholders of the Selling Securityholders;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 whether through an options exchange or otherwise;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delivery arrangements;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broker-dealers;</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8" w:name="page139"/>
    <w:bookmarkEnd w:id="1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17"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addition, any securities that qualify for sale pursuant to Rule 144 or another exemption from registration under the Securities Act or other such exemption may be sold under Rule 144 rather than pursuant to this prospectus.</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8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have advised the Selling Securityholders that the anti-manipulation rules of Regulation M under the Exchange Act may apply to sales of securities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 holder of Warrants may exercise its Warrants in accordance with the Warrant Agreement on or before the expiration date set forth therein by surrendering, at the office of the Warrant Agent, Continental Stock Transfer &amp; Trust Company,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9" w:name="page140"/>
    <w:bookmarkEnd w:id="1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validity of any securities offered by this prospectus herein has been passed upon for us by Cooley LLP.</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WM Technology, Inc. as of and for the year ended December 31, 2023 included in this prospectus have been audited by Moss Adams LLP, an independent registered public accounting firm, as stated in their report (which report expresses an unqualified opinion and includes an explanatory paragraph relating to a restatement of previously reported 2023 quarterly revenue and credit losses), which is included herein. Such consolidated financial statements are included in reliance upon the report of such firm given their authority as experts in accounting and auditing.</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the Company as of December 31, 2022 and for the year ended December 31, 2022 have been audited by Baker Tilly US, LLP (“Baker Tilly US, LLP”), an independent registered public accounting firm, given on the authority of said firm as experts in auditing and accounting.</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6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www.weedmaps.com</w:t>
      </w:r>
      <w:r>
        <w:rPr>
          <w:rFonts w:ascii="Times New Roman" w:cs="Times New Roman" w:eastAsia="Times New Roman" w:hAnsi="Times New Roman"/>
          <w:sz w:val="18"/>
          <w:szCs w:val="18"/>
          <w:color w:val="auto"/>
        </w:rPr>
        <w:t>.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0" w:name="page141"/>
    <w:bookmarkEnd w:id="140"/>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gridSpan w:val="3"/>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51"/>
        </w:trPr>
        <w:tc>
          <w:tcPr>
            <w:tcW w:w="1300" w:type="dxa"/>
            <w:vAlign w:val="bottom"/>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4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1020" w:type="dxa"/>
            <w:vAlign w:val="bottom"/>
            <w:tcBorders>
              <w:bottom w:val="single" w:sz="8" w:color="CCEEFF"/>
            </w:tcBorders>
          </w:tcPr>
          <w:p>
            <w:pPr>
              <w:spacing w:after="0"/>
              <w:rPr>
                <w:sz w:val="4"/>
                <w:szCs w:val="4"/>
                <w:color w:val="auto"/>
              </w:rPr>
            </w:pPr>
          </w:p>
        </w:tc>
        <w:tc>
          <w:tcPr>
            <w:tcW w:w="148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8060" w:type="dxa"/>
            <w:vAlign w:val="bottom"/>
            <w:tcBorders>
              <w:bottom w:val="single" w:sz="8" w:color="CCEEFF"/>
            </w:tcBorders>
            <w:gridSpan w:val="1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Financial Statements</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Balance Sheets as of March 31, 2024 and December 31, 2023</w:t>
            </w:r>
          </w:p>
        </w:tc>
        <w:tc>
          <w:tcPr>
            <w:tcW w:w="8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F-2</w:t>
            </w: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1480" w:type="dxa"/>
            <w:vAlign w:val="bottom"/>
            <w:tcBorders>
              <w:top w:val="single" w:sz="8" w:color="0000EE"/>
            </w:tcBorders>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for the Three Months Ended March 31, 2024 and 2023</w:t>
            </w:r>
          </w:p>
        </w:tc>
        <w:tc>
          <w:tcPr>
            <w:tcW w:w="8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0000EE"/>
                <w:w w:val="95"/>
              </w:rPr>
              <w:t>F-3</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1020" w:type="dxa"/>
            <w:vAlign w:val="bottom"/>
            <w:tcBorders>
              <w:top w:val="single" w:sz="8" w:color="0000EE"/>
            </w:tcBorders>
            <w:shd w:val="clear" w:color="auto" w:fill="CCEEFF"/>
          </w:tcPr>
          <w:p>
            <w:pPr>
              <w:spacing w:after="0"/>
              <w:rPr>
                <w:sz w:val="6"/>
                <w:szCs w:val="6"/>
                <w:color w:val="auto"/>
              </w:rPr>
            </w:pPr>
          </w:p>
        </w:tc>
        <w:tc>
          <w:tcPr>
            <w:tcW w:w="1480" w:type="dxa"/>
            <w:vAlign w:val="bottom"/>
            <w:tcBorders>
              <w:top w:val="single" w:sz="8" w:color="0000EE"/>
            </w:tcBorders>
            <w:shd w:val="clear" w:color="auto" w:fill="CCEEFF"/>
          </w:tcPr>
          <w:p>
            <w:pPr>
              <w:spacing w:after="0"/>
              <w:rPr>
                <w:sz w:val="6"/>
                <w:szCs w:val="6"/>
                <w:color w:val="auto"/>
              </w:rPr>
            </w:pPr>
          </w:p>
        </w:tc>
        <w:tc>
          <w:tcPr>
            <w:tcW w:w="10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Condensed Consolidated Statements of Equity for the Three Months Ended March 31, 2024 and 2023</w:t>
            </w:r>
          </w:p>
        </w:tc>
        <w:tc>
          <w:tcPr>
            <w:tcW w:w="8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F-4</w:t>
            </w: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14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6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2024 and 2023</w:t>
            </w:r>
          </w:p>
        </w:tc>
        <w:tc>
          <w:tcPr>
            <w:tcW w:w="8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0000EE"/>
                <w:w w:val="95"/>
              </w:rPr>
              <w:t>F-5</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1020" w:type="dxa"/>
            <w:vAlign w:val="bottom"/>
            <w:tcBorders>
              <w:top w:val="single" w:sz="8" w:color="0000EE"/>
            </w:tcBorders>
            <w:shd w:val="clear" w:color="auto" w:fill="CCEEFF"/>
          </w:tcPr>
          <w:p>
            <w:pPr>
              <w:spacing w:after="0"/>
              <w:rPr>
                <w:sz w:val="6"/>
                <w:szCs w:val="6"/>
                <w:color w:val="auto"/>
              </w:rPr>
            </w:pPr>
          </w:p>
        </w:tc>
        <w:tc>
          <w:tcPr>
            <w:tcW w:w="1480" w:type="dxa"/>
            <w:vAlign w:val="bottom"/>
            <w:tcBorders>
              <w:top w:val="single" w:sz="8" w:color="0000EE"/>
            </w:tcBorders>
            <w:shd w:val="clear" w:color="auto" w:fill="CCEEFF"/>
          </w:tcPr>
          <w:p>
            <w:pPr>
              <w:spacing w:after="0"/>
              <w:rPr>
                <w:sz w:val="6"/>
                <w:szCs w:val="6"/>
                <w:color w:val="auto"/>
              </w:rPr>
            </w:pPr>
          </w:p>
        </w:tc>
        <w:tc>
          <w:tcPr>
            <w:tcW w:w="106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8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F-6</w:t>
            </w: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14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324"/>
        </w:trPr>
        <w:tc>
          <w:tcPr>
            <w:tcW w:w="1300" w:type="dxa"/>
            <w:vAlign w:val="bottom"/>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tcBorders>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80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29"/>
        </w:trPr>
        <w:tc>
          <w:tcPr>
            <w:tcW w:w="1300" w:type="dxa"/>
            <w:vAlign w:val="bottom"/>
          </w:tcPr>
          <w:p>
            <w:pPr>
              <w:spacing w:after="0"/>
              <w:rPr>
                <w:sz w:val="19"/>
                <w:szCs w:val="19"/>
                <w:color w:val="auto"/>
              </w:rPr>
            </w:pPr>
          </w:p>
        </w:tc>
        <w:tc>
          <w:tcPr>
            <w:tcW w:w="7600" w:type="dxa"/>
            <w:vAlign w:val="bottom"/>
            <w:tcBorders>
              <w:bottom w:val="single" w:sz="8" w:color="0000EE"/>
            </w:tcBorders>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 (Moss Adams LLP, Irvine, California, Auditor</w:t>
            </w:r>
          </w:p>
        </w:tc>
        <w:tc>
          <w:tcPr>
            <w:tcW w:w="460" w:type="dxa"/>
            <w:vAlign w:val="bottom"/>
            <w:tcBorders>
              <w:bottom w:val="single" w:sz="8" w:color="CCEEFF"/>
            </w:tcBorders>
            <w:gridSpan w:val="3"/>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right w:val="single" w:sz="8" w:color="CCEEFF"/>
            </w:tcBorders>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80" w:type="dxa"/>
            <w:vAlign w:val="bottom"/>
            <w:gridSpan w:val="1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ID: (PCAOB ID 659))</w:t>
            </w:r>
          </w:p>
        </w:tc>
        <w:tc>
          <w:tcPr>
            <w:tcW w:w="360" w:type="dxa"/>
            <w:vAlign w:val="bottom"/>
            <w:tcBorders>
              <w:right w:val="single" w:sz="8" w:color="CCEEFF"/>
            </w:tcBorders>
            <w:gridSpan w:val="2"/>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F-28</w:t>
            </w:r>
          </w:p>
        </w:tc>
        <w:tc>
          <w:tcPr>
            <w:tcW w:w="1300" w:type="dxa"/>
            <w:vAlign w:val="bottom"/>
          </w:tcPr>
          <w:p>
            <w:pPr>
              <w:spacing w:after="0"/>
              <w:rPr>
                <w:sz w:val="17"/>
                <w:szCs w:val="17"/>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75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 (Baker Tilly, LLP, Irvine, California, Auditor</w:t>
            </w:r>
          </w:p>
        </w:tc>
        <w:tc>
          <w:tcPr>
            <w:tcW w:w="560" w:type="dxa"/>
            <w:vAlign w:val="bottom"/>
            <w:gridSpan w:val="4"/>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ID: (PCAOB ID 23)</w:t>
            </w:r>
          </w:p>
        </w:tc>
        <w:tc>
          <w:tcPr>
            <w:tcW w:w="1660" w:type="dxa"/>
            <w:vAlign w:val="bottom"/>
            <w:gridSpan w:val="3"/>
          </w:tcPr>
          <w:p>
            <w:pPr>
              <w:jc w:val="center"/>
              <w:ind w:right="1320"/>
              <w:spacing w:after="0" w:line="196" w:lineRule="exact"/>
              <w:rPr>
                <w:sz w:val="20"/>
                <w:szCs w:val="20"/>
                <w:color w:val="auto"/>
              </w:rPr>
            </w:pPr>
            <w:r>
              <w:rPr>
                <w:rFonts w:ascii="Times New Roman" w:cs="Times New Roman" w:eastAsia="Times New Roman" w:hAnsi="Times New Roman"/>
                <w:sz w:val="18"/>
                <w:szCs w:val="18"/>
                <w:color w:val="0000EE"/>
                <w:w w:val="99"/>
              </w:rPr>
              <w:t>F-31</w:t>
            </w:r>
          </w:p>
        </w:tc>
      </w:tr>
      <w:tr>
        <w:trPr>
          <w:trHeight w:val="74"/>
        </w:trPr>
        <w:tc>
          <w:tcPr>
            <w:tcW w:w="13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6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6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Consolidated Balance Sheets</w:t>
            </w:r>
          </w:p>
        </w:tc>
        <w:tc>
          <w:tcPr>
            <w:tcW w:w="36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F-32</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Consolidated Statements of Income</w:t>
            </w:r>
          </w:p>
        </w:tc>
        <w:tc>
          <w:tcPr>
            <w:tcW w:w="166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color w:val="0000EE"/>
                <w:w w:val="99"/>
              </w:rPr>
              <w:t>F-33</w:t>
            </w: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Consolidated Statements of Equity</w:t>
            </w:r>
          </w:p>
        </w:tc>
        <w:tc>
          <w:tcPr>
            <w:tcW w:w="36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F-34</w:t>
            </w:r>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900" w:type="dxa"/>
            <w:vAlign w:val="bottom"/>
            <w:tcBorders>
              <w:top w:val="single" w:sz="8" w:color="CCEEFF"/>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Consolidated Statements of Cash Flows</w:t>
            </w:r>
          </w:p>
        </w:tc>
        <w:tc>
          <w:tcPr>
            <w:tcW w:w="166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color w:val="0000EE"/>
                <w:w w:val="99"/>
              </w:rPr>
              <w:t>F-35</w:t>
            </w: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9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6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Notes to Audited Consolidated Financial Statements</w:t>
            </w:r>
          </w:p>
        </w:tc>
        <w:tc>
          <w:tcPr>
            <w:tcW w:w="360" w:type="dxa"/>
            <w:vAlign w:val="bottom"/>
            <w:tcBorders>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0000EE"/>
                <w:w w:val="99"/>
              </w:rPr>
              <w:t>F-37</w:t>
            </w:r>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900" w:type="dxa"/>
            <w:vAlign w:val="bottom"/>
            <w:tcBorders>
              <w:top w:val="single" w:sz="8" w:color="0000EE"/>
            </w:tcBorders>
            <w:shd w:val="clear" w:color="auto" w:fill="CCEEFF"/>
          </w:tcPr>
          <w:p>
            <w:pPr>
              <w:spacing w:after="0"/>
              <w:rPr>
                <w:sz w:val="6"/>
                <w:szCs w:val="6"/>
                <w:color w:val="auto"/>
              </w:rPr>
            </w:pPr>
          </w:p>
        </w:tc>
        <w:tc>
          <w:tcPr>
            <w:tcW w:w="1020" w:type="dxa"/>
            <w:vAlign w:val="bottom"/>
            <w:tcBorders>
              <w:top w:val="single" w:sz="8" w:color="CCEEFF"/>
            </w:tcBorders>
            <w:shd w:val="clear" w:color="auto" w:fill="CCEEFF"/>
          </w:tcPr>
          <w:p>
            <w:pPr>
              <w:spacing w:after="0"/>
              <w:rPr>
                <w:sz w:val="6"/>
                <w:szCs w:val="6"/>
                <w:color w:val="auto"/>
              </w:rPr>
            </w:pPr>
          </w:p>
        </w:tc>
        <w:tc>
          <w:tcPr>
            <w:tcW w:w="148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432"/>
        </w:trPr>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00" w:type="dxa"/>
            <w:vAlign w:val="bottom"/>
            <w:gridSpan w:val="8"/>
          </w:tcPr>
          <w:p>
            <w:pPr>
              <w:ind w:left="320"/>
              <w:spacing w:after="0"/>
              <w:rPr>
                <w:sz w:val="20"/>
                <w:szCs w:val="20"/>
                <w:color w:val="auto"/>
              </w:rPr>
            </w:pPr>
            <w:r>
              <w:rPr>
                <w:rFonts w:ascii="Times New Roman" w:cs="Times New Roman" w:eastAsia="Times New Roman" w:hAnsi="Times New Roman"/>
                <w:sz w:val="18"/>
                <w:szCs w:val="18"/>
                <w:color w:val="auto"/>
              </w:rPr>
              <w:t>F-1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5852160</wp:posOffset>
            </wp:positionH>
            <wp:positionV relativeFrom="paragraph">
              <wp:posOffset>-3779520</wp:posOffset>
            </wp:positionV>
            <wp:extent cx="939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141" w:name="page142"/>
    <w:bookmarkEnd w:id="1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14"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4"/>
          <w:szCs w:val="14"/>
          <w:b w:val="1"/>
          <w:bCs w:val="1"/>
          <w:color w:val="auto"/>
        </w:rPr>
        <w:t>March 31, 2024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50800</wp:posOffset>
            </wp:positionV>
            <wp:extent cx="5349240" cy="2228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349240" cy="222885"/>
                    </a:xfrm>
                    <a:prstGeom prst="rect">
                      <a:avLst/>
                    </a:prstGeom>
                    <a:noFill/>
                  </pic:spPr>
                </pic:pic>
              </a:graphicData>
            </a:graphic>
          </wp:anchor>
        </w:drawing>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Current assets</w:t>
      </w:r>
    </w:p>
    <w:p>
      <w:pPr>
        <w:spacing w:after="0" w:line="81" w:lineRule="exact"/>
        <w:rPr>
          <w:sz w:val="20"/>
          <w:szCs w:val="20"/>
          <w:color w:val="auto"/>
        </w:rPr>
      </w:pPr>
    </w:p>
    <w:tbl>
      <w:tblPr>
        <w:tblLayout w:type="fixed"/>
        <w:tblInd w:w="300" w:type="dxa"/>
        <w:tblCellMar>
          <w:top w:w="0" w:type="dxa"/>
          <w:left w:w="0" w:type="dxa"/>
          <w:bottom w:w="0" w:type="dxa"/>
          <w:right w:w="0" w:type="dxa"/>
        </w:tblCellMar>
      </w:tblPr>
      <w:tr>
        <w:trPr>
          <w:trHeight w:val="304"/>
        </w:trPr>
        <w:tc>
          <w:tcPr>
            <w:tcW w:w="6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$ 35,717</w:t>
            </w:r>
          </w:p>
        </w:tc>
        <w:tc>
          <w:tcPr>
            <w:tcW w:w="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$ 34,350</w:t>
            </w: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r>
      <w:tr>
        <w:trPr>
          <w:trHeight w:val="270"/>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7,893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11,158</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7"/>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6,651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r>
      <w:tr>
        <w:trPr>
          <w:trHeight w:val="61"/>
        </w:trPr>
        <w:tc>
          <w:tcPr>
            <w:tcW w:w="630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r>
      <w:tr>
        <w:trPr>
          <w:trHeight w:val="283"/>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50,261</w:t>
            </w:r>
          </w:p>
        </w:tc>
        <w:tc>
          <w:tcPr>
            <w:tcW w:w="6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51,486</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54"/>
        </w:trPr>
        <w:tc>
          <w:tcPr>
            <w:tcW w:w="6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04"/>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25,766</w:t>
            </w:r>
          </w:p>
        </w:tc>
        <w:tc>
          <w:tcPr>
            <w:tcW w:w="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24,255</w:t>
            </w: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68,368</w:t>
            </w:r>
          </w:p>
        </w:tc>
        <w:tc>
          <w:tcPr>
            <w:tcW w:w="6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68,368</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04"/>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2,369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14,441</w:t>
            </w:r>
          </w:p>
        </w:tc>
        <w:tc>
          <w:tcPr>
            <w:tcW w:w="6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15,629</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7"/>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4,644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r>
      <w:tr>
        <w:trPr>
          <w:trHeight w:val="61"/>
        </w:trPr>
        <w:tc>
          <w:tcPr>
            <w:tcW w:w="630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r>
      <w:tr>
        <w:trPr>
          <w:trHeight w:val="270"/>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165,849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167,021</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61"/>
        </w:trPr>
        <w:tc>
          <w:tcPr>
            <w:tcW w:w="630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r>
      <w:tr>
        <w:trPr>
          <w:trHeight w:val="318"/>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6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04"/>
        </w:trPr>
        <w:tc>
          <w:tcPr>
            <w:tcW w:w="6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$ 16,553</w:t>
            </w:r>
          </w:p>
        </w:tc>
        <w:tc>
          <w:tcPr>
            <w:tcW w:w="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$ 21,182</w:t>
            </w: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r>
      <w:tr>
        <w:trPr>
          <w:trHeight w:val="270"/>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5,786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04"/>
        </w:trPr>
        <w:tc>
          <w:tcPr>
            <w:tcW w:w="6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5,900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r>
      <w:tr>
        <w:trPr>
          <w:trHeight w:val="25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receivable agreement liability, current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61"/>
        </w:trPr>
        <w:tc>
          <w:tcPr>
            <w:tcW w:w="630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r>
      <w:tr>
        <w:trPr>
          <w:trHeight w:val="318"/>
        </w:trPr>
        <w:tc>
          <w:tcPr>
            <w:tcW w:w="6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29,995</w:t>
            </w:r>
          </w:p>
        </w:tc>
        <w:tc>
          <w:tcPr>
            <w:tcW w:w="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33,715</w:t>
            </w: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25,414</w:t>
            </w:r>
          </w:p>
        </w:tc>
        <w:tc>
          <w:tcPr>
            <w:tcW w:w="6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26,550</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04"/>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receivable agreement liability, non-current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7"/>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r>
      <w:tr>
        <w:trPr>
          <w:trHeight w:val="61"/>
        </w:trPr>
        <w:tc>
          <w:tcPr>
            <w:tcW w:w="630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r>
      <w:tr>
        <w:trPr>
          <w:trHeight w:val="284"/>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59,021</w:t>
            </w:r>
          </w:p>
        </w:tc>
        <w:tc>
          <w:tcPr>
            <w:tcW w:w="6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63,870</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54"/>
        </w:trPr>
        <w:tc>
          <w:tcPr>
            <w:tcW w:w="6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04"/>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4)</w:t>
            </w:r>
          </w:p>
        </w:tc>
        <w:tc>
          <w:tcPr>
            <w:tcW w:w="6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2"/>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 $0.0001 par value; 75,000,000 shares authorized; no shares</w:t>
            </w: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68"/>
        </w:trPr>
        <w:tc>
          <w:tcPr>
            <w:tcW w:w="6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issued and outstanding at March 31, 2024 and December 31, 2023</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A Common Stock - $0.0001 par value; 1,500,000,000 shares authorized;</w:t>
            </w: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16"/>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95,051,735 shares issued and outstanding at March 31, 2024 and 94,383,053</w:t>
            </w: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4"/>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at December 31, 2023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54"/>
        </w:trPr>
        <w:tc>
          <w:tcPr>
            <w:tcW w:w="6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2"/>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V Common Stock - $0.0001 par value; 500,000,000 shares authorized,</w:t>
            </w: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55,486,361 shares issued and outstanding at March 31, 2024 and December 31,</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68"/>
        </w:trPr>
        <w:tc>
          <w:tcPr>
            <w:tcW w:w="6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2023</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r>
      <w:tr>
        <w:trPr>
          <w:trHeight w:val="270"/>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84,056</w:t>
            </w:r>
          </w:p>
        </w:tc>
        <w:tc>
          <w:tcPr>
            <w:tcW w:w="6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80,884</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(63,278)</w:t>
            </w:r>
          </w:p>
        </w:tc>
        <w:tc>
          <w:tcPr>
            <w:tcW w:w="13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(64,518)</w:t>
            </w:r>
          </w:p>
        </w:tc>
      </w:tr>
      <w:tr>
        <w:trPr>
          <w:trHeight w:val="61"/>
        </w:trPr>
        <w:tc>
          <w:tcPr>
            <w:tcW w:w="630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r>
      <w:tr>
        <w:trPr>
          <w:trHeight w:val="283"/>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WM Technology, Inc. stockholders’ equity</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20,792</w:t>
            </w:r>
          </w:p>
        </w:tc>
        <w:tc>
          <w:tcPr>
            <w:tcW w:w="6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16,380</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54"/>
        </w:trPr>
        <w:tc>
          <w:tcPr>
            <w:tcW w:w="6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7"/>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86,036</w:t>
            </w:r>
          </w:p>
        </w:tc>
        <w:tc>
          <w:tcPr>
            <w:tcW w:w="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86,771</w:t>
            </w: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r>
      <w:tr>
        <w:trPr>
          <w:trHeight w:val="61"/>
        </w:trPr>
        <w:tc>
          <w:tcPr>
            <w:tcW w:w="630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r>
      <w:tr>
        <w:trPr>
          <w:trHeight w:val="270"/>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106,828</w:t>
            </w:r>
          </w:p>
        </w:tc>
        <w:tc>
          <w:tcPr>
            <w:tcW w:w="60" w:type="dxa"/>
            <w:vAlign w:val="bottom"/>
          </w:tcPr>
          <w:p>
            <w:pPr>
              <w:spacing w:after="0"/>
              <w:rPr>
                <w:sz w:val="23"/>
                <w:szCs w:val="23"/>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103,151</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61"/>
        </w:trPr>
        <w:tc>
          <w:tcPr>
            <w:tcW w:w="630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r>
      <w:tr>
        <w:trPr>
          <w:trHeight w:val="270"/>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165,849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167,021</w:t>
            </w: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r>
      <w:tr>
        <w:trPr>
          <w:trHeight w:val="48"/>
        </w:trPr>
        <w:tc>
          <w:tcPr>
            <w:tcW w:w="630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bl>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028" w:gutter="0" w:footer="0" w:header="0"/>
        </w:sectPr>
      </w:pPr>
    </w:p>
    <w:bookmarkStart w:id="142" w:name="page143"/>
    <w:bookmarkEnd w:id="1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50"/>
        </w:trPr>
        <w:tc>
          <w:tcPr>
            <w:tcW w:w="62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195"/>
        </w:trPr>
        <w:tc>
          <w:tcPr>
            <w:tcW w:w="6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71"/>
        </w:trPr>
        <w:tc>
          <w:tcPr>
            <w:tcW w:w="62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r>
      <w:tr>
        <w:trPr>
          <w:trHeight w:val="311"/>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44,389</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46,416</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6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2"/>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 shown separately</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68"/>
        </w:trPr>
        <w:tc>
          <w:tcPr>
            <w:tcW w:w="6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below)</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2,302</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3,494</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70"/>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9,634</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12,060</w:t>
            </w:r>
          </w:p>
        </w:tc>
        <w:tc>
          <w:tcPr>
            <w:tcW w:w="20" w:type="dxa"/>
            <w:vAlign w:val="bottom"/>
          </w:tcPr>
          <w:p>
            <w:pPr>
              <w:spacing w:after="0"/>
              <w:rPr>
                <w:sz w:val="23"/>
                <w:szCs w:val="23"/>
                <w:color w:val="auto"/>
              </w:rPr>
            </w:pPr>
          </w:p>
        </w:tc>
      </w:tr>
      <w:tr>
        <w:trPr>
          <w:trHeight w:val="54"/>
        </w:trPr>
        <w:tc>
          <w:tcPr>
            <w:tcW w:w="6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6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9,229</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10,934</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16,526</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20,909</w:t>
            </w:r>
          </w:p>
        </w:tc>
        <w:tc>
          <w:tcPr>
            <w:tcW w:w="20" w:type="dxa"/>
            <w:vAlign w:val="bottom"/>
          </w:tcPr>
          <w:p>
            <w:pPr>
              <w:spacing w:after="0"/>
              <w:rPr>
                <w:sz w:val="23"/>
                <w:szCs w:val="23"/>
                <w:color w:val="auto"/>
              </w:rPr>
            </w:pPr>
          </w:p>
        </w:tc>
      </w:tr>
      <w:tr>
        <w:trPr>
          <w:trHeight w:val="54"/>
        </w:trPr>
        <w:tc>
          <w:tcPr>
            <w:tcW w:w="6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2,937</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3,167</w:t>
            </w:r>
          </w:p>
        </w:tc>
        <w:tc>
          <w:tcPr>
            <w:tcW w:w="20" w:type="dxa"/>
            <w:vAlign w:val="bottom"/>
            <w:shd w:val="clear" w:color="auto" w:fill="CCEEFF"/>
          </w:tcPr>
          <w:p>
            <w:pPr>
              <w:spacing w:after="0"/>
              <w:rPr>
                <w:sz w:val="22"/>
                <w:szCs w:val="22"/>
                <w:color w:val="auto"/>
              </w:rPr>
            </w:pPr>
          </w:p>
        </w:tc>
      </w:tr>
      <w:tr>
        <w:trPr>
          <w:trHeight w:val="61"/>
        </w:trPr>
        <w:tc>
          <w:tcPr>
            <w:tcW w:w="6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83"/>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40,628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50,564</w:t>
            </w:r>
          </w:p>
        </w:tc>
        <w:tc>
          <w:tcPr>
            <w:tcW w:w="20" w:type="dxa"/>
            <w:vAlign w:val="bottom"/>
          </w:tcPr>
          <w:p>
            <w:pPr>
              <w:spacing w:after="0"/>
              <w:rPr>
                <w:sz w:val="24"/>
                <w:szCs w:val="24"/>
                <w:color w:val="auto"/>
              </w:rPr>
            </w:pPr>
          </w:p>
        </w:tc>
      </w:tr>
      <w:tr>
        <w:trPr>
          <w:trHeight w:val="54"/>
        </w:trPr>
        <w:tc>
          <w:tcPr>
            <w:tcW w:w="6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3,761</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(expenses), net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6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6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725</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23"/>
                <w:szCs w:val="23"/>
                <w:color w:val="auto"/>
              </w:rPr>
            </w:pPr>
          </w:p>
        </w:tc>
      </w:tr>
      <w:tr>
        <w:trPr>
          <w:trHeight w:val="54"/>
        </w:trPr>
        <w:tc>
          <w:tcPr>
            <w:tcW w:w="6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6"/>
        </w:trPr>
        <w:tc>
          <w:tcPr>
            <w:tcW w:w="6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0" w:type="dxa"/>
            <w:vAlign w:val="bottom"/>
            <w:tcBorders>
              <w:bottom w:val="single" w:sz="8" w:color="CCEEFF"/>
            </w:tcBorders>
            <w:shd w:val="clear" w:color="auto" w:fill="CCEEFF"/>
          </w:tcPr>
          <w:p>
            <w:pPr>
              <w:spacing w:after="0"/>
              <w:rPr>
                <w:sz w:val="22"/>
                <w:szCs w:val="22"/>
                <w:color w:val="auto"/>
              </w:rPr>
            </w:pPr>
          </w:p>
        </w:tc>
      </w:tr>
      <w:tr>
        <w:trPr>
          <w:trHeight w:val="61"/>
        </w:trPr>
        <w:tc>
          <w:tcPr>
            <w:tcW w:w="62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284"/>
        </w:trPr>
        <w:tc>
          <w:tcPr>
            <w:tcW w:w="6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20" w:type="dxa"/>
            <w:vAlign w:val="bottom"/>
          </w:tcPr>
          <w:p>
            <w:pPr>
              <w:spacing w:after="0"/>
              <w:rPr>
                <w:sz w:val="24"/>
                <w:szCs w:val="24"/>
                <w:color w:val="auto"/>
              </w:rPr>
            </w:pPr>
          </w:p>
        </w:tc>
      </w:tr>
      <w:tr>
        <w:trPr>
          <w:trHeight w:val="54"/>
        </w:trPr>
        <w:tc>
          <w:tcPr>
            <w:tcW w:w="6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6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84"/>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20" w:type="dxa"/>
            <w:vAlign w:val="bottom"/>
          </w:tcPr>
          <w:p>
            <w:pPr>
              <w:spacing w:after="0"/>
              <w:rPr>
                <w:sz w:val="24"/>
                <w:szCs w:val="24"/>
                <w:color w:val="auto"/>
              </w:rPr>
            </w:pPr>
          </w:p>
        </w:tc>
      </w:tr>
      <w:tr>
        <w:trPr>
          <w:trHeight w:val="54"/>
        </w:trPr>
        <w:tc>
          <w:tcPr>
            <w:tcW w:w="6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719</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20" w:type="dxa"/>
            <w:vAlign w:val="bottom"/>
            <w:shd w:val="clear" w:color="auto" w:fill="CCEEFF"/>
          </w:tcPr>
          <w:p>
            <w:pPr>
              <w:spacing w:after="0"/>
              <w:rPr>
                <w:sz w:val="22"/>
                <w:szCs w:val="22"/>
                <w:color w:val="auto"/>
              </w:rPr>
            </w:pPr>
          </w:p>
        </w:tc>
      </w:tr>
      <w:tr>
        <w:trPr>
          <w:trHeight w:val="61"/>
        </w:trPr>
        <w:tc>
          <w:tcPr>
            <w:tcW w:w="62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70"/>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20" w:type="dxa"/>
            <w:vAlign w:val="bottom"/>
          </w:tcPr>
          <w:p>
            <w:pPr>
              <w:spacing w:after="0"/>
              <w:rPr>
                <w:sz w:val="23"/>
                <w:szCs w:val="23"/>
                <w:color w:val="auto"/>
              </w:rPr>
            </w:pPr>
          </w:p>
        </w:tc>
      </w:tr>
      <w:tr>
        <w:trPr>
          <w:trHeight w:val="61"/>
        </w:trPr>
        <w:tc>
          <w:tcPr>
            <w:tcW w:w="6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338"/>
        </w:trPr>
        <w:tc>
          <w:tcPr>
            <w:tcW w:w="6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6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6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0" w:type="dxa"/>
            <w:vAlign w:val="bottom"/>
          </w:tcPr>
          <w:p>
            <w:pPr>
              <w:spacing w:after="0"/>
              <w:rPr>
                <w:sz w:val="23"/>
                <w:szCs w:val="23"/>
                <w:color w:val="auto"/>
              </w:rPr>
            </w:pPr>
          </w:p>
        </w:tc>
      </w:tr>
      <w:tr>
        <w:trPr>
          <w:trHeight w:val="54"/>
        </w:trPr>
        <w:tc>
          <w:tcPr>
            <w:tcW w:w="6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62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7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620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6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9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94,704,164</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92,323,757</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9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96,023,352</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92,323,757</w:t>
            </w: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4763135</wp:posOffset>
            </wp:positionH>
            <wp:positionV relativeFrom="paragraph">
              <wp:posOffset>-5554345</wp:posOffset>
            </wp:positionV>
            <wp:extent cx="13716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4060190</wp:posOffset>
            </wp:positionH>
            <wp:positionV relativeFrom="paragraph">
              <wp:posOffset>-5554345</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22" w:lineRule="exact"/>
        <w:rPr>
          <w:sz w:val="20"/>
          <w:szCs w:val="20"/>
          <w:color w:val="auto"/>
        </w:rPr>
      </w:pPr>
    </w:p>
    <w:p>
      <w:pPr>
        <w:jc w:val="both"/>
        <w:ind w:left="640" w:right="319" w:hanging="348"/>
        <w:spacing w:after="0" w:line="241" w:lineRule="auto"/>
        <w:tabs>
          <w:tab w:leader="none" w:pos="64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March 31, 2023, net revenues and general and administrative expenses have been retrospectively adjusted to reflect the restatement of previously reported revenue and credit losses. See Note 2, “Summary of Significant Accounting Policies,” for further information.</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3" w:name="page144"/>
    <w:bookmarkEnd w:id="1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960" w:type="dxa"/>
            <w:vAlign w:val="bottom"/>
            <w:gridSpan w:val="2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9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9"/>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7"/>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Total WM</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jc w:val="center"/>
              <w:ind w:left="264"/>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9"/>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Class V</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7"/>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9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8"/>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0" w:type="dxa"/>
            <w:vAlign w:val="bottom"/>
            <w:gridSpan w:val="7"/>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Technology, Inc.</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600" w:type="dxa"/>
            <w:vAlign w:val="bottom"/>
            <w:gridSpan w:val="4"/>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196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Par</w:t>
            </w: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Par</w:t>
            </w:r>
          </w:p>
        </w:tc>
        <w:tc>
          <w:tcPr>
            <w:tcW w:w="720" w:type="dxa"/>
            <w:vAlign w:val="bottom"/>
            <w:gridSpan w:val="8"/>
            <w:vMerge w:val="continue"/>
          </w:tcPr>
          <w:p>
            <w:pPr>
              <w:spacing w:after="0"/>
              <w:rPr>
                <w:sz w:val="3"/>
                <w:szCs w:val="3"/>
                <w:color w:val="auto"/>
              </w:rPr>
            </w:pPr>
          </w:p>
        </w:tc>
        <w:tc>
          <w:tcPr>
            <w:tcW w:w="820" w:type="dxa"/>
            <w:vAlign w:val="bottom"/>
            <w:gridSpan w:val="7"/>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3"/>
                <w:szCs w:val="3"/>
                <w:color w:val="auto"/>
              </w:rPr>
            </w:pPr>
          </w:p>
        </w:tc>
        <w:tc>
          <w:tcPr>
            <w:tcW w:w="1000" w:type="dxa"/>
            <w:vAlign w:val="bottom"/>
            <w:gridSpan w:val="7"/>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600" w:type="dxa"/>
            <w:vAlign w:val="bottom"/>
            <w:gridSpan w:val="4"/>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line="20" w:lineRule="exact"/>
              <w:rPr>
                <w:sz w:val="1"/>
                <w:szCs w:val="1"/>
                <w:color w:val="auto"/>
              </w:rPr>
            </w:pPr>
          </w:p>
        </w:tc>
      </w:tr>
      <w:tr>
        <w:trPr>
          <w:trHeight w:val="148"/>
        </w:trPr>
        <w:tc>
          <w:tcPr>
            <w:tcW w:w="1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36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6"/>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20" w:type="dxa"/>
            <w:vAlign w:val="bottom"/>
            <w:gridSpan w:val="7"/>
            <w:vMerge w:val="continue"/>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7"/>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6"/>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4"/>
            <w:vMerge w:val="continue"/>
          </w:tcPr>
          <w:p>
            <w:pPr>
              <w:spacing w:after="0"/>
              <w:rPr>
                <w:sz w:val="16"/>
                <w:szCs w:val="16"/>
                <w:color w:val="auto"/>
              </w:rPr>
            </w:pPr>
          </w:p>
        </w:tc>
        <w:tc>
          <w:tcPr>
            <w:tcW w:w="4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50"/>
        </w:trPr>
        <w:tc>
          <w:tcPr>
            <w:tcW w:w="19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1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7"/>
              </w:rPr>
              <w:t>94,383,053</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w:t>
            </w:r>
          </w:p>
        </w:tc>
        <w:tc>
          <w:tcPr>
            <w:tcW w:w="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55,486,361</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$80,884</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7"/>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$(64,518)</w:t>
            </w:r>
          </w:p>
        </w:tc>
        <w:tc>
          <w:tcPr>
            <w:tcW w:w="82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$16,380</w:t>
            </w:r>
          </w:p>
        </w:tc>
        <w:tc>
          <w:tcPr>
            <w:tcW w:w="1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$86,771</w:t>
            </w:r>
          </w:p>
        </w:tc>
        <w:tc>
          <w:tcPr>
            <w:tcW w:w="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$103,151</w:t>
            </w:r>
          </w:p>
        </w:tc>
        <w:tc>
          <w:tcPr>
            <w:tcW w:w="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20" w:type="dxa"/>
            <w:vAlign w:val="bottom"/>
          </w:tcPr>
          <w:p>
            <w:pPr>
              <w:spacing w:after="0"/>
              <w:rPr>
                <w:sz w:val="21"/>
                <w:szCs w:val="21"/>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3,115</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3,115</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3,175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196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w:t>
            </w:r>
          </w:p>
        </w:tc>
        <w:tc>
          <w:tcPr>
            <w:tcW w:w="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units, net of shares</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withheld for taxes</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628,941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gridSpan w:val="7"/>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50"/>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w:t>
            </w:r>
          </w:p>
        </w:tc>
        <w:tc>
          <w:tcPr>
            <w:tcW w:w="20" w:type="dxa"/>
            <w:vAlign w:val="bottom"/>
          </w:tcPr>
          <w:p>
            <w:pPr>
              <w:spacing w:after="0"/>
              <w:rPr>
                <w:sz w:val="21"/>
                <w:szCs w:val="21"/>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gridSpan w:val="5"/>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7"/>
          </w:tcPr>
          <w:p>
            <w:pPr>
              <w:jc w:val="right"/>
              <w:ind w:right="20"/>
              <w:spacing w:after="0"/>
              <w:rPr>
                <w:sz w:val="20"/>
                <w:szCs w:val="20"/>
                <w:color w:val="auto"/>
              </w:rPr>
            </w:pPr>
            <w:r>
              <w:rPr>
                <w:rFonts w:ascii="Times New Roman" w:cs="Times New Roman" w:eastAsia="Times New Roman" w:hAnsi="Times New Roman"/>
                <w:sz w:val="16"/>
                <w:szCs w:val="16"/>
                <w:color w:val="auto"/>
              </w:rPr>
              <w:t>(1,455)</w:t>
            </w:r>
          </w:p>
        </w:tc>
        <w:tc>
          <w:tcPr>
            <w:tcW w:w="20" w:type="dxa"/>
            <w:vAlign w:val="bottom"/>
          </w:tcPr>
          <w:p>
            <w:pPr>
              <w:spacing w:after="0"/>
              <w:rPr>
                <w:sz w:val="21"/>
                <w:szCs w:val="21"/>
                <w:color w:val="auto"/>
              </w:rPr>
            </w:pP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(1,455)</w:t>
            </w:r>
          </w:p>
        </w:tc>
        <w:tc>
          <w:tcPr>
            <w:tcW w:w="0" w:type="dxa"/>
            <w:vAlign w:val="bottom"/>
          </w:tcPr>
          <w:p>
            <w:pPr>
              <w:spacing w:after="0"/>
              <w:rPr>
                <w:sz w:val="1"/>
                <w:szCs w:val="1"/>
                <w:color w:val="auto"/>
              </w:rPr>
            </w:pPr>
          </w:p>
        </w:tc>
      </w:tr>
      <w:tr>
        <w:trPr>
          <w:trHeight w:val="60"/>
        </w:trPr>
        <w:tc>
          <w:tcPr>
            <w:tcW w:w="196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w:t>
            </w:r>
          </w:p>
        </w:tc>
        <w:tc>
          <w:tcPr>
            <w:tcW w:w="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1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Class P Unit exchange</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39,741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59</w:t>
            </w: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(59)</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20" w:type="dxa"/>
            <w:vAlign w:val="bottom"/>
          </w:tcPr>
          <w:p>
            <w:pPr>
              <w:spacing w:after="0"/>
              <w:rPr>
                <w:sz w:val="21"/>
                <w:szCs w:val="21"/>
                <w:color w:val="auto"/>
              </w:rPr>
            </w:pP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196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 of March 31, 2024</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7"/>
              </w:rPr>
              <w:t>95,051,735</w:t>
            </w:r>
          </w:p>
        </w:tc>
        <w:tc>
          <w:tcPr>
            <w:tcW w:w="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w:t>
            </w:r>
          </w:p>
        </w:tc>
        <w:tc>
          <w:tcPr>
            <w:tcW w:w="80" w:type="dxa"/>
            <w:vAlign w:val="bottom"/>
            <w:shd w:val="clear" w:color="auto" w:fill="CCEEFF"/>
          </w:tcPr>
          <w:p>
            <w:pPr>
              <w:spacing w:after="0"/>
              <w:rPr>
                <w:sz w:val="22"/>
                <w:szCs w:val="22"/>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55,486,361</w:t>
            </w: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84,056</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20" w:type="dxa"/>
            <w:vAlign w:val="bottom"/>
            <w:gridSpan w:val="7"/>
            <w:shd w:val="clear" w:color="auto" w:fill="CCEEFF"/>
          </w:tcPr>
          <w:p>
            <w:pPr>
              <w:jc w:val="center"/>
              <w:spacing w:after="0"/>
              <w:rPr>
                <w:sz w:val="20"/>
                <w:szCs w:val="20"/>
                <w:color w:val="auto"/>
              </w:rPr>
            </w:pPr>
            <w:r>
              <w:rPr>
                <w:rFonts w:ascii="Times New Roman" w:cs="Times New Roman" w:eastAsia="Times New Roman" w:hAnsi="Times New Roman"/>
                <w:sz w:val="16"/>
                <w:szCs w:val="16"/>
                <w:u w:val="single" w:color="auto"/>
                <w:color w:val="auto"/>
                <w:w w:val="98"/>
              </w:rPr>
              <w:t>$</w:t>
            </w:r>
            <w:r>
              <w:rPr>
                <w:rFonts w:ascii="Times New Roman" w:cs="Times New Roman" w:eastAsia="Times New Roman" w:hAnsi="Times New Roman"/>
                <w:sz w:val="16"/>
                <w:szCs w:val="16"/>
                <w:color w:val="auto"/>
                <w:w w:val="98"/>
              </w:rPr>
              <w:t>(63,278)</w:t>
            </w:r>
          </w:p>
        </w:tc>
        <w:tc>
          <w:tcPr>
            <w:tcW w:w="8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20,792</w:t>
            </w:r>
          </w:p>
        </w:tc>
        <w:tc>
          <w:tcPr>
            <w:tcW w:w="1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00" w:type="dxa"/>
            <w:vAlign w:val="bottom"/>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86,036</w:t>
            </w:r>
          </w:p>
        </w:tc>
        <w:tc>
          <w:tcPr>
            <w:tcW w:w="20" w:type="dxa"/>
            <w:vAlign w:val="bottom"/>
            <w:shd w:val="clear" w:color="auto" w:fill="CCEEFF"/>
          </w:tcPr>
          <w:p>
            <w:pPr>
              <w:spacing w:after="0"/>
              <w:rPr>
                <w:sz w:val="22"/>
                <w:szCs w:val="22"/>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106,828</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19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382"/>
        </w:trPr>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60" w:type="dxa"/>
            <w:vAlign w:val="bottom"/>
            <w:gridSpan w:val="27"/>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196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gridSpan w:val="3"/>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9"/>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gridSpan w:val="7"/>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WM</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jc w:val="center"/>
              <w:ind w:left="264"/>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9"/>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V</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7"/>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19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60" w:type="dxa"/>
            <w:vAlign w:val="bottom"/>
            <w:gridSpan w:val="13"/>
            <w:vMerge w:val="restart"/>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60" w:type="dxa"/>
            <w:vAlign w:val="bottom"/>
            <w:gridSpan w:val="8"/>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Technology, Inc.</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600" w:type="dxa"/>
            <w:vAlign w:val="bottom"/>
            <w:gridSpan w:val="4"/>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196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Par</w:t>
            </w: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gridSpan w:val="13"/>
            <w:vMerge w:val="continue"/>
          </w:tcPr>
          <w:p>
            <w:pPr>
              <w:spacing w:after="0"/>
              <w:rPr>
                <w:sz w:val="3"/>
                <w:szCs w:val="3"/>
                <w:color w:val="auto"/>
              </w:rPr>
            </w:pPr>
          </w:p>
        </w:tc>
        <w:tc>
          <w:tcPr>
            <w:tcW w:w="1060" w:type="dxa"/>
            <w:vAlign w:val="bottom"/>
            <w:gridSpan w:val="8"/>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600" w:type="dxa"/>
            <w:vAlign w:val="bottom"/>
            <w:gridSpan w:val="4"/>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line="20" w:lineRule="exact"/>
              <w:rPr>
                <w:sz w:val="1"/>
                <w:szCs w:val="1"/>
                <w:color w:val="auto"/>
              </w:rPr>
            </w:pPr>
          </w:p>
        </w:tc>
      </w:tr>
      <w:tr>
        <w:trPr>
          <w:trHeight w:val="149"/>
        </w:trPr>
        <w:tc>
          <w:tcPr>
            <w:tcW w:w="1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gridSpan w:val="18"/>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Par   Paid-in   Retained</w:t>
            </w:r>
          </w:p>
        </w:tc>
        <w:tc>
          <w:tcPr>
            <w:tcW w:w="60" w:type="dxa"/>
            <w:vAlign w:val="bottom"/>
          </w:tcPr>
          <w:p>
            <w:pPr>
              <w:spacing w:after="0"/>
              <w:rPr>
                <w:sz w:val="12"/>
                <w:szCs w:val="12"/>
                <w:color w:val="auto"/>
              </w:rPr>
            </w:pPr>
          </w:p>
        </w:tc>
        <w:tc>
          <w:tcPr>
            <w:tcW w:w="1000" w:type="dxa"/>
            <w:vAlign w:val="bottom"/>
            <w:gridSpan w:val="7"/>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20" w:type="dxa"/>
            <w:vAlign w:val="bottom"/>
          </w:tcPr>
          <w:p>
            <w:pPr>
              <w:spacing w:after="0"/>
              <w:rPr>
                <w:sz w:val="12"/>
                <w:szCs w:val="12"/>
                <w:color w:val="auto"/>
              </w:rPr>
            </w:pPr>
          </w:p>
        </w:tc>
        <w:tc>
          <w:tcPr>
            <w:tcW w:w="700" w:type="dxa"/>
            <w:vAlign w:val="bottom"/>
            <w:gridSpan w:val="7"/>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50"/>
        </w:trPr>
        <w:tc>
          <w:tcPr>
            <w:tcW w:w="19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1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92,062,468</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w:t>
            </w:r>
          </w:p>
        </w:tc>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55,486,361</w:t>
            </w:r>
          </w:p>
        </w:tc>
        <w:tc>
          <w:tcPr>
            <w:tcW w:w="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$ 5</w:t>
            </w:r>
          </w:p>
        </w:tc>
        <w:tc>
          <w:tcPr>
            <w:tcW w:w="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7"/>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w w:val="99"/>
              </w:rPr>
              <w:t>$67,986</w:t>
            </w:r>
          </w:p>
        </w:tc>
        <w:tc>
          <w:tcPr>
            <w:tcW w:w="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$(54,620)</w:t>
            </w:r>
          </w:p>
        </w:tc>
        <w:tc>
          <w:tcPr>
            <w:tcW w:w="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7"/>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$101,397</w:t>
            </w:r>
          </w:p>
        </w:tc>
        <w:tc>
          <w:tcPr>
            <w:tcW w:w="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$114,777</w:t>
            </w:r>
          </w:p>
        </w:tc>
        <w:tc>
          <w:tcPr>
            <w:tcW w:w="0" w:type="dxa"/>
            <w:vAlign w:val="bottom"/>
          </w:tcPr>
          <w:p>
            <w:pPr>
              <w:spacing w:after="0"/>
              <w:rPr>
                <w:sz w:val="1"/>
                <w:szCs w:val="1"/>
                <w:color w:val="auto"/>
              </w:rPr>
            </w:pPr>
          </w:p>
        </w:tc>
      </w:tr>
      <w:tr>
        <w:trPr>
          <w:trHeight w:val="250"/>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20" w:type="dxa"/>
            <w:vAlign w:val="bottom"/>
          </w:tcPr>
          <w:p>
            <w:pPr>
              <w:spacing w:after="0"/>
              <w:rPr>
                <w:sz w:val="21"/>
                <w:szCs w:val="21"/>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6"/>
          </w:tcPr>
          <w:p>
            <w:pPr>
              <w:jc w:val="right"/>
              <w:spacing w:after="0"/>
              <w:rPr>
                <w:sz w:val="20"/>
                <w:szCs w:val="20"/>
                <w:color w:val="auto"/>
              </w:rPr>
            </w:pPr>
            <w:r>
              <w:rPr>
                <w:rFonts w:ascii="Times New Roman" w:cs="Times New Roman" w:eastAsia="Times New Roman" w:hAnsi="Times New Roman"/>
                <w:sz w:val="16"/>
                <w:szCs w:val="16"/>
                <w:color w:val="auto"/>
              </w:rPr>
              <w:t>4,396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4,396</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gridSpan w:val="7"/>
          </w:tcPr>
          <w:p>
            <w:pPr>
              <w:jc w:val="right"/>
              <w:ind w:right="60"/>
              <w:spacing w:after="0"/>
              <w:rPr>
                <w:sz w:val="20"/>
                <w:szCs w:val="20"/>
                <w:color w:val="auto"/>
              </w:rPr>
            </w:pPr>
            <w:r>
              <w:rPr>
                <w:rFonts w:ascii="Times New Roman" w:cs="Times New Roman" w:eastAsia="Times New Roman" w:hAnsi="Times New Roman"/>
                <w:sz w:val="16"/>
                <w:szCs w:val="16"/>
                <w:color w:val="auto"/>
              </w:rPr>
              <w:t>285</w:t>
            </w:r>
          </w:p>
        </w:tc>
        <w:tc>
          <w:tcPr>
            <w:tcW w:w="20" w:type="dxa"/>
            <w:vAlign w:val="bottom"/>
          </w:tcPr>
          <w:p>
            <w:pPr>
              <w:spacing w:after="0"/>
              <w:rPr>
                <w:sz w:val="21"/>
                <w:szCs w:val="21"/>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4,681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196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w:t>
            </w:r>
          </w:p>
        </w:tc>
        <w:tc>
          <w:tcPr>
            <w:tcW w:w="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units, net of shares</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9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withheld for taxes</w:t>
            </w: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475,510</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Distributions</w:t>
            </w:r>
          </w:p>
        </w:tc>
        <w:tc>
          <w:tcPr>
            <w:tcW w:w="20" w:type="dxa"/>
            <w:vAlign w:val="bottom"/>
          </w:tcPr>
          <w:p>
            <w:pPr>
              <w:spacing w:after="0"/>
              <w:rPr>
                <w:sz w:val="21"/>
                <w:szCs w:val="21"/>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7"/>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0" w:type="dxa"/>
            <w:vAlign w:val="bottom"/>
          </w:tcPr>
          <w:p>
            <w:pPr>
              <w:spacing w:after="0"/>
              <w:rPr>
                <w:sz w:val="21"/>
                <w:szCs w:val="21"/>
                <w:color w:val="auto"/>
              </w:rPr>
            </w:pP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60"/>
        </w:trPr>
        <w:tc>
          <w:tcPr>
            <w:tcW w:w="196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w:t>
            </w:r>
          </w:p>
        </w:tc>
        <w:tc>
          <w:tcPr>
            <w:tcW w:w="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Class P Unit exchange</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35,488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0"/>
        </w:trPr>
        <w:tc>
          <w:tcPr>
            <w:tcW w:w="19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40" w:type="dxa"/>
            <w:vAlign w:val="bottom"/>
            <w:gridSpan w:val="2"/>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gridSpan w:val="2"/>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40" w:type="dxa"/>
            <w:vAlign w:val="bottom"/>
            <w:gridSpan w:val="2"/>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gridSpan w:val="2"/>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80" w:type="dxa"/>
            <w:vAlign w:val="bottom"/>
            <w:gridSpan w:val="2"/>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20" w:type="dxa"/>
            <w:vAlign w:val="bottom"/>
          </w:tcPr>
          <w:p>
            <w:pPr>
              <w:spacing w:after="0"/>
              <w:rPr>
                <w:sz w:val="21"/>
                <w:szCs w:val="21"/>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gridSpan w:val="5"/>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(2,475)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(2,475)</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gridSpan w:val="7"/>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20" w:type="dxa"/>
            <w:vAlign w:val="bottom"/>
          </w:tcPr>
          <w:p>
            <w:pPr>
              <w:spacing w:after="0"/>
              <w:rPr>
                <w:sz w:val="21"/>
                <w:szCs w:val="21"/>
                <w:color w:val="auto"/>
              </w:rPr>
            </w:pPr>
          </w:p>
        </w:tc>
        <w:tc>
          <w:tcPr>
            <w:tcW w:w="7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(3,969)</w:t>
            </w:r>
          </w:p>
        </w:tc>
        <w:tc>
          <w:tcPr>
            <w:tcW w:w="0" w:type="dxa"/>
            <w:vAlign w:val="bottom"/>
          </w:tcPr>
          <w:p>
            <w:pPr>
              <w:spacing w:after="0"/>
              <w:rPr>
                <w:sz w:val="1"/>
                <w:szCs w:val="1"/>
                <w:color w:val="auto"/>
              </w:rPr>
            </w:pPr>
          </w:p>
        </w:tc>
      </w:tr>
      <w:tr>
        <w:trPr>
          <w:trHeight w:val="61"/>
        </w:trPr>
        <w:tc>
          <w:tcPr>
            <w:tcW w:w="1960" w:type="dxa"/>
            <w:vAlign w:val="bottom"/>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1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 of March 31, 2023</w:t>
            </w: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92,573,466</w:t>
            </w:r>
          </w:p>
        </w:tc>
        <w:tc>
          <w:tcPr>
            <w:tcW w:w="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w:t>
            </w:r>
          </w:p>
        </w:tc>
        <w:tc>
          <w:tcPr>
            <w:tcW w:w="80" w:type="dxa"/>
            <w:vAlign w:val="bottom"/>
            <w:shd w:val="clear" w:color="auto" w:fill="CCEEFF"/>
          </w:tcPr>
          <w:p>
            <w:pPr>
              <w:spacing w:after="0"/>
              <w:rPr>
                <w:sz w:val="22"/>
                <w:szCs w:val="22"/>
                <w:color w:val="auto"/>
              </w:rPr>
            </w:pPr>
          </w:p>
        </w:tc>
        <w:tc>
          <w:tcPr>
            <w:tcW w:w="8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55,486,361</w:t>
            </w:r>
          </w:p>
        </w:tc>
        <w:tc>
          <w:tcPr>
            <w:tcW w:w="40" w:type="dxa"/>
            <w:vAlign w:val="bottom"/>
            <w:shd w:val="clear" w:color="auto" w:fill="CCEEFF"/>
          </w:tcPr>
          <w:p>
            <w:pPr>
              <w:spacing w:after="0"/>
              <w:rPr>
                <w:sz w:val="22"/>
                <w:szCs w:val="22"/>
                <w:color w:val="auto"/>
              </w:rPr>
            </w:pPr>
          </w:p>
        </w:tc>
        <w:tc>
          <w:tcPr>
            <w:tcW w:w="3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$ 5</w:t>
            </w:r>
          </w:p>
        </w:tc>
        <w:tc>
          <w:tcPr>
            <w:tcW w:w="60" w:type="dxa"/>
            <w:vAlign w:val="bottom"/>
            <w:shd w:val="clear" w:color="auto" w:fill="CCEEFF"/>
          </w:tcPr>
          <w:p>
            <w:pPr>
              <w:spacing w:after="0"/>
              <w:rPr>
                <w:sz w:val="22"/>
                <w:szCs w:val="22"/>
                <w:color w:val="auto"/>
              </w:rPr>
            </w:pPr>
          </w:p>
        </w:tc>
        <w:tc>
          <w:tcPr>
            <w:tcW w:w="680" w:type="dxa"/>
            <w:vAlign w:val="bottom"/>
            <w:gridSpan w:val="7"/>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72,444</w:t>
            </w:r>
          </w:p>
        </w:tc>
        <w:tc>
          <w:tcPr>
            <w:tcW w:w="40" w:type="dxa"/>
            <w:vAlign w:val="bottom"/>
            <w:shd w:val="clear" w:color="auto" w:fill="CCEEFF"/>
          </w:tcPr>
          <w:p>
            <w:pPr>
              <w:spacing w:after="0"/>
              <w:rPr>
                <w:sz w:val="22"/>
                <w:szCs w:val="22"/>
                <w:color w:val="auto"/>
              </w:rPr>
            </w:pPr>
          </w:p>
        </w:tc>
        <w:tc>
          <w:tcPr>
            <w:tcW w:w="7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(57,095)</w:t>
            </w:r>
          </w:p>
        </w:tc>
        <w:tc>
          <w:tcPr>
            <w:tcW w:w="80" w:type="dxa"/>
            <w:vAlign w:val="bottom"/>
            <w:shd w:val="clear" w:color="auto" w:fill="CCEEFF"/>
          </w:tcPr>
          <w:p>
            <w:pPr>
              <w:spacing w:after="0"/>
              <w:rPr>
                <w:sz w:val="22"/>
                <w:szCs w:val="22"/>
                <w:color w:val="auto"/>
              </w:rPr>
            </w:pPr>
          </w:p>
        </w:tc>
        <w:tc>
          <w:tcPr>
            <w:tcW w:w="7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15,363</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00" w:type="dxa"/>
            <w:vAlign w:val="bottom"/>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$ 99,876</w:t>
            </w:r>
          </w:p>
        </w:tc>
        <w:tc>
          <w:tcPr>
            <w:tcW w:w="20" w:type="dxa"/>
            <w:vAlign w:val="bottom"/>
            <w:shd w:val="clear" w:color="auto" w:fill="CCEEFF"/>
          </w:tcPr>
          <w:p>
            <w:pPr>
              <w:spacing w:after="0"/>
              <w:rPr>
                <w:sz w:val="22"/>
                <w:szCs w:val="22"/>
                <w:color w:val="auto"/>
              </w:rPr>
            </w:pPr>
          </w:p>
        </w:tc>
        <w:tc>
          <w:tcPr>
            <w:tcW w:w="72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115,239</w:t>
            </w:r>
          </w:p>
        </w:tc>
        <w:tc>
          <w:tcPr>
            <w:tcW w:w="0" w:type="dxa"/>
            <w:vAlign w:val="bottom"/>
          </w:tcPr>
          <w:p>
            <w:pPr>
              <w:spacing w:after="0"/>
              <w:rPr>
                <w:sz w:val="1"/>
                <w:szCs w:val="1"/>
                <w:color w:val="auto"/>
              </w:rPr>
            </w:pPr>
          </w:p>
        </w:tc>
      </w:tr>
      <w:tr>
        <w:trPr>
          <w:trHeight w:val="48"/>
        </w:trPr>
        <w:tc>
          <w:tcPr>
            <w:tcW w:w="19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-4697095</wp:posOffset>
            </wp:positionV>
            <wp:extent cx="342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-4697095</wp:posOffset>
            </wp:positionV>
            <wp:extent cx="342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-4697095</wp:posOffset>
            </wp:positionV>
            <wp:extent cx="5143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-4697095</wp:posOffset>
            </wp:positionV>
            <wp:extent cx="254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-4697095</wp:posOffset>
            </wp:positionV>
            <wp:extent cx="342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-4697095</wp:posOffset>
            </wp:positionV>
            <wp:extent cx="342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-4697095</wp:posOffset>
            </wp:positionV>
            <wp:extent cx="3429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3391535</wp:posOffset>
            </wp:positionH>
            <wp:positionV relativeFrom="paragraph">
              <wp:posOffset>-4697095</wp:posOffset>
            </wp:positionV>
            <wp:extent cx="3429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-4697095</wp:posOffset>
            </wp:positionV>
            <wp:extent cx="3429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-1928495</wp:posOffset>
            </wp:positionV>
            <wp:extent cx="5143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-1928495</wp:posOffset>
            </wp:positionV>
            <wp:extent cx="5143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-1928495</wp:posOffset>
            </wp:positionV>
            <wp:extent cx="5143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1419860</wp:posOffset>
            </wp:positionH>
            <wp:positionV relativeFrom="paragraph">
              <wp:posOffset>-1928495</wp:posOffset>
            </wp:positionV>
            <wp:extent cx="2603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5071745</wp:posOffset>
            </wp:positionH>
            <wp:positionV relativeFrom="paragraph">
              <wp:posOffset>-1928495</wp:posOffset>
            </wp:positionV>
            <wp:extent cx="5143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-1928495</wp:posOffset>
            </wp:positionV>
            <wp:extent cx="5143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-1928495</wp:posOffset>
            </wp:positionV>
            <wp:extent cx="5143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-1928495</wp:posOffset>
            </wp:positionV>
            <wp:extent cx="5143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-1928495</wp:posOffset>
            </wp:positionV>
            <wp:extent cx="5143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4" w:name="page145"/>
    <w:bookmarkEnd w:id="1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2120" w:type="dxa"/>
            <w:vAlign w:val="bottom"/>
            <w:gridSpan w:val="1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50"/>
        </w:trPr>
        <w:tc>
          <w:tcPr>
            <w:tcW w:w="63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r>
      <w:tr>
        <w:trPr>
          <w:trHeight w:val="195"/>
        </w:trPr>
        <w:tc>
          <w:tcPr>
            <w:tcW w:w="6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71"/>
        </w:trPr>
        <w:tc>
          <w:tcPr>
            <w:tcW w:w="63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r>
      <w:tr>
        <w:trPr>
          <w:trHeight w:val="311"/>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1,959</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98"/>
              </w:rPr>
              <w:t>(3,969)</w:t>
            </w:r>
          </w:p>
        </w:tc>
      </w:tr>
      <w:tr>
        <w:trPr>
          <w:trHeight w:val="54"/>
        </w:trPr>
        <w:tc>
          <w:tcPr>
            <w:tcW w:w="6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5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68"/>
        </w:trPr>
        <w:tc>
          <w:tcPr>
            <w:tcW w:w="6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r>
      <w:tr>
        <w:trPr>
          <w:trHeight w:val="270"/>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2,937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304"/>
        </w:trPr>
        <w:tc>
          <w:tcPr>
            <w:tcW w:w="6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850</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80" w:type="dxa"/>
            <w:vAlign w:val="bottom"/>
            <w:tcBorders>
              <w:bottom w:val="single" w:sz="8" w:color="CCEEFF"/>
            </w:tcBorders>
            <w:shd w:val="clear" w:color="auto" w:fill="CCEEFF"/>
          </w:tcPr>
          <w:p>
            <w:pPr>
              <w:spacing w:after="0"/>
              <w:rPr>
                <w:sz w:val="24"/>
                <w:szCs w:val="24"/>
                <w:color w:val="auto"/>
              </w:rPr>
            </w:pPr>
          </w:p>
        </w:tc>
      </w:tr>
      <w:tr>
        <w:trPr>
          <w:trHeight w:val="270"/>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543</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304"/>
        </w:trPr>
        <w:tc>
          <w:tcPr>
            <w:tcW w:w="6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lease assets</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1,188</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r>
      <w:tr>
        <w:trPr>
          <w:trHeight w:val="270"/>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2,819</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304"/>
        </w:trPr>
        <w:tc>
          <w:tcPr>
            <w:tcW w:w="6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(benefit) for credit losses</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304"/>
        </w:trPr>
        <w:tc>
          <w:tcPr>
            <w:tcW w:w="6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3,923</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r>
      <w:tr>
        <w:trPr>
          <w:trHeight w:val="270"/>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304"/>
        </w:trPr>
        <w:tc>
          <w:tcPr>
            <w:tcW w:w="6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bottom w:val="single" w:sz="8" w:color="CCEEFF"/>
            </w:tcBorders>
            <w:shd w:val="clear" w:color="auto" w:fill="CCEEFF"/>
          </w:tcPr>
          <w:p>
            <w:pPr>
              <w:spacing w:after="0"/>
              <w:rPr>
                <w:sz w:val="24"/>
                <w:szCs w:val="24"/>
                <w:color w:val="auto"/>
              </w:rPr>
            </w:pPr>
          </w:p>
        </w:tc>
      </w:tr>
      <w:tr>
        <w:trPr>
          <w:trHeight w:val="270"/>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(3,661)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(5,130)</w:t>
            </w:r>
          </w:p>
        </w:tc>
        <w:tc>
          <w:tcPr>
            <w:tcW w:w="18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304"/>
        </w:trPr>
        <w:tc>
          <w:tcPr>
            <w:tcW w:w="6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r>
      <w:tr>
        <w:trPr>
          <w:trHeight w:val="257"/>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(1,729)</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(1,489)</w:t>
            </w:r>
          </w:p>
        </w:tc>
        <w:tc>
          <w:tcPr>
            <w:tcW w:w="180" w:type="dxa"/>
            <w:vAlign w:val="bottom"/>
          </w:tcPr>
          <w:p>
            <w:pPr>
              <w:spacing w:after="0"/>
              <w:rPr>
                <w:sz w:val="22"/>
                <w:szCs w:val="22"/>
                <w:color w:val="auto"/>
              </w:rPr>
            </w:pPr>
          </w:p>
        </w:tc>
      </w:tr>
      <w:tr>
        <w:trPr>
          <w:trHeight w:val="61"/>
        </w:trPr>
        <w:tc>
          <w:tcPr>
            <w:tcW w:w="6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r>
      <w:tr>
        <w:trPr>
          <w:trHeight w:val="270"/>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7,402</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r>
      <w:tr>
        <w:trPr>
          <w:trHeight w:val="61"/>
        </w:trPr>
        <w:tc>
          <w:tcPr>
            <w:tcW w:w="63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r>
      <w:tr>
        <w:trPr>
          <w:trHeight w:val="338"/>
        </w:trPr>
        <w:tc>
          <w:tcPr>
            <w:tcW w:w="6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04"/>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r>
      <w:tr>
        <w:trPr>
          <w:trHeight w:val="257"/>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software and expenditures</w:t>
            </w:r>
          </w:p>
        </w:tc>
        <w:tc>
          <w:tcPr>
            <w:tcW w:w="14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(4,540)</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(3,226)</w:t>
            </w:r>
          </w:p>
        </w:tc>
        <w:tc>
          <w:tcPr>
            <w:tcW w:w="180" w:type="dxa"/>
            <w:vAlign w:val="bottom"/>
          </w:tcPr>
          <w:p>
            <w:pPr>
              <w:spacing w:after="0"/>
              <w:rPr>
                <w:sz w:val="22"/>
                <w:szCs w:val="22"/>
                <w:color w:val="auto"/>
              </w:rPr>
            </w:pPr>
          </w:p>
        </w:tc>
      </w:tr>
      <w:tr>
        <w:trPr>
          <w:trHeight w:val="61"/>
        </w:trPr>
        <w:tc>
          <w:tcPr>
            <w:tcW w:w="6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r>
      <w:tr>
        <w:trPr>
          <w:trHeight w:val="270"/>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(4,540)</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(3,226)</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61"/>
        </w:trPr>
        <w:tc>
          <w:tcPr>
            <w:tcW w:w="63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r>
      <w:tr>
        <w:trPr>
          <w:trHeight w:val="338"/>
        </w:trPr>
        <w:tc>
          <w:tcPr>
            <w:tcW w:w="6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04"/>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r>
      <w:tr>
        <w:trPr>
          <w:trHeight w:val="270"/>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insurance premium financing</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(1,450)</w:t>
            </w:r>
          </w:p>
        </w:tc>
        <w:tc>
          <w:tcPr>
            <w:tcW w:w="18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304"/>
        </w:trPr>
        <w:tc>
          <w:tcPr>
            <w:tcW w:w="6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(1,589)</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tcBorders>
              <w:bottom w:val="single" w:sz="8" w:color="CCEEFF"/>
            </w:tcBorders>
            <w:shd w:val="clear" w:color="auto" w:fill="CCEEFF"/>
          </w:tcPr>
          <w:p>
            <w:pPr>
              <w:spacing w:after="0"/>
              <w:rPr>
                <w:sz w:val="24"/>
                <w:szCs w:val="24"/>
                <w:color w:val="auto"/>
              </w:rPr>
            </w:pPr>
          </w:p>
        </w:tc>
      </w:tr>
      <w:tr>
        <w:trPr>
          <w:trHeight w:val="270"/>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repayment of related party note</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c>
          <w:tcPr>
            <w:tcW w:w="18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57"/>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63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(1,495)</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(1,612)</w:t>
            </w:r>
          </w:p>
        </w:tc>
        <w:tc>
          <w:tcPr>
            <w:tcW w:w="180" w:type="dxa"/>
            <w:vAlign w:val="bottom"/>
          </w:tcPr>
          <w:p>
            <w:pPr>
              <w:spacing w:after="0"/>
              <w:rPr>
                <w:sz w:val="23"/>
                <w:szCs w:val="23"/>
                <w:color w:val="auto"/>
              </w:rPr>
            </w:pPr>
          </w:p>
        </w:tc>
      </w:tr>
      <w:tr>
        <w:trPr>
          <w:trHeight w:val="61"/>
        </w:trPr>
        <w:tc>
          <w:tcPr>
            <w:tcW w:w="6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r>
      <w:tr>
        <w:trPr>
          <w:trHeight w:val="337"/>
        </w:trPr>
        <w:tc>
          <w:tcPr>
            <w:tcW w:w="6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1,367</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(2,681)</w:t>
            </w:r>
          </w:p>
        </w:tc>
        <w:tc>
          <w:tcPr>
            <w:tcW w:w="18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5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beginning of period</w:t>
            </w:r>
          </w:p>
        </w:tc>
        <w:tc>
          <w:tcPr>
            <w:tcW w:w="7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34,350</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28,583</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r>
      <w:tr>
        <w:trPr>
          <w:trHeight w:val="61"/>
        </w:trPr>
        <w:tc>
          <w:tcPr>
            <w:tcW w:w="63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Cash – end of period</w:t>
            </w:r>
          </w:p>
        </w:tc>
        <w:tc>
          <w:tcPr>
            <w:tcW w:w="7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35,717</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25,902</w:t>
            </w:r>
          </w:p>
        </w:tc>
        <w:tc>
          <w:tcPr>
            <w:tcW w:w="180" w:type="dxa"/>
            <w:vAlign w:val="bottom"/>
          </w:tcPr>
          <w:p>
            <w:pPr>
              <w:spacing w:after="0"/>
              <w:rPr>
                <w:sz w:val="23"/>
                <w:szCs w:val="23"/>
                <w:color w:val="auto"/>
              </w:rPr>
            </w:pPr>
          </w:p>
        </w:tc>
      </w:tr>
      <w:tr>
        <w:trPr>
          <w:trHeight w:val="61"/>
        </w:trPr>
        <w:tc>
          <w:tcPr>
            <w:tcW w:w="6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r>
      <w:tr>
        <w:trPr>
          <w:trHeight w:val="338"/>
        </w:trPr>
        <w:tc>
          <w:tcPr>
            <w:tcW w:w="6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70"/>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capitalized for software development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356</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r>
      <w:tr>
        <w:trPr>
          <w:trHeight w:val="54"/>
        </w:trPr>
        <w:tc>
          <w:tcPr>
            <w:tcW w:w="63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4728845</wp:posOffset>
            </wp:positionH>
            <wp:positionV relativeFrom="paragraph">
              <wp:posOffset>-7491730</wp:posOffset>
            </wp:positionV>
            <wp:extent cx="13716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-7491730</wp:posOffset>
            </wp:positionV>
            <wp:extent cx="7683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41" w:lineRule="auto"/>
        <w:tabs>
          <w:tab w:leader="none" w:pos="64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March 31, 2023, provision (benefit) for credit losses and change in accounts receivable have been retrospectively adjusted to reflect the restatement of previously reported revenue and credit losses. See Note 2, “Summary of Significant Accounting Policies,” for further information.</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650" w:gutter="0" w:footer="0" w:header="0"/>
        </w:sectPr>
      </w:pPr>
    </w:p>
    <w:bookmarkStart w:id="145" w:name="page146"/>
    <w:bookmarkEnd w:id="1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left="292" w:right="35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71" w:lineRule="exact"/>
        <w:rPr>
          <w:sz w:val="20"/>
          <w:szCs w:val="20"/>
          <w:color w:val="auto"/>
        </w:rPr>
      </w:pPr>
    </w:p>
    <w:p>
      <w:pPr>
        <w:ind w:left="640" w:hanging="348"/>
        <w:spacing w:after="0"/>
        <w:tabs>
          <w:tab w:leader="none" w:pos="64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and Organization</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(the “Company”) operates a leading online cannabis marketplace for consumers together with a comprehensive set of eCommerce and compliance software solutions for cannabis businesses, which are sold to both storefront locations and delivery operators (“retailers”) and brands in the U.S. states and U.S. territories legalized cannabis markets. The Company’s comprehensive business-to-consumer and business-to-business suite of products afford cannabis retailers and brands of all sizes integrated tools to compliantly run their businesses and to reach, convert, and retain consumers.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Company’s business primarily consists of its commerce-driven marketplace (“Weedmaps”), and its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solutions (“POS”), to provide consumers with the ability to browse by strain, price, cannabinoids and other information regarding locally available cannabis products, through the Company’s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The Company believes the size, loyalty and engagement of its user base and the frequency of consumption of cannabis by its user base makes the Weedmaps marketplace highly valuable to its clients.</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Weedmaps for Business, the Company’s SaaS offering, is a comprehensive set of eCommerce and compliance software solutions catered towards cannabis retailers, delivery services and brands that streamline front and back-end operations and help manage compliance needs. With the development of Weedmaps for Business, the Company offers an end-to-end platform for licensed cannabis retailers to comply with state law. The Company sells a monthly subscription offering to storefront, delivery and brand clients as well as upsell and add-on offerings to licensed clients. The Company also offers other add-on products for additional fees.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On the Closing Date, and in connection with the closing of the Business Combination (the “Closing”), Silver Spike was domesticated and continues as a Delaware corporation, changing its name to WM Technology, Inc.</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Legacy WMH was reorganized into an Up-C structure, in which substantially all of the assets and business of Legacy WMH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79"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As of March 31, 2024, the Company had an accumulated deficit of $63.3 million. The Company has funded its operations primarily with customer payments for its services and proceeds from the issuance of common stock in connection with its initial public offering and follow-on offering. As of March 31, 2024, the Company had cash of $35.7 million. The Company believes that its existing sources of liquidity will satisfy its working capital and capital requirements for at least the next twelve months.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6" w:name="page147"/>
    <w:bookmarkEnd w:id="1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left="292" w:right="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ind w:left="640" w:hanging="348"/>
        <w:spacing w:after="0"/>
        <w:tabs>
          <w:tab w:leader="none" w:pos="64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GAAP and the rules and regulations of the Securities and Exchange Commission (“SEC”) for quarterly reports on Form 10-Q and Article 10-1 of Regulation S-X. Accordingly, certain information and footnotes required by GAAP in annual financial statements have been omitted or condensed and these interim financial statements should be read in conjunction with the audited consolidated financial statements and notes thereto included in the Company’s Annual Report on Form 10-K for the year ended December 31, 2023, filed with the SEC on May 24, 2024. The condensed consolidated financial statements of the Company include all adjustments of a normal recurring nature which, in the opinion of management, are necessary for a fair statement of the Company’s financial position as of March 31, 2024, and results of its operations and its cash flows for the interim periods presented. Certain prior period amounts have been reclassified to conform to the current period presentation. The results of operations for the three months ended March 31, 2024 are not necessarily indicative of the results to be expected for the entire year. There have been no significant changes in the Company’s accounting policies from those described in the Company’s audited consolidated financial statements and the related notes to those statements.</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WM Technology, Inc. and WMH LLC, including their wholly and majority owned subsidiaries. In conformity with GAAP, all significant intercompany accounts and transactions have been eliminated.</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Restatement of Previously Reported 2023 Quarterly Revenue and Credit Losses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preparation of the Company's Consolidated Financial Statements as of and for the fiscal year ended December 31, 2023, the Company discovered that in 2023, it had an inadequate policy associated with its revenue recognition related to the cash collection of a certain subset of its customers that had been placed on cash basis. For these customers, because the determination had been made that there was significant collection risk and the Company had no ability to estimate the collectability of the consideration it was entitled to, revenue recognition was prohibited under Accounting Standards Codification, (“ASC”), Topic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until cash was collected for the services that were provided. The Company refers to the customers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situation as customers that have been placed on cash basis. As further discussed below, in 2023 the Company misapplied this policy in each of the first three quarters of 2023 by failing to apply (in certain cases) cash receipts to prior accounts receivable (via a credit loss recovery) and instead recognized additional revenue for the cash receipt.</w:t>
      </w:r>
    </w:p>
    <w:p>
      <w:pPr>
        <w:spacing w:after="0" w:line="86"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recognizes revenue from contracts with customers under ASC 606. The core principle of the revenue standard is that a company should recognize revenue to depict the transfer of promised goods or services to customers in an amount that reflects the consideration to which the company expects to be entitled in exchange for those goods or services. Once the Company believes that it is no longer probable of collecting substantially all of the consideration to which it will be entitled in exchange for the goods or services transferred to the customer and as such is prohibited from recognizing revenue until it is probable that it will be entitled to all of the consideration. As such, when a customer with significant collection risk is identified, the Company fully reserves for all outstanding accounts receivable and records a credit loss for these receivables.</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Initially, revenue for contracts that the Company assesses are not probable of collection is not recognized until the customer has paid or settled all outstanding accounts receivable balances.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When services are still provided to customers that have been identified with significant collection risk, the Company initially applies all payments received against the customers oldest invoices. However, if the Company continues to provide services to these customers for a significant period of time, cash collections have stabilized and other factors indicate it is appropriate, cash collections are assessed to determine if any of the on-going cash receipts should be accounted for as variable consideration under ASC 606 for on-going services instead of recovery of credit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7" w:name="page148"/>
    <w:bookmarkEnd w:id="1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losses. To date, no material variable consideration has been recognized and after applying the corrections shown in the table below, all cash collections for these customers are reflected as recovery of credit losses.</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Due to the inconsistency of the cash application related to the cash basis customers, and the prohibition on recognizing revenue when the Company does not believe it will receive the consideration it is entitled to, the Company had determined that it had improperly recognized revenue for these customers and should have instead recognized a credit loss recovery related to these cash receipts.</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All periods presented below have been retrospectively restated to reflect the effects of the change to revenues and operating expenses. There was no impact to operating income (loss), net income (loss), net income (loss) per share, net cash provided by operating activities or adjusted EBITDA for any periods presented. The consolidated statement of equity is not affected by this restatement.</w:t>
      </w:r>
    </w:p>
    <w:p>
      <w:pPr>
        <w:spacing w:after="0" w:line="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has restated its unaudited condensed consolidated statements of operations for the period ended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March 31, 2023 as follows (in thousands):</w:t>
      </w:r>
    </w:p>
    <w:p>
      <w:pPr>
        <w:spacing w:after="0" w:line="200" w:lineRule="exact"/>
        <w:rPr>
          <w:sz w:val="20"/>
          <w:szCs w:val="20"/>
          <w:color w:val="auto"/>
        </w:rPr>
      </w:pPr>
    </w:p>
    <w:p>
      <w:pPr>
        <w:spacing w:after="0" w:line="25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25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0" w:type="dxa"/>
            <w:vAlign w:val="bottom"/>
          </w:tcPr>
          <w:p>
            <w:pPr>
              <w:spacing w:after="0"/>
              <w:rPr>
                <w:sz w:val="1"/>
                <w:szCs w:val="1"/>
                <w:color w:val="auto"/>
              </w:rPr>
            </w:pPr>
          </w:p>
        </w:tc>
      </w:tr>
      <w:tr>
        <w:trPr>
          <w:trHeight w:val="50"/>
        </w:trPr>
        <w:tc>
          <w:tcPr>
            <w:tcW w:w="5860" w:type="dxa"/>
            <w:vAlign w:val="bottom"/>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86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586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96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86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$48,007</w:t>
            </w: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$(1,591)</w:t>
            </w:r>
          </w:p>
        </w:tc>
        <w:tc>
          <w:tcPr>
            <w:tcW w:w="2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$46,416</w:t>
            </w: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$22,500</w:t>
            </w:r>
          </w:p>
        </w:tc>
        <w:tc>
          <w:tcPr>
            <w:tcW w:w="20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$(1,591)</w:t>
            </w:r>
          </w:p>
        </w:tc>
        <w:tc>
          <w:tcPr>
            <w:tcW w:w="2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$20,909</w:t>
            </w: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$52,155</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$(1,591)</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$50,564</w:t>
            </w:r>
          </w:p>
        </w:tc>
        <w:tc>
          <w:tcPr>
            <w:tcW w:w="0" w:type="dxa"/>
            <w:vAlign w:val="bottom"/>
          </w:tcPr>
          <w:p>
            <w:pPr>
              <w:spacing w:after="0"/>
              <w:rPr>
                <w:sz w:val="1"/>
                <w:szCs w:val="1"/>
                <w:color w:val="auto"/>
              </w:rPr>
            </w:pPr>
          </w:p>
        </w:tc>
      </w:tr>
      <w:tr>
        <w:trPr>
          <w:trHeight w:val="54"/>
        </w:trPr>
        <w:tc>
          <w:tcPr>
            <w:tcW w:w="586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-633730</wp:posOffset>
            </wp:positionV>
            <wp:extent cx="13716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-633730</wp:posOffset>
            </wp:positionV>
            <wp:extent cx="13716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-633730</wp:posOffset>
            </wp:positionV>
            <wp:extent cx="768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has restated its unaudited condensed consolidated Statements of Cash Flows for period ended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March 31, 2023 as follows (in thousands):</w:t>
      </w:r>
    </w:p>
    <w:p>
      <w:pPr>
        <w:spacing w:after="0" w:line="200" w:lineRule="exact"/>
        <w:rPr>
          <w:sz w:val="20"/>
          <w:szCs w:val="20"/>
          <w:color w:val="auto"/>
        </w:rPr>
      </w:pPr>
    </w:p>
    <w:p>
      <w:pPr>
        <w:spacing w:after="0" w:line="243"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2560" w:type="dxa"/>
            <w:vAlign w:val="bottom"/>
            <w:gridSpan w:val="7"/>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0" w:type="dxa"/>
            <w:vAlign w:val="bottom"/>
          </w:tcPr>
          <w:p>
            <w:pPr>
              <w:spacing w:after="0"/>
              <w:rPr>
                <w:sz w:val="1"/>
                <w:szCs w:val="1"/>
                <w:color w:val="auto"/>
              </w:rPr>
            </w:pPr>
          </w:p>
        </w:tc>
      </w:tr>
      <w:tr>
        <w:trPr>
          <w:trHeight w:val="50"/>
        </w:trPr>
        <w:tc>
          <w:tcPr>
            <w:tcW w:w="5860" w:type="dxa"/>
            <w:vAlign w:val="bottom"/>
          </w:tcPr>
          <w:p>
            <w:pPr>
              <w:spacing w:after="0"/>
              <w:rPr>
                <w:sz w:val="4"/>
                <w:szCs w:val="4"/>
                <w:color w:val="auto"/>
              </w:rPr>
            </w:pPr>
          </w:p>
        </w:tc>
        <w:tc>
          <w:tcPr>
            <w:tcW w:w="860" w:type="dxa"/>
            <w:vAlign w:val="bottom"/>
            <w:tcBorders>
              <w:bottom w:val="single" w:sz="8" w:color="auto"/>
            </w:tcBorders>
            <w:gridSpan w:val="3"/>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860" w:type="dxa"/>
            <w:vAlign w:val="bottom"/>
          </w:tcPr>
          <w:p>
            <w:pPr>
              <w:spacing w:after="0"/>
              <w:rPr>
                <w:sz w:val="16"/>
                <w:szCs w:val="16"/>
                <w:color w:val="auto"/>
              </w:rPr>
            </w:pPr>
          </w:p>
        </w:tc>
        <w:tc>
          <w:tcPr>
            <w:tcW w:w="8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5860" w:type="dxa"/>
            <w:vAlign w:val="bottom"/>
          </w:tcPr>
          <w:p>
            <w:pPr>
              <w:spacing w:after="0"/>
              <w:rPr>
                <w:sz w:val="16"/>
                <w:szCs w:val="16"/>
                <w:color w:val="auto"/>
              </w:rPr>
            </w:pPr>
          </w:p>
        </w:tc>
        <w:tc>
          <w:tcPr>
            <w:tcW w:w="8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96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8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 by</w:t>
            </w:r>
          </w:p>
        </w:tc>
        <w:tc>
          <w:tcPr>
            <w:tcW w:w="2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$1,951</w:t>
            </w:r>
          </w:p>
        </w:tc>
        <w:tc>
          <w:tcPr>
            <w:tcW w:w="200" w:type="dxa"/>
            <w:vAlign w:val="bottom"/>
          </w:tcPr>
          <w:p>
            <w:pPr>
              <w:spacing w:after="0"/>
              <w:rPr>
                <w:sz w:val="23"/>
                <w:szCs w:val="23"/>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$(1,591)</w:t>
            </w:r>
          </w:p>
        </w:tc>
        <w:tc>
          <w:tcPr>
            <w:tcW w:w="22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23"/>
                <w:szCs w:val="23"/>
                <w:color w:val="auto"/>
              </w:rPr>
            </w:pP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$ 1,591</w:t>
            </w:r>
          </w:p>
        </w:tc>
        <w:tc>
          <w:tcPr>
            <w:tcW w:w="220" w:type="dxa"/>
            <w:vAlign w:val="bottom"/>
          </w:tcPr>
          <w:p>
            <w:pPr>
              <w:spacing w:after="0"/>
              <w:rPr>
                <w:sz w:val="23"/>
                <w:szCs w:val="23"/>
                <w:color w:val="auto"/>
              </w:rPr>
            </w:pPr>
          </w:p>
        </w:tc>
        <w:tc>
          <w:tcPr>
            <w:tcW w:w="7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-934085</wp:posOffset>
            </wp:positionV>
            <wp:extent cx="13716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-934085</wp:posOffset>
            </wp:positionV>
            <wp:extent cx="13716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-934085</wp:posOffset>
            </wp:positionV>
            <wp:extent cx="7683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3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three months ended March 31, 2024 and 2023.</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interim condensed consolidated financial statements and the reported amounts of revenues and expenses during the reporting period. Actual results could differ from those estimates.</w:t>
      </w:r>
    </w:p>
    <w:p>
      <w:pPr>
        <w:spacing w:after="0" w:line="75"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Significant estimates made by management include, the allowance for credit losses, the useful lives of long-lived assets, income taxes, website and internal-use software development costs, leases, valuation of goodwill and other intangible assets, valuation of warrant liability, deferred tax assets and the related valuation allowance, tax receivable agreement (“TRA”) liability, revenue recognition, performance and stock-based compensation and the recognition and disclosure of contingent liabilities.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8" w:name="page149"/>
    <w:bookmarkEnd w:id="1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Company operates in a relatively new industry where laws and regulations vary significantly by jurisdiction. Currently, thirty-nine states, the District of Columbia, Puerto Rico, the Virgin Islands, and Guam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Additionally, while a number of U.S. legislators have introduced various bills to legalize cannabis at the federal level, none of these bills has become law. Currently, under federal law, cannabis, other than hemp (defined by the U.S. government as Cannabis sativa L. with a THC concentration of not more than 0.3% on a dry weight basis), is still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can be a predicate for certain other crimes, including money laundering laws and the Racketeer Influenced and Corrupt Organizations Act. If any state that permits use of cannabis was to change their laws or the federal government was to actively enforce the CSA or other laws related to the federal prohibition on cannabis, the Company’s business could be adversely affected.</w:t>
      </w:r>
    </w:p>
    <w:p>
      <w:pPr>
        <w:spacing w:after="0" w:line="8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addition, the Company’s ability to grow and meet its operating objectives depends largely on the continued legalization and regulation of cannabis on a widespread basis. There can be no assurance that such legalization will occur on a timely basis, or at all.</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geographic concentration of the Company’s clients makes the Company vulnerable to a downturn in the local market area. Historically, the Company’s business operations have been located primarily in the State of California. See Note 3, “Revenue from Contracts with Customers,” to these condensed consolidated financial statements for additional information.</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9" w:lineRule="exact"/>
        <w:rPr>
          <w:sz w:val="20"/>
          <w:szCs w:val="20"/>
          <w:color w:val="auto"/>
        </w:rPr>
      </w:pPr>
    </w:p>
    <w:p>
      <w:pPr>
        <w:jc w:val="both"/>
        <w:ind w:left="300" w:right="299"/>
        <w:spacing w:after="0" w:line="267" w:lineRule="auto"/>
        <w:rPr>
          <w:sz w:val="20"/>
          <w:szCs w:val="20"/>
          <w:color w:val="auto"/>
        </w:rPr>
      </w:pPr>
      <w:r>
        <w:rPr>
          <w:rFonts w:ascii="Times New Roman" w:cs="Times New Roman" w:eastAsia="Times New Roman" w:hAnsi="Times New Roman"/>
          <w:sz w:val="18"/>
          <w:szCs w:val="18"/>
          <w:color w:val="auto"/>
        </w:rPr>
        <w:t xml:space="preserve">The Company follows the guidance in ASC 820 -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 See Note 5, “Fair Value Measurements” to these condensed consolidated financial statements for additional information.</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A receivable is recorded when an unconditional right to invoice and receive payment exists. Accounts receivable primarily include amounts related to receivables from customers. Receivables are shown net of allowance for credit losses which is maintained at a level that management believes to be sufficient to absorb estimated losses in the accounts receivable portfolio. The Company measures credit losses on its trade accounts receivable using the current expected credit loss model under ASC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Company calculates the expected credit losses on a pool basis for trade receivables that have similar risk characteristics. For trade receivables that do not share similar risk characteristics, the allowance for credit losses is calculated on an individual basis. Risk characteristics relevant to the Company’s accounts receivable include balance of customer account and aging status.</w:t>
      </w:r>
    </w:p>
    <w:p>
      <w:pPr>
        <w:spacing w:after="0" w:line="72"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Account balances are written off against the allowance when it is determined that it is probable that the receivable will not be recovered. The Company had allowance for credit losses of $6.6 million and $8.7 million as of March 31, 2024 and December 31, 2023, respectively.</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no customer accounted for more than 10% of the total gross accounts receivable outstanding.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9" w:name="page150"/>
    <w:bookmarkEnd w:id="1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5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the changes in the allowance for credit losses:</w:t>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2120" w:type="dxa"/>
            <w:vAlign w:val="bottom"/>
            <w:gridSpan w:val="9"/>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50"/>
        </w:trPr>
        <w:tc>
          <w:tcPr>
            <w:tcW w:w="63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195"/>
        </w:trPr>
        <w:tc>
          <w:tcPr>
            <w:tcW w:w="6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71"/>
        </w:trPr>
        <w:tc>
          <w:tcPr>
            <w:tcW w:w="63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08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Restated</w:t>
            </w:r>
            <w:r>
              <w:rPr>
                <w:rFonts w:ascii="Times New Roman" w:cs="Times New Roman" w:eastAsia="Times New Roman" w:hAnsi="Times New Roman"/>
                <w:sz w:val="23"/>
                <w:szCs w:val="23"/>
                <w:b w:val="1"/>
                <w:bCs w:val="1"/>
                <w:color w:val="auto"/>
                <w:vertAlign w:val="superscript"/>
              </w:rPr>
              <w:t>1</w:t>
            </w:r>
          </w:p>
        </w:tc>
      </w:tr>
      <w:tr>
        <w:trPr>
          <w:trHeight w:val="311"/>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beginning of period</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$ 8,748</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$12,232</w:t>
            </w:r>
          </w:p>
        </w:tc>
        <w:tc>
          <w:tcPr>
            <w:tcW w:w="200" w:type="dxa"/>
            <w:vAlign w:val="bottom"/>
            <w:tcBorders>
              <w:bottom w:val="single" w:sz="8" w:color="CCEEFF"/>
            </w:tcBorders>
            <w:shd w:val="clear" w:color="auto" w:fill="CCEEFF"/>
          </w:tcPr>
          <w:p>
            <w:pPr>
              <w:spacing w:after="0"/>
              <w:rPr>
                <w:sz w:val="24"/>
                <w:szCs w:val="24"/>
                <w:color w:val="auto"/>
              </w:rPr>
            </w:pP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credit losses</w:t>
            </w: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(658)</w:t>
            </w:r>
          </w:p>
        </w:tc>
        <w:tc>
          <w:tcPr>
            <w:tcW w:w="200" w:type="dxa"/>
            <w:vAlign w:val="bottom"/>
          </w:tcPr>
          <w:p>
            <w:pPr>
              <w:spacing w:after="0"/>
              <w:rPr>
                <w:sz w:val="23"/>
                <w:szCs w:val="23"/>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360</w:t>
            </w:r>
          </w:p>
        </w:tc>
        <w:tc>
          <w:tcPr>
            <w:tcW w:w="20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57"/>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 net of recoveries</w:t>
            </w:r>
          </w:p>
        </w:tc>
        <w:tc>
          <w:tcPr>
            <w:tcW w:w="8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(1,494)</w:t>
            </w:r>
          </w:p>
        </w:tc>
        <w:tc>
          <w:tcPr>
            <w:tcW w:w="200" w:type="dxa"/>
            <w:vAlign w:val="bottom"/>
            <w:shd w:val="clear" w:color="auto" w:fill="CCEEFF"/>
          </w:tcPr>
          <w:p>
            <w:pPr>
              <w:spacing w:after="0"/>
              <w:rPr>
                <w:sz w:val="22"/>
                <w:szCs w:val="22"/>
                <w:color w:val="auto"/>
              </w:rPr>
            </w:pPr>
          </w:p>
        </w:tc>
        <w:tc>
          <w:tcPr>
            <w:tcW w:w="10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(770)</w:t>
            </w:r>
          </w:p>
        </w:tc>
      </w:tr>
      <w:tr>
        <w:trPr>
          <w:trHeight w:val="61"/>
        </w:trPr>
        <w:tc>
          <w:tcPr>
            <w:tcW w:w="63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Allowance, end of period</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$ 6,596</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11,822</w:t>
            </w:r>
          </w:p>
        </w:tc>
        <w:tc>
          <w:tcPr>
            <w:tcW w:w="200" w:type="dxa"/>
            <w:vAlign w:val="bottom"/>
          </w:tcPr>
          <w:p>
            <w:pPr>
              <w:spacing w:after="0"/>
              <w:rPr>
                <w:sz w:val="23"/>
                <w:szCs w:val="23"/>
                <w:color w:val="auto"/>
              </w:rPr>
            </w:pPr>
          </w:p>
        </w:tc>
      </w:tr>
      <w:tr>
        <w:trPr>
          <w:trHeight w:val="20"/>
        </w:trPr>
        <w:tc>
          <w:tcPr>
            <w:tcW w:w="6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-822325</wp:posOffset>
            </wp:positionV>
            <wp:extent cx="13716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-822325</wp:posOffset>
            </wp:positionV>
            <wp:extent cx="7683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179705</wp:posOffset>
            </wp:positionV>
            <wp:extent cx="82296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08" w:lineRule="exact"/>
        <w:rPr>
          <w:sz w:val="20"/>
          <w:szCs w:val="20"/>
          <w:color w:val="auto"/>
        </w:rPr>
      </w:pPr>
    </w:p>
    <w:p>
      <w:pPr>
        <w:jc w:val="both"/>
        <w:ind w:left="640" w:right="299" w:hanging="348"/>
        <w:spacing w:after="0" w:line="241" w:lineRule="auto"/>
        <w:tabs>
          <w:tab w:leader="none" w:pos="64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 (benefit) for credit losses for the three months ended March 31, 2023 and related allowance at the end of the period March 31, 2023, has been retrospectively adjusted to reflect the restatement of previously reported credit losses. See Note 2, “Summary of Significant Accounting Policies,” for further information.</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Equity Securities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Investments in equity securities that do not have a readily determinable fair value and qualify for the measurement alternative for equity investments provided in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xml:space="preserve"> are accounted for at cost, less any impairment, plus or minus changes resulting from observable price changes in orderly transactions for an identical or similar investment of the same issuer. As of March 31, 2024 and December 31, 2023, the carrying value of the Company’s investments in equity securities without a readily determinable fair value was nil, which is recorded within other assets on the Company’s condensed consolidated balance sheets.</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performs a qualitative assessment at each reporting date to evaluate whether the investments in equity securities are impaired. When a qualitative assessment indicates that an investment is impaired, the investment is written down to its fair value and the impairment charge is included in asset impairment charges in the accompanying condensed consolidated statements of operations. No impairments to investments in equity securities were recorded during the three months ended March 31, 2024 and 2023.</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consist of internally developed software, computer equipment, furniture and fixtures and leasehold improvements. Depreciation is computed using the straight-line method over the estimated useful lives of the assets and generally over three years for computer equipment, seven years for furniture and fixtures. Leasehold improvements are amortized using the straight-line method over the shorter of their estimated useful lives or the remaining term of the related lease. Maintenance and repairs are expensed as incurred. When assets are retired or otherwise disposed of, the cost and related accumulated depreciation are removed from the accounts and any resulting gain or loss is reflected in the Company’s condensed consolidated statements of operations.</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 assesses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 No impairments to property and equipment were recorded during the three months ended March 31, 2024 and 2023.</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Capitalized website and internal-use software development costs are included in property and equipment in the accompanying condensed consolidated balance sheets. The Company capitalizes certain costs related to the development and enhancement of the Weedmaps platform and SaaS solutions. The Company began to capitalize these costs when preliminary development efforts were successfully completed, management has authorized and committed project funding, and it was probable that the project would be completed and the software would be used as intended. Capitalization ceases upon completion of all substantial testing. Maintenance and training costs are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0" w:name="page151"/>
    <w:bookmarkEnd w:id="1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include salaries and benefits for employees, including engineering and technical teams who are responsible for building new products, as well as maintaining and improving existing products. Product development costs that do not meet the criteria for capitalization are expensed as incurred.</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of March 31, 2024 and December 31, 2023, the Company has $24.2 million and $23.1 million in capitalized software costs, net, respectively which are recorded within property and equipment, net on the Company’s condensed consolidated balance sheets. During the three months ended March 31, 2024 and 2023, the Company amortized $2.5 million and $1.5 million, respectively, of internal-use software development costs included in depreciation and amortization expense in the accompanying condensed consolidated statements of operations.</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Goodwill consists of the excess of the purchase price over the fair value of identifiable net assets of businesses acquired. Goodwill is reviewed for impairment each year using a qualitative or quantitative process that is performed at least annually as of December 31, such as changes in the business climate, poor indicators of operating performance or the sale or disposition of a significant portion of a reporting unit.</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testing for goodwill impairment, the Company may elect to utilize a qualitative assessment to evaluate whether it is more likely than not that the fair value of a reporting unit exceeds the carrying value. If it is determined that it is unlikely that the carrying value exceeds the fair value, the Company is not required to complete the quantitative goodwill impairment evaluation. If it is determined that the carrying value may exceed fair value when considering qualitative factors, a quantitative goodwill impairment evaluation is performed. When performing the quantitative evaluation, if the carrying value of the reporting unit exceeds its fair value, an impairment loss equal to the difference will be recorded.</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Intangible assets are reviewed for impairment whenever events or changes in circumstances may affect the recoverability of the net assets. Such reviews may include an analysis of current results and take into consideration the undiscounted value of projected operating cash flows. See Note 6, “Intangible Assets,” to these condensed consolidated financial statements for additional information.</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Company’s operating leases consist of office space located in the United States. The Company does not have any leases classified as financing leases. The Company classifies arrangements meeting the definition of a lease as operating or financing leases, and leases are recorded on the condensed consolidated balance sheets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Operating lease assets and liabilities are recognized at commencement date based on the present value of lease payments over the lease term. For finance leases, interest on the lease liability and the amortization of the right-of-use asset results in front-loaded expense over the lease term. Variable lease expenses are recorded when incurred.</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calculating the right-of-use asset and lease liability, the Company elects to combine lease and non-lease components for all classes of assets. The Company excludes short-term leases having initial terms of 12 months or less from the new guidance as an accounting policy election, and instead recognizes rent expense on a straight-line basis over the lease term.</w:t>
      </w:r>
    </w:p>
    <w:p>
      <w:pPr>
        <w:spacing w:after="0" w:line="7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assesses impairment of ROU assets when an event and change in circumstance indicates that the carrying value of such ROU assets may not be recoverable. If an event and a change in circumstance indicates that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1" w:name="page152"/>
    <w:bookmarkEnd w:id="1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6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fair values of ROU assets were estimated using an income approach based on management’s forecast of future cash flows expected to be derived based on the sublease market rent. First, the Company tests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the Company performs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the Company relies on a discounted cash flow approach using market participant assumptions of the expected cash flows. Net rent expense for the three months ended March 31, 2024 and 2023 was $2.2 million and $2.2 million, respectively and is included in general and administrative expense in the accompanying condensed consolidated statements of operations.</w:t>
      </w:r>
    </w:p>
    <w:p>
      <w:pPr>
        <w:spacing w:after="0" w:line="8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2022, the Company entered into a sublease agreement with an affiliate of the Executive Chair. The sublease commenced on June 1, 2022, and the term is for the remainder of the original lease and will expire on February 28, 2025, or sooner in the event that the original lease is cancelled prior to the expiration date. See Note 13, “Related Party Transactions,” to these condensed consolidated financial statements for additional information.</w:t>
      </w:r>
    </w:p>
    <w:p>
      <w:pPr>
        <w:spacing w:after="0" w:line="72"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Sublease rental income is recognized as a reduction to the related lease expense on a straight-line basis over the sublease term. For the three months ended March 31, 2024 and 2023, the Company recorded rent income related to a sublease of $0.5 million and $0.5 million, respectively.</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Company assumed 12,499,993 Public Warrants originally issued in the initial public offering of Silver Spike (the “Public Warrants”) and 7,000,000 Private Placement Warrants that were originally issued in a private placement by Silver Spike (the “Private Placement Warrants” and together with the Public Warrants, the “Warrants”) upon the Closing, all of which were issued in connection with Silver Spike’s initial public offering and entitle the holder to purchase one share of Class A Common Stock at an exercise price of at $11.50 per share. As of March 31, 2024, 12,499,973 Public Warrants and 7,000,000 Private Placement Warrants remained outstanding.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 permitted transferees. If the Private Placement Warrants are held by someone other than the initial purchasers or their permitted transferees, the Private Placement Warrants will cease to be Private Placement Warrants, and become Public Warrants and be redeemable by the Company and exercisable by such holders on the same basis as the other Public Warrants.</w:t>
      </w:r>
    </w:p>
    <w:p>
      <w:pPr>
        <w:spacing w:after="0" w:line="86"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The Company evaluated the Warrants under ASC 815-40 </w:t>
      </w:r>
      <w:r>
        <w:rPr>
          <w:rFonts w:ascii="Times New Roman" w:cs="Times New Roman" w:eastAsia="Times New Roman" w:hAnsi="Times New Roman"/>
          <w:sz w:val="18"/>
          <w:szCs w:val="18"/>
          <w:i w:val="1"/>
          <w:iCs w:val="1"/>
          <w:color w:val="auto"/>
        </w:rPr>
        <w:t>- Derivatives and Hedging - Contracts in Entity’s 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and concluded they do not meet the criteria to be classified in stockholders’ equity. Specifically, the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Warrants may be settled in cash upon the occurrence of a tender offer or exchange that involves 50% or more of our Class A equity holders. Because not all of the voting stockholders need to participate in such tender offer or exchange to trigger the potential cash settlement and the Company does not control the occurrence of such an event, the Company concluded that the Warrants do not meet the conditions to be classified in equity. Since the Warrants meet the definition of a derivative under ASC 815, the Company recorded these warrants as liabilities on the condensed consolidated balance sheets at fair value, with subsequent changes in their respective fair values recognized in change in fair value of warrant liabilities within the condensed consolidated statements of operations at each reporting date. See Note 9, “Warrant Liability,” to these consolidated financial statements for additional information.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2" w:name="page153"/>
    <w:bookmarkEnd w:id="1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a TRA with continuing members that provides for a payment to the continuing Class A Unit holders of 85% of the amount of tax benefits, if any, that the Company realizes, or is deemed to realize, as a result of redemptions or exchanges of Units. In connection with such potential future tax benefits resulting from the Business Combination, the Company has established a deferred tax asset for the additional tax basis and a corresponding TRA liability of 85% of the expected benefit. The remaining 15% is recorded to additional paid-in capital.</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The TRA liability is subject to remeasurement each reporting period, due to various factors, including changes in federal and state income tax rates and assessment of the probability of payment. As these remeasurement changes are subsequent to the initial measurement, the impact of the remeasurement is recorded in other income (loss) on the condensed consolidated statements of operations. As of March 31, 2024 and December 31, 2023, tax receivable agreement liability was $2.3 million and $1.8 million, respectively. During the three months ended March 31, 2024 and 2023, the Company recognized a loss of $0.5 million and $0.1 million, respectively, related to the remeasurement of its TRA liability. See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below for information related to the Company’s allowance against its net deferred tax assets.</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 xml:space="preserve">The Company recognizes revenue when the fundamental criteria for revenue recognition are met.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recognizes revenue by applying the following five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 The Company excludes sales taxes and other similar taxes from the measurement of the transaction price. The transaction price reflects the amount the Company expects to receive for such goods, net of discounts. Discounts issued are primarily related to the Company’s WM Teal program, which stands for “Together for Equity Access and Legislation”, through which the Company provides discounts including free software, advertising, educational materials and training programs to applicants or licenses under social equity licensing programs. The Company provides a discount to license holders who were awarded special status by the state based on owner qualifications. These are typically given in new markets to add more diversity and inclusion in the cannabis space. A license’s social equity status is validated by the Company on the applicable state’s website. During the three months ended March 31, 2024 and 2023, total discount issued was $0.2 million and $1.1 million, respectively. For clients that pay in advance for listing and other services, the Company records deferred revenue and recognizes revenue over the applicable subscription term.</w:t>
      </w:r>
    </w:p>
    <w:p>
      <w:pPr>
        <w:spacing w:after="0" w:line="87"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Company’s revenues are derived primarily from monthly subscriptions to Weedmaps for Business, featured and deal listings and other WM Ad solutions. The Company’s Weedmaps for Business subscriptions generally have one-month terms that automatically renew unless notice of cancellation is provided in advance. Featured and deal listings and other WM Ad solutions are offered as add-on products to the Weedmaps for Business subscriptions. Featured and deal listings provide customers with premium placement ad solutions and discount and promotion pricing tools. Other WM Ad solutions include banner ads and promotion tiles on the Company’s marketplace ad as well as other advertising products on and off the Weedmaps marketplace. The Company has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services are provided.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79" w:lineRule="exact"/>
        <w:rPr>
          <w:sz w:val="20"/>
          <w:szCs w:val="20"/>
          <w:color w:val="auto"/>
        </w:rPr>
      </w:pPr>
    </w:p>
    <w:p>
      <w:pPr>
        <w:jc w:val="both"/>
        <w:ind w:left="300" w:right="319"/>
        <w:spacing w:after="0" w:line="312" w:lineRule="auto"/>
        <w:rPr>
          <w:sz w:val="20"/>
          <w:szCs w:val="20"/>
          <w:color w:val="auto"/>
        </w:rPr>
      </w:pPr>
      <w:r>
        <w:rPr>
          <w:rFonts w:ascii="Times New Roman" w:cs="Times New Roman" w:eastAsia="Times New Roman" w:hAnsi="Times New Roman"/>
          <w:sz w:val="17"/>
          <w:szCs w:val="17"/>
          <w:color w:val="auto"/>
        </w:rPr>
        <w:t>Revenue for service contracts that the Company assesses are not probable of collection is not recognized until the contract is completed and payment is received. Collectability is reassessed when there is a significant change in facts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3" w:name="page154"/>
    <w:bookmarkEnd w:id="1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or circumstances. The assessment of collectability considers whether the Company may limit its exposure to credit risk through its right to stop transferring additional service in the event the customer is delinquent. See Note 3, “Revenue from Contracts with Customers,” to these condensed consolidated financial statements for additional information.</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(Exclusive of Depreciation and Amortization)</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Company’s cost of revenue primarily consists of web hosting, internet service costs, credit card processing costs and other third party services.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expenses the cost of advertising in the period incurred. Advertising expense totaled $2.5 million and $1.0 million for the three months ended March 31, 2024 and 2023, respectively, and are included in sales and marketing expense in the accompanying condensed consolidated statements of operations.</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measures fair value of employee stock-based compensation awards on the date of grant and allocates the related expense over the requisite service period. The fair value of restricted stock units and performance-based restricted stock units is equal to the market price of the Company’s common stock on the date of grant. The fair value of the Class P Units is measured using the Black-Scholes-Merton valuation model. The expected volatility is based on the historical volatility and implied volatilities for comparable companies, the expected life of the award is based on the simplified method. When awards include a performance condition that impacts the vesting of the award, the Company records compensation cost when it becomes probable that the performance condition will be met and the expense will be attributed over the performance period. See Note 11, “Stock-based Compensation,” to these condensed consolidated financial statements for additional information.</w:t>
      </w:r>
    </w:p>
    <w:p>
      <w:pPr>
        <w:spacing w:after="0" w:line="2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Company’s 401(k) saving plan is a tax-qualified deferred compensation arrangement under Section 401(k) of the Internal Revenue Code. Under the 401(k) Plan, participating U.S. employees may contribute a portion of their eligible earnings, subject to applicable U.S. Internal Revenue Service and plan limits. The Company matches up to 3.5% of the employee’s eligible compensation, vested upon two years of service. For the three months ended March 31, 2024 and 2023, the Company expensed $0.5 million and $0.6 million, respectively, related to employer contributions for the 401(k) saving plan.</w:t>
      </w: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change in fair value of warrant liability, TRA liability remeasurement and other tax related expenses.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Company uses the asset and liability method of accounting for income taxes under ASC 740 - Income Taxes. Under the guidance, deferred tax assets and liabilities are recognized for the future tax consequences of (i) temporary differences between the financial statement carrying amounts and the tax basis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assesses whether it is “more-likely-than-not” that it will realize its deferred tax assets. The Company establishes a valuation allowance when available evidence indicates that it is more-likely-than-not that the deferred tax asset will not be realized. In assessing the need for a valuation allowance, the Company considers the amounts and timing of expected future deductions or carry forwards and sources of taxable income that may enable utilization.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4" w:name="page155"/>
    <w:bookmarkEnd w:id="1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This includes an analysis of the Company’s current financial position, results of operations for the current and prior years and all currently available information about future years. This assessment and estimates require significant management judgment. The Company maintains an existing valuation allowance until enough positive evidence exists to support its reversal. Change in the amount or timing of expected future deductions or taxable income may have a material impact on the level of income tax valuation allowances.</w:t>
      </w:r>
    </w:p>
    <w:p>
      <w:pPr>
        <w:spacing w:after="0" w:line="75"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For the year ending December 31, 2023 and for three months ended March 31, 2024, the Company conducted similar analyses, and determined that a full valuation allowance was still required. As of March 31, 2024 and December 31, 2023, tax receivable agreement liability $2.3 million and $1.8 million, respectively.</w:t>
      </w:r>
    </w:p>
    <w:p>
      <w:pPr>
        <w:spacing w:after="0" w:line="68" w:lineRule="exact"/>
        <w:rPr>
          <w:sz w:val="20"/>
          <w:szCs w:val="20"/>
          <w:color w:val="auto"/>
        </w:rPr>
      </w:pPr>
    </w:p>
    <w:p>
      <w:pPr>
        <w:jc w:val="both"/>
        <w:ind w:left="300" w:right="299"/>
        <w:spacing w:after="0" w:line="274" w:lineRule="auto"/>
        <w:rPr>
          <w:sz w:val="20"/>
          <w:szCs w:val="20"/>
          <w:color w:val="auto"/>
        </w:rPr>
      </w:pPr>
      <w:r>
        <w:rPr>
          <w:rFonts w:ascii="Times New Roman" w:cs="Times New Roman" w:eastAsia="Times New Roman" w:hAnsi="Times New Roman"/>
          <w:sz w:val="17"/>
          <w:szCs w:val="17"/>
          <w:color w:val="auto"/>
        </w:rPr>
        <w:t>The tax provision for interim periods is determined using an estimate of the Company's annual effective tax rate, adjusted for discrete items, if any, that arise during the period. Each quarter, the Company updates its estimate of its annual effective tax rate, and if the estimated annual effective tax rate changes, the Company makes a cumulative adjustment in such period. The quarterly tax provision, and estimate of the Company's annual effective tax rate, is subject to variation due to several factors, including variability in pre-tax income (or loss), revaluations of the warrant liability, changes in flow-through income not subject to tax, valuation allowances and tax law developments.</w:t>
      </w:r>
    </w:p>
    <w:p>
      <w:pPr>
        <w:spacing w:after="0" w:line="6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Any taxable income or loss generated by WMH LLC is passed through to and included in the taxable income or loss of its members, including WM Technology, Inc. on a pro rata basis. WM Technology, Inc. is subject to U.S. federal income taxes, in addition to state and local income taxes with respect to its allocable share of any taxable income of WMH LLC following the Business Combination. The Company is also subject to taxes in foreign jurisdictions.</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WMH LLC will generally be required from time to time to make pro rata distributions in cash to the Company and the other holders of WMH Units at certain assumed tax rates in amounts that are intended to be sufficient to cover the taxes on the Company’s and the other WMH equity holders’ respective allocable shares of the taxable income of WMH LLC</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2024, the Company recorded $9 thousand in income tax provisions due to the impact of the full valuation allowance on its net deferred assets. For the three months ended March 31, 2023, the Company recorded zero income tax provisions due to the impact of the full valuation allowance on its net deferred assets. The effective tax rates differ from the federal statutory rate of 21% primarily due to the impact of valuation allowances, warrant valuations, non-controlling interests represented by the portion of the flow-through income not subject to tax, permanent stock-based compensation and state taxes.</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 Company does not believe it has any uncertain income tax positions that are more-likely-than-not to materially affect its condensed consolidated financial statements.</w:t>
      </w: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Company has identified one business segment which management also considers to be one reporting unit as the Company’s Executive Chair and Interim Chief Financial Officer allocate resources, assess performance and manage the businesses as one segment.</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Basic income (loss) per share is computed by dividing net income (loss) attributable to WM Technology, Inc. by the weighted-average number of shares of Class A Common Stock outstanding during the period.</w:t>
      </w:r>
    </w:p>
    <w:p>
      <w:pPr>
        <w:spacing w:after="0" w:line="5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Diluted income (loss) per share is computed giving effect to all potential weighted-average dilutive shares for the period. The dilutive effect of outstanding awards or financial instruments, if any, is reflected in diluted income (loss)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5" w:name="page156"/>
    <w:bookmarkEnd w:id="1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5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per share by application of the treasury stock method or if-converted method, as applicable. Potential common shares are excluded from the calculation of diluted EPS in the event they are antidilutive or subject to performance conditions for which the necessary conditions have not been satisfied by the end of the reporting period. See Note 12, “Earnings Per Share,” for additional information on dilutive securities.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are potentially subject to concentrations of credit risk. The Company places its cash with high quality credit institutions and the Company’s cash balances at these institutions typically exceed the Federal Deposit Insurance Corporation limit. As of March 31, 2024, the Company had cash balances that exceeded the deposit insurance limit with four financial institutions. Management believes that the risk of loss is not significant and has not experienced any losses in such accounts.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Company reviewed the accounting pronouncements that became effective for fiscal year 2024 and determined that either they were not applicable, or they did not have a material impact on the consolidated financial statements.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issued Accounting Standards Update (“ASU”) 2023-09, </w:t>
      </w:r>
      <w:r>
        <w:rPr>
          <w:rFonts w:ascii="Times New Roman" w:cs="Times New Roman" w:eastAsia="Times New Roman" w:hAnsi="Times New Roman"/>
          <w:sz w:val="18"/>
          <w:szCs w:val="18"/>
          <w:i w:val="1"/>
          <w:iCs w:val="1"/>
          <w:color w:val="auto"/>
        </w:rPr>
        <w:t>“Income Taxes - Improvements to Income Tax Disclosures”</w:t>
      </w:r>
      <w:r>
        <w:rPr>
          <w:rFonts w:ascii="Times New Roman" w:cs="Times New Roman" w:eastAsia="Times New Roman" w:hAnsi="Times New Roman"/>
          <w:sz w:val="18"/>
          <w:szCs w:val="18"/>
          <w:color w:val="auto"/>
        </w:rPr>
        <w:t xml:space="preserve"> requiring enhancements and further transparency to certain income tax disclosures, most notably the tax rate reconciliation and income taxes paid. This ASU is effective for fiscal years beginning after December 15, 2024 on a prospective basis and retrospective application is permitted. We are currently evaluating the impact of the adoption of this standard.</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also reviewed other recently issued accounting pronouncements to be adopted in future periods and determined that they are not expected to have a material impact on the consolidated financial statements.</w:t>
      </w:r>
    </w:p>
    <w:p>
      <w:pPr>
        <w:spacing w:after="0" w:line="158" w:lineRule="exact"/>
        <w:rPr>
          <w:sz w:val="20"/>
          <w:szCs w:val="20"/>
          <w:color w:val="auto"/>
        </w:rPr>
      </w:pPr>
    </w:p>
    <w:p>
      <w:pPr>
        <w:ind w:left="640" w:hanging="348"/>
        <w:spacing w:after="0"/>
        <w:tabs>
          <w:tab w:leader="none" w:pos="64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sells a monthly subscription offering to retailer and brand clients as well as upsell and add-on offerings to licensed clients. The Company’s current Weedmaps for Business monthly subscription package includes:</w:t>
      </w:r>
    </w:p>
    <w:p>
      <w:pPr>
        <w:spacing w:after="0" w:line="68" w:lineRule="exact"/>
        <w:rPr>
          <w:sz w:val="20"/>
          <w:szCs w:val="20"/>
          <w:color w:val="auto"/>
        </w:rPr>
      </w:pPr>
    </w:p>
    <w:p>
      <w:pPr>
        <w:jc w:val="both"/>
        <w:ind w:left="1000" w:right="299" w:hanging="348"/>
        <w:spacing w:after="0" w:line="261"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Listings: A listing page with product menu for a retailer or brand on the Weedmaps marketplace, enabling the Company’s clients to be discovered by the marketplace’s users. This also allows clients to disclose their license information, hours of operation, contact information, discount policies and other information that may be required under applicable state law.</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Orders: Software for retailers to receive pickup and delivery orders directly from a Weedmaps listing and connect orders directly with a client’s POS system (for certain POS systems). The marketplace also 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9"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Store: Customizable order and menus embed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spacing w:after="0" w:line="294"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6" w:name="page157"/>
    <w:bookmarkEnd w:id="1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5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jc w:val="both"/>
        <w:ind w:left="1000" w:right="319" w:hanging="348"/>
        <w:spacing w:after="0" w:line="253" w:lineRule="auto"/>
        <w:tabs>
          <w:tab w:leader="none" w:pos="10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also offers other add-on products for additional fees, including:</w:t>
      </w:r>
    </w:p>
    <w:p>
      <w:pPr>
        <w:spacing w:after="0" w:line="117" w:lineRule="exact"/>
        <w:rPr>
          <w:sz w:val="20"/>
          <w:szCs w:val="20"/>
          <w:color w:val="auto"/>
        </w:rPr>
      </w:pPr>
    </w:p>
    <w:p>
      <w:pPr>
        <w:ind w:left="1000" w:right="319" w:hanging="348"/>
        <w:spacing w:after="0" w:line="282" w:lineRule="auto"/>
        <w:tabs>
          <w:tab w:leader="none" w:pos="10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Ads: Ad solutions on the Weedmaps marketplace designed for clients to amplify their businesses and reach more highly engaged cannabis consumers throughout their buying journey including:</w:t>
      </w:r>
    </w:p>
    <w:p>
      <w:pPr>
        <w:sectPr>
          <w:pgSz w:w="11900" w:h="16838" w:orient="portrait"/>
          <w:cols w:equalWidth="0" w:num="1">
            <w:col w:w="9019"/>
          </w:cols>
          <w:pgMar w:left="1440" w:top="263" w:right="1440" w:bottom="1440" w:gutter="0" w:footer="0" w:header="0"/>
        </w:sectPr>
      </w:pPr>
    </w:p>
    <w:p>
      <w:pPr>
        <w:spacing w:after="0" w:line="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both"/>
        <w:ind w:right="319"/>
        <w:spacing w:after="0" w:line="266" w:lineRule="auto"/>
        <w:rPr>
          <w:sz w:val="20"/>
          <w:szCs w:val="20"/>
          <w:color w:val="auto"/>
        </w:rPr>
      </w:pPr>
      <w:r>
        <w:rPr>
          <w:rFonts w:ascii="Times New Roman" w:cs="Times New Roman" w:eastAsia="Times New Roman" w:hAnsi="Times New Roman"/>
          <w:sz w:val="18"/>
          <w:szCs w:val="18"/>
          <w:color w:val="auto"/>
        </w:rPr>
        <w:t>Featured Listings: Premium placement ad solutions on high visibility locations on the Weedmaps marketplace (desktop and mobile) to amplify our clients’ businesses and maximize clients’ listings and deal presence.</w:t>
      </w:r>
    </w:p>
    <w:p>
      <w:pPr>
        <w:spacing w:after="0" w:line="68" w:lineRule="exact"/>
        <w:rPr>
          <w:sz w:val="20"/>
          <w:szCs w:val="20"/>
          <w:color w:val="auto"/>
        </w:rPr>
      </w:pPr>
    </w:p>
    <w:p>
      <w:pPr>
        <w:jc w:val="both"/>
        <w:ind w:right="319"/>
        <w:spacing w:after="0" w:line="266" w:lineRule="auto"/>
        <w:rPr>
          <w:sz w:val="20"/>
          <w:szCs w:val="20"/>
          <w:color w:val="auto"/>
        </w:rPr>
      </w:pPr>
      <w:r>
        <w:rPr>
          <w:rFonts w:ascii="Times New Roman" w:cs="Times New Roman" w:eastAsia="Times New Roman" w:hAnsi="Times New Roman"/>
          <w:sz w:val="18"/>
          <w:szCs w:val="18"/>
          <w:color w:val="auto"/>
        </w:rPr>
        <w:t>WM Deals: Discount and promotion pricing tools that let clients strategically reach prospective price-conscious cannabis customers with deals or discounts to drive conversion. In some jurisdictions, it is required by applicable law to showcase discounts.</w:t>
      </w:r>
    </w:p>
    <w:p>
      <w:pPr>
        <w:spacing w:after="0" w:line="68" w:lineRule="exact"/>
        <w:rPr>
          <w:sz w:val="20"/>
          <w:szCs w:val="20"/>
          <w:color w:val="auto"/>
        </w:rPr>
      </w:pPr>
    </w:p>
    <w:p>
      <w:pPr>
        <w:jc w:val="both"/>
        <w:ind w:right="319"/>
        <w:spacing w:after="0" w:line="266" w:lineRule="auto"/>
        <w:rPr>
          <w:sz w:val="20"/>
          <w:szCs w:val="20"/>
          <w:color w:val="auto"/>
        </w:rPr>
      </w:pPr>
      <w:r>
        <w:rPr>
          <w:rFonts w:ascii="Times New Roman" w:cs="Times New Roman" w:eastAsia="Times New Roman" w:hAnsi="Times New Roman"/>
          <w:sz w:val="18"/>
          <w:szCs w:val="18"/>
          <w:color w:val="auto"/>
        </w:rPr>
        <w:t>Other WM Ads solutions: Includes banner ads and promotion tiles on our marketplace as well as banner ads that can be tied to keyword searches. These products provide clients with targeted ad solutions in highly visible slots across our digital surfaces.</w:t>
      </w:r>
    </w:p>
    <w:p>
      <w:pPr>
        <w:spacing w:after="0" w:line="68" w:lineRule="exact"/>
        <w:rPr>
          <w:sz w:val="20"/>
          <w:szCs w:val="20"/>
          <w:color w:val="auto"/>
        </w:rPr>
      </w:pPr>
    </w:p>
    <w:p>
      <w:pPr>
        <w:sectPr>
          <w:pgSz w:w="11900" w:h="16838" w:orient="portrait"/>
          <w:cols w:equalWidth="0" w:num="2">
            <w:col w:w="1080" w:space="280"/>
            <w:col w:w="7659"/>
          </w:cols>
          <w:pgMar w:left="1440" w:top="263" w:right="1440" w:bottom="1440" w:gutter="0" w:footer="0" w:header="0"/>
          <w:type w:val="continuous"/>
        </w:sectPr>
      </w:pPr>
    </w:p>
    <w:p>
      <w:pPr>
        <w:jc w:val="both"/>
        <w:ind w:left="1000" w:right="319" w:hanging="348"/>
        <w:spacing w:after="0" w:line="266" w:lineRule="auto"/>
        <w:tabs>
          <w:tab w:leader="none" w:pos="10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Dispatch: Compliant, automated and optimized logistics and fulfillment last-mile delivery software (including driver apps) that helps clients manage their delivery fleets. This product streamlines the delivery experience from in-store to front-door.</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December 2023, we completed the sunset of WM AdSuite, WM CRM and WM Screens product offerings as we continue to focus our efforts on other Weedmaps for Business products that support the Weedmaps marketplace and improve the eCommerce experience for our clients and users.</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the Company’s disaggregated net revenues information (in thousands):</w:t>
      </w:r>
    </w:p>
    <w:p>
      <w:pPr>
        <w:spacing w:after="0" w:line="200" w:lineRule="exact"/>
        <w:rPr>
          <w:sz w:val="20"/>
          <w:szCs w:val="20"/>
          <w:color w:val="auto"/>
        </w:rPr>
      </w:pPr>
    </w:p>
    <w:p>
      <w:pPr>
        <w:spacing w:after="0" w:line="26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2120" w:type="dxa"/>
            <w:vAlign w:val="bottom"/>
            <w:gridSpan w:val="7"/>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50"/>
        </w:trPr>
        <w:tc>
          <w:tcPr>
            <w:tcW w:w="63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r>
      <w:tr>
        <w:trPr>
          <w:trHeight w:val="195"/>
        </w:trPr>
        <w:tc>
          <w:tcPr>
            <w:tcW w:w="6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center"/>
              <w:ind w:left="1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r>
      <w:tr>
        <w:trPr>
          <w:trHeight w:val="271"/>
        </w:trPr>
        <w:tc>
          <w:tcPr>
            <w:tcW w:w="630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As Restated</w:t>
            </w:r>
            <w:r>
              <w:rPr>
                <w:rFonts w:ascii="Times New Roman" w:cs="Times New Roman" w:eastAsia="Times New Roman" w:hAnsi="Times New Roman"/>
                <w:sz w:val="23"/>
                <w:szCs w:val="23"/>
                <w:b w:val="1"/>
                <w:bCs w:val="1"/>
                <w:color w:val="auto"/>
                <w:w w:val="98"/>
                <w:vertAlign w:val="superscript"/>
              </w:rPr>
              <w:t>2</w:t>
            </w:r>
          </w:p>
        </w:tc>
      </w:tr>
      <w:tr>
        <w:trPr>
          <w:trHeight w:val="311"/>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580" w:type="dxa"/>
            <w:vAlign w:val="bottom"/>
            <w:tcBorders>
              <w:bottom w:val="single" w:sz="8" w:color="CCEEFF"/>
              <w:right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r>
      <w:tr>
        <w:trPr>
          <w:trHeight w:val="270"/>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Weedmaps for Business and other SaaS solutions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$13,282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$11,310</w:t>
            </w:r>
          </w:p>
        </w:tc>
        <w:tc>
          <w:tcPr>
            <w:tcW w:w="24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70"/>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Featured and deal listings</w:t>
            </w:r>
          </w:p>
        </w:tc>
        <w:tc>
          <w:tcPr>
            <w:tcW w:w="140" w:type="dxa"/>
            <w:vAlign w:val="bottom"/>
            <w:tcBorders>
              <w:right w:val="single" w:sz="8" w:color="CCEEFF"/>
            </w:tcBorders>
            <w:shd w:val="clear" w:color="auto" w:fill="CCEEFF"/>
          </w:tcPr>
          <w:p>
            <w:pPr>
              <w:spacing w:after="0"/>
              <w:rPr>
                <w:sz w:val="23"/>
                <w:szCs w:val="23"/>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32,280</w:t>
            </w:r>
          </w:p>
        </w:tc>
        <w:tc>
          <w:tcPr>
            <w:tcW w:w="240" w:type="dxa"/>
            <w:vAlign w:val="bottom"/>
            <w:shd w:val="clear" w:color="auto" w:fill="CCEEFF"/>
          </w:tcPr>
          <w:p>
            <w:pPr>
              <w:spacing w:after="0"/>
              <w:rPr>
                <w:sz w:val="23"/>
                <w:szCs w:val="23"/>
                <w:color w:val="auto"/>
              </w:rPr>
            </w:pPr>
          </w:p>
        </w:tc>
      </w:tr>
      <w:tr>
        <w:trPr>
          <w:trHeight w:val="48"/>
        </w:trPr>
        <w:tc>
          <w:tcPr>
            <w:tcW w:w="63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580" w:type="dxa"/>
            <w:vAlign w:val="bottom"/>
            <w:tcBorders>
              <w:top w:val="single" w:sz="8" w:color="auto"/>
              <w:right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83"/>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41,448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43,590</w:t>
            </w:r>
          </w:p>
        </w:tc>
        <w:tc>
          <w:tcPr>
            <w:tcW w:w="240" w:type="dxa"/>
            <w:vAlign w:val="bottom"/>
          </w:tcPr>
          <w:p>
            <w:pPr>
              <w:spacing w:after="0"/>
              <w:rPr>
                <w:sz w:val="24"/>
                <w:szCs w:val="24"/>
                <w:color w:val="auto"/>
              </w:rPr>
            </w:pPr>
          </w:p>
        </w:tc>
      </w:tr>
      <w:tr>
        <w:trPr>
          <w:trHeight w:val="54"/>
        </w:trPr>
        <w:tc>
          <w:tcPr>
            <w:tcW w:w="6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18"/>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 solutions</w:t>
            </w:r>
          </w:p>
        </w:tc>
        <w:tc>
          <w:tcPr>
            <w:tcW w:w="140" w:type="dxa"/>
            <w:vAlign w:val="bottom"/>
            <w:tcBorders>
              <w:bottom w:val="single" w:sz="8" w:color="CCEEFF"/>
              <w:right w:val="single" w:sz="8" w:color="CCEEFF"/>
            </w:tcBorders>
            <w:shd w:val="clear" w:color="auto" w:fill="CCEEFF"/>
          </w:tcPr>
          <w:p>
            <w:pPr>
              <w:spacing w:after="0"/>
              <w:rPr>
                <w:sz w:val="24"/>
                <w:szCs w:val="24"/>
                <w:color w:val="auto"/>
              </w:rPr>
            </w:pPr>
          </w:p>
        </w:tc>
        <w:tc>
          <w:tcPr>
            <w:tcW w:w="5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240" w:type="dxa"/>
            <w:vAlign w:val="bottom"/>
            <w:tcBorders>
              <w:bottom w:val="single" w:sz="8" w:color="CCEEFF"/>
            </w:tcBorders>
            <w:shd w:val="clear" w:color="auto" w:fill="CCEEFF"/>
          </w:tcPr>
          <w:p>
            <w:pPr>
              <w:spacing w:after="0"/>
              <w:rPr>
                <w:sz w:val="24"/>
                <w:szCs w:val="24"/>
                <w:color w:val="auto"/>
              </w:rPr>
            </w:pPr>
          </w:p>
        </w:tc>
      </w:tr>
      <w:tr>
        <w:trPr>
          <w:trHeight w:val="324"/>
        </w:trPr>
        <w:tc>
          <w:tcPr>
            <w:tcW w:w="6300" w:type="dxa"/>
            <w:vAlign w:val="bottom"/>
          </w:tcPr>
          <w:p>
            <w:pPr>
              <w:ind w:left="360"/>
              <w:spacing w:after="0" w:line="324" w:lineRule="exact"/>
              <w:rPr>
                <w:sz w:val="20"/>
                <w:szCs w:val="20"/>
                <w:color w:val="auto"/>
              </w:rPr>
            </w:pPr>
            <w:r>
              <w:rPr>
                <w:rFonts w:ascii="Times New Roman" w:cs="Times New Roman" w:eastAsia="Times New Roman" w:hAnsi="Times New Roman"/>
                <w:sz w:val="18"/>
                <w:szCs w:val="18"/>
                <w:color w:val="auto"/>
              </w:rPr>
              <w:t>Total net revenues</w:t>
            </w:r>
            <w:r>
              <w:rPr>
                <w:rFonts w:ascii="Times New Roman" w:cs="Times New Roman" w:eastAsia="Times New Roman" w:hAnsi="Times New Roman"/>
                <w:sz w:val="29"/>
                <w:szCs w:val="29"/>
                <w:color w:val="auto"/>
                <w:vertAlign w:val="superscript"/>
              </w:rPr>
              <w:t>1</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44,389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46,416</w:t>
            </w:r>
          </w:p>
        </w:tc>
      </w:tr>
      <w:tr>
        <w:trPr>
          <w:trHeight w:val="20"/>
        </w:trPr>
        <w:tc>
          <w:tcPr>
            <w:tcW w:w="63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4728845</wp:posOffset>
            </wp:positionH>
            <wp:positionV relativeFrom="paragraph">
              <wp:posOffset>-1285240</wp:posOffset>
            </wp:positionV>
            <wp:extent cx="13716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-1285240</wp:posOffset>
            </wp:positionV>
            <wp:extent cx="768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180340</wp:posOffset>
            </wp:positionV>
            <wp:extent cx="82296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08" w:lineRule="exact"/>
        <w:rPr>
          <w:sz w:val="20"/>
          <w:szCs w:val="20"/>
          <w:color w:val="auto"/>
        </w:rPr>
      </w:pPr>
    </w:p>
    <w:p>
      <w:pPr>
        <w:ind w:left="640" w:hanging="348"/>
        <w:spacing w:after="0"/>
        <w:tabs>
          <w:tab w:leader="none" w:pos="6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revenues are net of discounts of $0.2 million and $1.1 million, respectively, for three months ended March 31, 2024 and 2023.</w:t>
      </w:r>
    </w:p>
    <w:p>
      <w:pPr>
        <w:spacing w:after="0" w:line="42" w:lineRule="exact"/>
        <w:rPr>
          <w:sz w:val="20"/>
          <w:szCs w:val="20"/>
          <w:color w:val="auto"/>
        </w:rPr>
      </w:pPr>
    </w:p>
    <w:p>
      <w:pPr>
        <w:ind w:left="640" w:right="319" w:hanging="348"/>
        <w:spacing w:after="0" w:line="261" w:lineRule="auto"/>
        <w:tabs>
          <w:tab w:leader="none" w:pos="64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three months ended March 31, 2023, net revenue has been retrospectively adjusted to reflect the restatement of previously reported 2023 revenue. See Note 2, “Summary of Significant Accounting Policies,” for further information.</w:t>
      </w:r>
    </w:p>
    <w:p>
      <w:pPr>
        <w:spacing w:after="0" w:line="5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Deferred revenue primarily consists of billings or payments received in advance of revenue recognition from subscription offerings, as described above, and is recognized as the revenue recognition criteria are met. Deferred revenue balance as of March 31, 2024 and December 31, 2023 were $5.8 million and $5.9 million, respectively, and the balance is expected to be fully recognized within the next twelve months.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57" w:name="page158"/>
    <w:bookmarkEnd w:id="157"/>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revenue has been generated in the United States for the three months ended March 31, 2024 and 2023. For three months ended March 31, 2024, approximately 52% of the Company’s net revenue originated in California compared with 53% of the for the three months ended March 31, 2023.</w:t>
      </w:r>
    </w:p>
    <w:p>
      <w:pPr>
        <w:spacing w:after="0" w:line="172" w:lineRule="exact"/>
        <w:rPr>
          <w:sz w:val="20"/>
          <w:szCs w:val="20"/>
          <w:color w:val="auto"/>
        </w:rPr>
      </w:pPr>
    </w:p>
    <w:p>
      <w:pPr>
        <w:ind w:left="1640" w:hanging="348"/>
        <w:spacing w:after="0"/>
        <w:tabs>
          <w:tab w:leader="none" w:pos="16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3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21"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The Company has minimum outstanding purchase obligations of $5.3 million for the remaining nine months in 2024, $7.3 million in 2025 and $7.5 million in 2026, due under software license agreements, of which the majority relates to the Company’s three-year AWS Enterprise agreement.</w:t>
      </w:r>
    </w:p>
    <w:p>
      <w:pPr>
        <w:spacing w:after="0" w:line="172" w:lineRule="exact"/>
        <w:rPr>
          <w:sz w:val="20"/>
          <w:szCs w:val="20"/>
          <w:color w:val="auto"/>
        </w:rPr>
      </w:pPr>
    </w:p>
    <w:p>
      <w:pPr>
        <w:ind w:left="1640" w:hanging="348"/>
        <w:spacing w:after="0"/>
        <w:tabs>
          <w:tab w:leader="none" w:pos="164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19" w:lineRule="exact"/>
        <w:rPr>
          <w:sz w:val="20"/>
          <w:szCs w:val="20"/>
          <w:color w:val="auto"/>
        </w:rPr>
      </w:pPr>
    </w:p>
    <w:p>
      <w:pPr>
        <w:jc w:val="both"/>
        <w:ind w:left="1300" w:right="1300"/>
        <w:spacing w:after="0" w:line="284" w:lineRule="auto"/>
        <w:rPr>
          <w:sz w:val="20"/>
          <w:szCs w:val="20"/>
          <w:color w:val="auto"/>
        </w:rPr>
      </w:pPr>
      <w:r>
        <w:rPr>
          <w:rFonts w:ascii="Times New Roman" w:cs="Times New Roman" w:eastAsia="Times New Roman" w:hAnsi="Times New Roman"/>
          <w:sz w:val="18"/>
          <w:szCs w:val="18"/>
          <w:color w:val="auto"/>
        </w:rPr>
        <w:t xml:space="preserve">The Company follows the guidance in ASC 820 -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w:t>
      </w:r>
    </w:p>
    <w:p>
      <w:pPr>
        <w:spacing w:after="0" w:line="52" w:lineRule="exact"/>
        <w:rPr>
          <w:sz w:val="20"/>
          <w:szCs w:val="20"/>
          <w:color w:val="auto"/>
        </w:rPr>
      </w:pPr>
    </w:p>
    <w:p>
      <w:pPr>
        <w:jc w:val="both"/>
        <w:ind w:left="1300" w:right="1300"/>
        <w:spacing w:after="0" w:line="254"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84" w:lineRule="exact"/>
        <w:rPr>
          <w:sz w:val="20"/>
          <w:szCs w:val="20"/>
          <w:color w:val="auto"/>
        </w:rPr>
      </w:pPr>
    </w:p>
    <w:p>
      <w:pPr>
        <w:jc w:val="both"/>
        <w:ind w:left="2000" w:right="1300" w:hanging="348"/>
        <w:spacing w:after="0" w:line="266" w:lineRule="auto"/>
        <w:tabs>
          <w:tab w:leader="none" w:pos="2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67" w:lineRule="exact"/>
        <w:rPr>
          <w:rFonts w:ascii="Times New Roman" w:cs="Times New Roman" w:eastAsia="Times New Roman" w:hAnsi="Times New Roman"/>
          <w:sz w:val="18"/>
          <w:szCs w:val="18"/>
          <w:color w:val="auto"/>
        </w:rPr>
      </w:pPr>
    </w:p>
    <w:p>
      <w:pPr>
        <w:jc w:val="both"/>
        <w:ind w:left="2000" w:right="1320" w:hanging="348"/>
        <w:spacing w:after="0" w:line="266" w:lineRule="auto"/>
        <w:tabs>
          <w:tab w:leader="none" w:pos="2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67" w:lineRule="exact"/>
        <w:rPr>
          <w:rFonts w:ascii="Times New Roman" w:cs="Times New Roman" w:eastAsia="Times New Roman" w:hAnsi="Times New Roman"/>
          <w:sz w:val="18"/>
          <w:szCs w:val="18"/>
          <w:color w:val="auto"/>
        </w:rPr>
      </w:pPr>
    </w:p>
    <w:p>
      <w:pPr>
        <w:ind w:left="2000" w:right="1300" w:hanging="348"/>
        <w:spacing w:after="0" w:line="282" w:lineRule="auto"/>
        <w:tabs>
          <w:tab w:leader="none" w:pos="2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based on the Company assessment of the assumptions that market participants would use in pricing the asset or liability.</w:t>
      </w:r>
    </w:p>
    <w:p>
      <w:pPr>
        <w:spacing w:after="0" w:line="54" w:lineRule="exact"/>
        <w:rPr>
          <w:sz w:val="20"/>
          <w:szCs w:val="20"/>
          <w:color w:val="auto"/>
        </w:rPr>
      </w:pPr>
    </w:p>
    <w:p>
      <w:pPr>
        <w:jc w:val="both"/>
        <w:ind w:left="1300" w:right="1320"/>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liabilities that are measured at fair value on a recurring basis at March 31, 2024 and December 31, 2023, and indicates the fair value hierarchy of the valuation inputs the Company utilized to determine such fair value (in thousands):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340" w:type="dxa"/>
            <w:vAlign w:val="bottom"/>
            <w:gridSpan w:val="8"/>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March 31, 2024   December 31, 2023</w:t>
            </w:r>
          </w:p>
        </w:tc>
        <w:tc>
          <w:tcPr>
            <w:tcW w:w="1300" w:type="dxa"/>
            <w:vAlign w:val="bottom"/>
          </w:tcPr>
          <w:p>
            <w:pPr>
              <w:spacing w:after="0"/>
              <w:rPr>
                <w:sz w:val="16"/>
                <w:szCs w:val="16"/>
                <w:color w:val="auto"/>
              </w:rPr>
            </w:pPr>
          </w:p>
        </w:tc>
      </w:tr>
      <w:tr>
        <w:trPr>
          <w:trHeight w:val="50"/>
        </w:trPr>
        <w:tc>
          <w:tcPr>
            <w:tcW w:w="1300" w:type="dxa"/>
            <w:vAlign w:val="bottom"/>
          </w:tcPr>
          <w:p>
            <w:pPr>
              <w:spacing w:after="0"/>
              <w:rPr>
                <w:sz w:val="4"/>
                <w:szCs w:val="4"/>
                <w:color w:val="auto"/>
              </w:rPr>
            </w:pPr>
          </w:p>
        </w:tc>
        <w:tc>
          <w:tcPr>
            <w:tcW w:w="3680" w:type="dxa"/>
            <w:vAlign w:val="bottom"/>
            <w:tcBorders>
              <w:bottom w:val="single" w:sz="8" w:color="CCEEFF"/>
            </w:tcBorders>
          </w:tcPr>
          <w:p>
            <w:pPr>
              <w:spacing w:after="0"/>
              <w:rPr>
                <w:sz w:val="4"/>
                <w:szCs w:val="4"/>
                <w:color w:val="auto"/>
              </w:rPr>
            </w:pPr>
          </w:p>
        </w:tc>
        <w:tc>
          <w:tcPr>
            <w:tcW w:w="19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9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 Public Warrants</w:t>
            </w:r>
          </w:p>
        </w:tc>
        <w:tc>
          <w:tcPr>
            <w:tcW w:w="2240" w:type="dxa"/>
            <w:vAlign w:val="bottom"/>
            <w:gridSpan w:val="2"/>
          </w:tcPr>
          <w:p>
            <w:pPr>
              <w:jc w:val="center"/>
              <w:ind w:left="181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875</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$375</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6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 Private Placement Warrants</w:t>
            </w:r>
          </w:p>
        </w:tc>
        <w:tc>
          <w:tcPr>
            <w:tcW w:w="2240" w:type="dxa"/>
            <w:vAlign w:val="bottom"/>
            <w:gridSpan w:val="2"/>
            <w:shd w:val="clear" w:color="auto" w:fill="CCEEFF"/>
          </w:tcPr>
          <w:p>
            <w:pPr>
              <w:jc w:val="center"/>
              <w:ind w:left="181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22"/>
                <w:szCs w:val="22"/>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4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3680" w:type="dxa"/>
            <w:vAlign w:val="bottom"/>
            <w:tcBorders>
              <w:top w:val="single" w:sz="8" w:color="CCEEFF"/>
            </w:tcBorders>
            <w:shd w:val="clear" w:color="auto" w:fill="CCEEFF"/>
          </w:tcPr>
          <w:p>
            <w:pPr>
              <w:spacing w:after="0"/>
              <w:rPr>
                <w:sz w:val="5"/>
                <w:szCs w:val="5"/>
                <w:color w:val="auto"/>
              </w:rPr>
            </w:pPr>
          </w:p>
        </w:tc>
        <w:tc>
          <w:tcPr>
            <w:tcW w:w="190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warrant liability</w:t>
            </w:r>
          </w:p>
        </w:tc>
        <w:tc>
          <w:tcPr>
            <w:tcW w:w="19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1,435</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585</w:t>
            </w:r>
          </w:p>
        </w:tc>
        <w:tc>
          <w:tcPr>
            <w:tcW w:w="1300" w:type="dxa"/>
            <w:vAlign w:val="bottom"/>
          </w:tcPr>
          <w:p>
            <w:pPr>
              <w:spacing w:after="0"/>
              <w:rPr>
                <w:sz w:val="23"/>
                <w:szCs w:val="23"/>
                <w:color w:val="auto"/>
              </w:rPr>
            </w:pPr>
          </w:p>
        </w:tc>
      </w:tr>
      <w:tr>
        <w:trPr>
          <w:trHeight w:val="479"/>
        </w:trPr>
        <w:tc>
          <w:tcPr>
            <w:tcW w:w="1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F-18</w:t>
            </w:r>
          </w:p>
        </w:tc>
        <w:tc>
          <w:tcPr>
            <w:tcW w:w="24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5303520</wp:posOffset>
            </wp:positionH>
            <wp:positionV relativeFrom="paragraph">
              <wp:posOffset>-1259205</wp:posOffset>
            </wp:positionV>
            <wp:extent cx="10287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4583430</wp:posOffset>
            </wp:positionH>
            <wp:positionV relativeFrom="paragraph">
              <wp:posOffset>-1259205</wp:posOffset>
            </wp:positionV>
            <wp:extent cx="10287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4318000</wp:posOffset>
            </wp:positionH>
            <wp:positionV relativeFrom="paragraph">
              <wp:posOffset>-1259205</wp:posOffset>
            </wp:positionV>
            <wp:extent cx="5143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158" w:name="page159"/>
    <w:bookmarkEnd w:id="1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tables summarizes the changes in the fair value of the warrant liabilities (in thousands):</w:t>
      </w:r>
    </w:p>
    <w:p>
      <w:pPr>
        <w:spacing w:after="0" w:line="200" w:lineRule="exact"/>
        <w:rPr>
          <w:sz w:val="20"/>
          <w:szCs w:val="20"/>
          <w:color w:val="auto"/>
        </w:rPr>
      </w:pPr>
    </w:p>
    <w:p>
      <w:pPr>
        <w:spacing w:after="0" w:line="26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gridSpan w:val="10"/>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9"/>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5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7"/>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Private</w:t>
            </w:r>
          </w:p>
        </w:tc>
        <w:tc>
          <w:tcPr>
            <w:tcW w:w="6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32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Public Warrants</w:t>
            </w:r>
          </w:p>
        </w:tc>
        <w:tc>
          <w:tcPr>
            <w:tcW w:w="960" w:type="dxa"/>
            <w:vAlign w:val="bottom"/>
            <w:gridSpan w:val="7"/>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6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1320" w:type="dxa"/>
            <w:vAlign w:val="bottom"/>
            <w:gridSpan w:val="7"/>
            <w:vMerge w:val="continue"/>
          </w:tcPr>
          <w:p>
            <w:pPr>
              <w:spacing w:after="0"/>
              <w:rPr>
                <w:sz w:val="16"/>
                <w:szCs w:val="16"/>
                <w:color w:val="auto"/>
              </w:rPr>
            </w:pPr>
          </w:p>
        </w:tc>
        <w:tc>
          <w:tcPr>
            <w:tcW w:w="960" w:type="dxa"/>
            <w:vAlign w:val="bottom"/>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50"/>
        </w:trPr>
        <w:tc>
          <w:tcPr>
            <w:tcW w:w="55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740" w:type="dxa"/>
            <w:vAlign w:val="bottom"/>
            <w:tcBorders>
              <w:bottom w:val="single" w:sz="8" w:color="CCEEFF"/>
            </w:tcBorders>
            <w:gridSpan w:val="4"/>
            <w:shd w:val="clear" w:color="auto" w:fill="CCEEFF"/>
          </w:tcPr>
          <w:p>
            <w:pPr>
              <w:jc w:val="center"/>
              <w:ind w:left="175"/>
              <w:spacing w:after="0"/>
              <w:rPr>
                <w:sz w:val="20"/>
                <w:szCs w:val="20"/>
                <w:color w:val="auto"/>
              </w:rPr>
            </w:pPr>
            <w:r>
              <w:rPr>
                <w:rFonts w:ascii="Times New Roman" w:cs="Times New Roman" w:eastAsia="Times New Roman" w:hAnsi="Times New Roman"/>
                <w:sz w:val="18"/>
                <w:szCs w:val="18"/>
                <w:color w:val="auto"/>
                <w:w w:val="99"/>
              </w:rPr>
              <w:t>$375</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4"/>
            <w:shd w:val="clear" w:color="auto" w:fill="CCEEFF"/>
          </w:tcPr>
          <w:p>
            <w:pPr>
              <w:jc w:val="center"/>
              <w:ind w:left="19"/>
              <w:spacing w:after="0"/>
              <w:rPr>
                <w:sz w:val="20"/>
                <w:szCs w:val="20"/>
                <w:color w:val="auto"/>
              </w:rPr>
            </w:pPr>
            <w:r>
              <w:rPr>
                <w:rFonts w:ascii="Times New Roman" w:cs="Times New Roman" w:eastAsia="Times New Roman" w:hAnsi="Times New Roman"/>
                <w:sz w:val="18"/>
                <w:szCs w:val="18"/>
                <w:color w:val="auto"/>
                <w:w w:val="99"/>
              </w:rPr>
              <w:t>$210</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585</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6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w w:val="96"/>
              </w:rPr>
              <w:t>500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5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end of period</w:t>
            </w:r>
          </w:p>
        </w:tc>
        <w:tc>
          <w:tcPr>
            <w:tcW w:w="740" w:type="dxa"/>
            <w:vAlign w:val="bottom"/>
            <w:gridSpan w:val="4"/>
            <w:shd w:val="clear" w:color="auto" w:fill="CCEEFF"/>
          </w:tcPr>
          <w:p>
            <w:pPr>
              <w:jc w:val="center"/>
              <w:ind w:left="175"/>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875</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40" w:type="dxa"/>
            <w:vAlign w:val="bottom"/>
            <w:gridSpan w:val="4"/>
            <w:shd w:val="clear" w:color="auto" w:fill="CCEEFF"/>
          </w:tcPr>
          <w:p>
            <w:pPr>
              <w:jc w:val="center"/>
              <w:ind w:left="19"/>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560</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1,435</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55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556"/>
        </w:trPr>
        <w:tc>
          <w:tcPr>
            <w:tcW w:w="5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gridSpan w:val="10"/>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9"/>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5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7"/>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Private</w:t>
            </w:r>
          </w:p>
        </w:tc>
        <w:tc>
          <w:tcPr>
            <w:tcW w:w="6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32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Public Warrants</w:t>
            </w:r>
          </w:p>
        </w:tc>
        <w:tc>
          <w:tcPr>
            <w:tcW w:w="960" w:type="dxa"/>
            <w:vAlign w:val="bottom"/>
            <w:gridSpan w:val="7"/>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6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1320" w:type="dxa"/>
            <w:vAlign w:val="bottom"/>
            <w:gridSpan w:val="7"/>
            <w:vMerge w:val="continue"/>
          </w:tcPr>
          <w:p>
            <w:pPr>
              <w:spacing w:after="0"/>
              <w:rPr>
                <w:sz w:val="16"/>
                <w:szCs w:val="16"/>
                <w:color w:val="auto"/>
              </w:rPr>
            </w:pPr>
          </w:p>
        </w:tc>
        <w:tc>
          <w:tcPr>
            <w:tcW w:w="960" w:type="dxa"/>
            <w:vAlign w:val="bottom"/>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50"/>
        </w:trPr>
        <w:tc>
          <w:tcPr>
            <w:tcW w:w="55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820" w:type="dxa"/>
            <w:vAlign w:val="bottom"/>
            <w:tcBorders>
              <w:bottom w:val="single" w:sz="8" w:color="CCEEFF"/>
            </w:tcBorders>
            <w:gridSpan w:val="5"/>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rPr>
              <w:t>$1,250</w:t>
            </w:r>
          </w:p>
        </w:tc>
        <w:tc>
          <w:tcPr>
            <w:tcW w:w="2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4"/>
            <w:shd w:val="clear" w:color="auto" w:fill="CCEEFF"/>
          </w:tcPr>
          <w:p>
            <w:pPr>
              <w:jc w:val="center"/>
              <w:ind w:left="39"/>
              <w:spacing w:after="0"/>
              <w:rPr>
                <w:sz w:val="20"/>
                <w:szCs w:val="20"/>
                <w:color w:val="auto"/>
              </w:rPr>
            </w:pPr>
            <w:r>
              <w:rPr>
                <w:rFonts w:ascii="Times New Roman" w:cs="Times New Roman" w:eastAsia="Times New Roman" w:hAnsi="Times New Roman"/>
                <w:sz w:val="18"/>
                <w:szCs w:val="18"/>
                <w:color w:val="auto"/>
              </w:rPr>
              <w:t>$ 840</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$2,090</w:t>
            </w: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820" w:type="dxa"/>
            <w:vAlign w:val="bottom"/>
            <w:gridSpan w:val="5"/>
          </w:tcPr>
          <w:p>
            <w:pPr>
              <w:ind w:left="420"/>
              <w:spacing w:after="0"/>
              <w:rPr>
                <w:sz w:val="20"/>
                <w:szCs w:val="20"/>
                <w:color w:val="auto"/>
              </w:rPr>
            </w:pPr>
            <w:r>
              <w:rPr>
                <w:rFonts w:ascii="Times New Roman" w:cs="Times New Roman" w:eastAsia="Times New Roman" w:hAnsi="Times New Roman"/>
                <w:sz w:val="18"/>
                <w:szCs w:val="18"/>
                <w:color w:val="auto"/>
                <w:w w:val="97"/>
              </w:rPr>
              <w:t>(375)</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(350)</w:t>
            </w:r>
          </w:p>
        </w:tc>
        <w:tc>
          <w:tcPr>
            <w:tcW w:w="300" w:type="dxa"/>
            <w:vAlign w:val="bottom"/>
          </w:tcPr>
          <w:p>
            <w:pPr>
              <w:spacing w:after="0"/>
              <w:rPr>
                <w:sz w:val="22"/>
                <w:szCs w:val="22"/>
                <w:color w:val="auto"/>
              </w:rPr>
            </w:pP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61"/>
        </w:trPr>
        <w:tc>
          <w:tcPr>
            <w:tcW w:w="5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end of period</w:t>
            </w:r>
          </w:p>
        </w:tc>
        <w:tc>
          <w:tcPr>
            <w:tcW w:w="820" w:type="dxa"/>
            <w:vAlign w:val="bottom"/>
            <w:gridSpan w:val="5"/>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rPr>
              <w:t>$  875</w:t>
            </w:r>
          </w:p>
        </w:tc>
        <w:tc>
          <w:tcPr>
            <w:tcW w:w="2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40" w:type="dxa"/>
            <w:vAlign w:val="bottom"/>
            <w:gridSpan w:val="4"/>
            <w:shd w:val="clear" w:color="auto" w:fill="CCEEFF"/>
          </w:tcPr>
          <w:p>
            <w:pPr>
              <w:jc w:val="center"/>
              <w:ind w:left="39"/>
              <w:spacing w:after="0"/>
              <w:rPr>
                <w:sz w:val="20"/>
                <w:szCs w:val="20"/>
                <w:color w:val="auto"/>
              </w:rPr>
            </w:pPr>
            <w:r>
              <w:rPr>
                <w:rFonts w:ascii="Times New Roman" w:cs="Times New Roman" w:eastAsia="Times New Roman" w:hAnsi="Times New Roman"/>
                <w:sz w:val="18"/>
                <w:szCs w:val="18"/>
                <w:color w:val="auto"/>
              </w:rPr>
              <w:t>$ 490</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1,365</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55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-2185670</wp:posOffset>
            </wp:positionV>
            <wp:extent cx="18859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-2185670</wp:posOffset>
            </wp:positionV>
            <wp:extent cx="18859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-2185670</wp:posOffset>
            </wp:positionV>
            <wp:extent cx="10287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4951730</wp:posOffset>
            </wp:positionH>
            <wp:positionV relativeFrom="paragraph">
              <wp:posOffset>-650875</wp:posOffset>
            </wp:positionV>
            <wp:extent cx="18859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-650875</wp:posOffset>
            </wp:positionV>
            <wp:extent cx="18859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-650875</wp:posOffset>
            </wp:positionV>
            <wp:extent cx="10287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Company determined the fair value of the Public Warrants, based on the publicly listed trading price of such warrants as of the valuation date. Accordingly, the Public Warrants are classified as Level 1 financial instruments. The fair value of the Public Warrants was $0.9 million and $0.4 million as of March 31, 2024 and December 31, 2023, respectively.</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estimated fair value of the Private Placement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8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at their measurement dates:</w:t>
      </w:r>
    </w:p>
    <w:p>
      <w:pPr>
        <w:spacing w:after="0" w:line="39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51"/>
        </w:trPr>
        <w:tc>
          <w:tcPr>
            <w:tcW w:w="604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r>
      <w:tr>
        <w:trPr>
          <w:trHeight w:val="311"/>
        </w:trPr>
        <w:tc>
          <w:tcPr>
            <w:tcW w:w="6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9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$11.50</w:t>
            </w:r>
          </w:p>
        </w:tc>
        <w:tc>
          <w:tcPr>
            <w:tcW w:w="2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$11.50</w:t>
            </w: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0.72</w:t>
            </w:r>
          </w:p>
        </w:tc>
      </w:tr>
      <w:tr>
        <w:trPr>
          <w:trHeight w:val="54"/>
        </w:trPr>
        <w:tc>
          <w:tcPr>
            <w:tcW w:w="60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304"/>
        </w:trPr>
        <w:tc>
          <w:tcPr>
            <w:tcW w:w="6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83.0%</w:t>
            </w:r>
          </w:p>
        </w:tc>
        <w:tc>
          <w:tcPr>
            <w:tcW w:w="2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87.5%</w:t>
            </w:r>
          </w:p>
        </w:tc>
      </w:tr>
      <w:tr>
        <w:trPr>
          <w:trHeight w:val="270"/>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Term (years)</w:t>
            </w:r>
          </w:p>
        </w:tc>
        <w:tc>
          <w:tcPr>
            <w:tcW w:w="380" w:type="dxa"/>
            <w:vAlign w:val="bottom"/>
          </w:tcPr>
          <w:p>
            <w:pPr>
              <w:spacing w:after="0"/>
              <w:rPr>
                <w:sz w:val="23"/>
                <w:szCs w:val="23"/>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2.46</w:t>
            </w:r>
          </w:p>
        </w:tc>
      </w:tr>
      <w:tr>
        <w:trPr>
          <w:trHeight w:val="54"/>
        </w:trPr>
        <w:tc>
          <w:tcPr>
            <w:tcW w:w="604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7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80" w:type="dxa"/>
            <w:vAlign w:val="bottom"/>
            <w:shd w:val="clear" w:color="auto" w:fill="CCEEFF"/>
          </w:tcPr>
          <w:p>
            <w:pPr>
              <w:spacing w:after="0"/>
              <w:rPr>
                <w:sz w:val="23"/>
                <w:szCs w:val="23"/>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4.55%</w:t>
            </w:r>
          </w:p>
        </w:tc>
        <w:tc>
          <w:tcPr>
            <w:tcW w:w="2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4.13%</w:t>
            </w:r>
          </w:p>
        </w:tc>
      </w:tr>
      <w:tr>
        <w:trPr>
          <w:trHeight w:val="54"/>
        </w:trPr>
        <w:tc>
          <w:tcPr>
            <w:tcW w:w="604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-1045210</wp:posOffset>
            </wp:positionV>
            <wp:extent cx="13716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-1045210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Significant changes in the volatility would result in a significant lower or higher fair value measurement, respectively.</w:t>
      </w:r>
    </w:p>
    <w:p>
      <w:pPr>
        <w:spacing w:after="0" w:line="5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fair value of the Private Placement Warrants was $0.6 million and $0.2 million as of March 31, 2024 and December 31, 2023, respectively. There were no transfers in or out of Level 3 from other levels in the fair value hierarchy.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933" w:gutter="0" w:footer="0" w:header="0"/>
        </w:sectPr>
      </w:pPr>
    </w:p>
    <w:bookmarkStart w:id="159" w:name="page160"/>
    <w:bookmarkEnd w:id="1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left="292" w:right="35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ind w:left="640" w:hanging="348"/>
        <w:spacing w:after="0"/>
        <w:tabs>
          <w:tab w:leader="none" w:pos="64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Intangible assets consisted of the following as of March 31, 2024 and December 31, 2023 (in thousands):</w:t>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gridSpan w:val="7"/>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880" w:type="dxa"/>
            <w:vAlign w:val="bottom"/>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88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Intangible</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74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920" w:type="dxa"/>
            <w:vAlign w:val="bottom"/>
            <w:gridSpan w:val="4"/>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88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60" w:type="dxa"/>
            <w:vAlign w:val="bottom"/>
          </w:tcPr>
          <w:p>
            <w:pPr>
              <w:spacing w:after="0"/>
              <w:rPr>
                <w:sz w:val="16"/>
                <w:szCs w:val="16"/>
                <w:color w:val="auto"/>
              </w:rPr>
            </w:pPr>
          </w:p>
        </w:tc>
        <w:tc>
          <w:tcPr>
            <w:tcW w:w="6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50"/>
        </w:trPr>
        <w:tc>
          <w:tcPr>
            <w:tcW w:w="488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15.0</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$7,256</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$(5,128)</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$2,128</w:t>
            </w: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84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8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22"/>
                <w:szCs w:val="22"/>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2"/>
                <w:szCs w:val="22"/>
                <w:color w:val="auto"/>
              </w:rPr>
            </w:pP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61"/>
        </w:trPr>
        <w:tc>
          <w:tcPr>
            <w:tcW w:w="488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auto"/>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intangible assets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14.5</w:t>
            </w:r>
          </w:p>
        </w:tc>
        <w:tc>
          <w:tcPr>
            <w:tcW w:w="140" w:type="dxa"/>
            <w:vAlign w:val="bottom"/>
          </w:tcPr>
          <w:p>
            <w:pPr>
              <w:spacing w:after="0"/>
              <w:rPr>
                <w:sz w:val="23"/>
                <w:szCs w:val="23"/>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7,675</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(5,306)</w:t>
            </w:r>
          </w:p>
        </w:tc>
        <w:tc>
          <w:tcPr>
            <w:tcW w:w="100" w:type="dxa"/>
            <w:vAlign w:val="bottom"/>
          </w:tcPr>
          <w:p>
            <w:pPr>
              <w:spacing w:after="0"/>
              <w:rPr>
                <w:sz w:val="23"/>
                <w:szCs w:val="23"/>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2,369</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5"/>
        </w:trPr>
        <w:tc>
          <w:tcPr>
            <w:tcW w:w="4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4880" w:type="dxa"/>
            <w:vAlign w:val="bottom"/>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488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 w:type="dxa"/>
            <w:vAlign w:val="bottom"/>
          </w:tcPr>
          <w:p>
            <w:pPr>
              <w:spacing w:after="0"/>
              <w:rPr>
                <w:sz w:val="12"/>
                <w:szCs w:val="12"/>
                <w:color w:val="auto"/>
              </w:rPr>
            </w:pPr>
          </w:p>
        </w:tc>
        <w:tc>
          <w:tcPr>
            <w:tcW w:w="6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8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Intangible</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74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920" w:type="dxa"/>
            <w:vAlign w:val="bottom"/>
            <w:gridSpan w:val="4"/>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880" w:type="dxa"/>
            <w:vAlign w:val="bottom"/>
          </w:tcPr>
          <w:p>
            <w:pPr>
              <w:spacing w:after="0"/>
              <w:rPr>
                <w:sz w:val="16"/>
                <w:szCs w:val="16"/>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60" w:type="dxa"/>
            <w:vAlign w:val="bottom"/>
          </w:tcPr>
          <w:p>
            <w:pPr>
              <w:spacing w:after="0"/>
              <w:rPr>
                <w:sz w:val="16"/>
                <w:szCs w:val="16"/>
                <w:color w:val="auto"/>
              </w:rPr>
            </w:pPr>
          </w:p>
        </w:tc>
        <w:tc>
          <w:tcPr>
            <w:tcW w:w="6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50"/>
        </w:trPr>
        <w:tc>
          <w:tcPr>
            <w:tcW w:w="488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15.0</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$7,256</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$(5,008)</w:t>
            </w: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$2,248</w:t>
            </w: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840" w:type="dxa"/>
            <w:vAlign w:val="bottom"/>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48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shd w:val="clear" w:color="auto" w:fill="CCEEFF"/>
          </w:tcPr>
          <w:p>
            <w:pPr>
              <w:spacing w:after="0"/>
              <w:rPr>
                <w:sz w:val="22"/>
                <w:szCs w:val="22"/>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488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auto"/>
              <w:right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intangible assets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14.5</w:t>
            </w:r>
          </w:p>
        </w:tc>
        <w:tc>
          <w:tcPr>
            <w:tcW w:w="140" w:type="dxa"/>
            <w:vAlign w:val="bottom"/>
          </w:tcPr>
          <w:p>
            <w:pPr>
              <w:spacing w:after="0"/>
              <w:rPr>
                <w:sz w:val="23"/>
                <w:szCs w:val="23"/>
                <w:color w:val="auto"/>
              </w:rPr>
            </w:pPr>
          </w:p>
        </w:tc>
        <w:tc>
          <w:tcPr>
            <w:tcW w:w="560" w:type="dxa"/>
            <w:vAlign w:val="bottom"/>
            <w:gridSpan w:val="2"/>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7,675</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(5,168)</w:t>
            </w:r>
          </w:p>
        </w:tc>
        <w:tc>
          <w:tcPr>
            <w:tcW w:w="100" w:type="dxa"/>
            <w:vAlign w:val="bottom"/>
          </w:tcPr>
          <w:p>
            <w:pPr>
              <w:spacing w:after="0"/>
              <w:rPr>
                <w:sz w:val="23"/>
                <w:szCs w:val="23"/>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2,507</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4900295</wp:posOffset>
            </wp:positionH>
            <wp:positionV relativeFrom="paragraph">
              <wp:posOffset>-2656840</wp:posOffset>
            </wp:positionV>
            <wp:extent cx="685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-2656840</wp:posOffset>
            </wp:positionV>
            <wp:extent cx="685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-2656840</wp:posOffset>
            </wp:positionV>
            <wp:extent cx="8572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-2656840</wp:posOffset>
            </wp:positionV>
            <wp:extent cx="431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4900295</wp:posOffset>
            </wp:positionH>
            <wp:positionV relativeFrom="paragraph">
              <wp:posOffset>-822325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-822325</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3820160</wp:posOffset>
            </wp:positionH>
            <wp:positionV relativeFrom="paragraph">
              <wp:posOffset>-822325</wp:posOffset>
            </wp:positionV>
            <wp:extent cx="8572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-822325</wp:posOffset>
            </wp:positionV>
            <wp:extent cx="431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2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Amortization expense for intangible assets was $0.1 million and $0.6 million, respectively, for the three months ended March 31, 2024 and 2023. The estimated future amortization expense of intangible assets as of March 31, 2024 is as follows (in thousands):</w:t>
      </w:r>
    </w:p>
    <w:p>
      <w:pPr>
        <w:spacing w:after="0" w:line="329" w:lineRule="exact"/>
        <w:rPr>
          <w:sz w:val="20"/>
          <w:szCs w:val="20"/>
          <w:color w:val="auto"/>
        </w:rPr>
      </w:pPr>
    </w:p>
    <w:tbl>
      <w:tblPr>
        <w:tblLayout w:type="fixed"/>
        <w:tblInd w:w="300" w:type="dxa"/>
        <w:tblCellMar>
          <w:top w:w="0" w:type="dxa"/>
          <w:left w:w="0" w:type="dxa"/>
          <w:bottom w:w="0" w:type="dxa"/>
          <w:right w:w="0" w:type="dxa"/>
        </w:tblCellMar>
      </w:tblPr>
      <w:tr>
        <w:trPr>
          <w:trHeight w:val="358"/>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period in 2024 (nine months)</w:t>
            </w:r>
          </w:p>
        </w:tc>
        <w:tc>
          <w:tcPr>
            <w:tcW w:w="26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7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2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0" w:type="dxa"/>
            <w:vAlign w:val="bottom"/>
          </w:tcPr>
          <w:p>
            <w:pPr>
              <w:spacing w:after="0"/>
              <w:rPr>
                <w:sz w:val="23"/>
                <w:szCs w:val="23"/>
                <w:color w:val="auto"/>
              </w:rPr>
            </w:pPr>
          </w:p>
        </w:tc>
      </w:tr>
      <w:tr>
        <w:trPr>
          <w:trHeight w:val="54"/>
        </w:trPr>
        <w:tc>
          <w:tcPr>
            <w:tcW w:w="542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25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Year ended December 31, 2027</w:t>
            </w:r>
          </w:p>
        </w:tc>
        <w:tc>
          <w:tcPr>
            <w:tcW w:w="2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0" w:type="dxa"/>
            <w:vAlign w:val="bottom"/>
          </w:tcPr>
          <w:p>
            <w:pPr>
              <w:spacing w:after="0"/>
              <w:rPr>
                <w:sz w:val="23"/>
                <w:szCs w:val="23"/>
                <w:color w:val="auto"/>
              </w:rPr>
            </w:pPr>
          </w:p>
        </w:tc>
      </w:tr>
      <w:tr>
        <w:trPr>
          <w:trHeight w:val="54"/>
        </w:trPr>
        <w:tc>
          <w:tcPr>
            <w:tcW w:w="542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ended December 31, 2028</w:t>
            </w:r>
          </w:p>
        </w:tc>
        <w:tc>
          <w:tcPr>
            <w:tcW w:w="25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5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tcPr>
          <w:p>
            <w:pPr>
              <w:spacing w:after="0"/>
              <w:rPr>
                <w:sz w:val="23"/>
                <w:szCs w:val="23"/>
                <w:color w:val="auto"/>
              </w:rPr>
            </w:pPr>
          </w:p>
        </w:tc>
      </w:tr>
      <w:tr>
        <w:trPr>
          <w:trHeight w:val="48"/>
        </w:trPr>
        <w:tc>
          <w:tcPr>
            <w:tcW w:w="5420" w:type="dxa"/>
            <w:vAlign w:val="bottom"/>
          </w:tcPr>
          <w:p>
            <w:pPr>
              <w:spacing w:after="0"/>
              <w:rPr>
                <w:sz w:val="4"/>
                <w:szCs w:val="4"/>
                <w:color w:val="auto"/>
              </w:rPr>
            </w:pPr>
          </w:p>
        </w:tc>
        <w:tc>
          <w:tcPr>
            <w:tcW w:w="2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83"/>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2,369</w:t>
            </w:r>
          </w:p>
        </w:tc>
      </w:tr>
      <w:tr>
        <w:trPr>
          <w:trHeight w:val="34"/>
        </w:trPr>
        <w:tc>
          <w:tcPr>
            <w:tcW w:w="5420" w:type="dxa"/>
            <w:vAlign w:val="bottom"/>
            <w:tcBorders>
              <w:top w:val="single" w:sz="8" w:color="CCEEFF"/>
            </w:tcBorders>
            <w:shd w:val="clear" w:color="auto" w:fill="CCEEFF"/>
          </w:tcPr>
          <w:p>
            <w:pPr>
              <w:spacing w:after="0"/>
              <w:rPr>
                <w:sz w:val="2"/>
                <w:szCs w:val="2"/>
                <w:color w:val="auto"/>
              </w:rPr>
            </w:pPr>
          </w:p>
        </w:tc>
        <w:tc>
          <w:tcPr>
            <w:tcW w:w="25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tcBorders>
            <w:shd w:val="clear" w:color="auto" w:fill="CCEEFF"/>
          </w:tcPr>
          <w:p>
            <w:pPr>
              <w:spacing w:after="0"/>
              <w:rPr>
                <w:sz w:val="2"/>
                <w:szCs w:val="2"/>
                <w:color w:val="auto"/>
              </w:rPr>
            </w:pPr>
          </w:p>
        </w:tc>
        <w:tc>
          <w:tcPr>
            <w:tcW w:w="34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r>
    </w:tbl>
    <w:p>
      <w:pPr>
        <w:spacing w:after="0" w:line="194" w:lineRule="exact"/>
        <w:rPr>
          <w:sz w:val="20"/>
          <w:szCs w:val="20"/>
          <w:color w:val="auto"/>
        </w:rPr>
      </w:pPr>
    </w:p>
    <w:p>
      <w:pPr>
        <w:ind w:left="640" w:hanging="348"/>
        <w:spacing w:after="0"/>
        <w:tabs>
          <w:tab w:leader="none" w:pos="64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Current Assets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Prepaid expenses and other current assets as of March 31, 2024 and December 31, 2023 consisted of the following (in thousands):</w:t>
      </w:r>
    </w:p>
    <w:p>
      <w:pPr>
        <w:spacing w:after="0" w:line="200" w:lineRule="exact"/>
        <w:rPr>
          <w:sz w:val="20"/>
          <w:szCs w:val="20"/>
          <w:color w:val="auto"/>
        </w:rPr>
      </w:pPr>
    </w:p>
    <w:p>
      <w:pPr>
        <w:spacing w:after="0" w:line="212"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4"/>
          <w:szCs w:val="14"/>
          <w:b w:val="1"/>
          <w:bCs w:val="1"/>
          <w:color w:val="auto"/>
        </w:rPr>
        <w:t>March 31, 2024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50800</wp:posOffset>
            </wp:positionV>
            <wp:extent cx="5143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50800</wp:posOffset>
            </wp:positionV>
            <wp:extent cx="254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5400" cy="8890"/>
                    </a:xfrm>
                    <a:prstGeom prst="rect">
                      <a:avLst/>
                    </a:prstGeom>
                    <a:noFill/>
                  </pic:spPr>
                </pic:pic>
              </a:graphicData>
            </a:graphic>
          </wp:anchor>
        </w:drawing>
      </w:r>
    </w:p>
    <w:p>
      <w:pPr>
        <w:spacing w:after="0" w:line="40" w:lineRule="exact"/>
        <w:rPr>
          <w:sz w:val="20"/>
          <w:szCs w:val="20"/>
          <w:color w:val="auto"/>
        </w:rPr>
      </w:pPr>
    </w:p>
    <w:tbl>
      <w:tblPr>
        <w:tblLayout w:type="fixed"/>
        <w:tblInd w:w="300" w:type="dxa"/>
        <w:tblCellMar>
          <w:top w:w="0" w:type="dxa"/>
          <w:left w:w="0" w:type="dxa"/>
          <w:bottom w:w="0" w:type="dxa"/>
          <w:right w:w="0" w:type="dxa"/>
        </w:tblCellMar>
      </w:tblPr>
      <w:tr>
        <w:trPr>
          <w:trHeight w:val="331"/>
        </w:trPr>
        <w:tc>
          <w:tcPr>
            <w:tcW w:w="6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400" w:type="dxa"/>
            <w:vAlign w:val="bottom"/>
            <w:tcBorders>
              <w:top w:val="single" w:sz="8" w:color="auto"/>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696</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200" w:type="dxa"/>
            <w:vAlign w:val="bottom"/>
            <w:tcBorders>
              <w:top w:val="single" w:sz="8" w:color="auto"/>
              <w:bottom w:val="single" w:sz="8" w:color="CCEEFF"/>
            </w:tcBorders>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$1,530</w:t>
            </w:r>
          </w:p>
        </w:tc>
      </w:tr>
      <w:tr>
        <w:trPr>
          <w:trHeight w:val="27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Prepaid marketing</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w:t>
            </w:r>
          </w:p>
        </w:tc>
        <w:tc>
          <w:tcPr>
            <w:tcW w:w="360" w:type="dxa"/>
            <w:vAlign w:val="bottom"/>
          </w:tcPr>
          <w:p>
            <w:pPr>
              <w:spacing w:after="0"/>
              <w:rPr>
                <w:sz w:val="23"/>
                <w:szCs w:val="23"/>
                <w:color w:val="auto"/>
              </w:rPr>
            </w:pPr>
          </w:p>
        </w:tc>
      </w:tr>
      <w:tr>
        <w:trPr>
          <w:trHeight w:val="54"/>
        </w:trPr>
        <w:tc>
          <w:tcPr>
            <w:tcW w:w="6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gridSpan w:val="2"/>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r>
      <w:tr>
        <w:trPr>
          <w:trHeight w:val="304"/>
        </w:trPr>
        <w:tc>
          <w:tcPr>
            <w:tcW w:w="6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software</w:t>
            </w: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2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2,406</w:t>
            </w:r>
          </w:p>
        </w:tc>
        <w:tc>
          <w:tcPr>
            <w:tcW w:w="360" w:type="dxa"/>
            <w:vAlign w:val="bottom"/>
            <w:tcBorders>
              <w:bottom w:val="single" w:sz="8" w:color="CCEEFF"/>
            </w:tcBorders>
            <w:shd w:val="clear" w:color="auto" w:fill="CCEEFF"/>
          </w:tcPr>
          <w:p>
            <w:pPr>
              <w:spacing w:after="0"/>
              <w:rPr>
                <w:sz w:val="24"/>
                <w:szCs w:val="24"/>
                <w:color w:val="auto"/>
              </w:rPr>
            </w:pPr>
          </w:p>
        </w:tc>
      </w:tr>
      <w:tr>
        <w:trPr>
          <w:trHeight w:val="25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1,655</w:t>
            </w:r>
          </w:p>
        </w:tc>
        <w:tc>
          <w:tcPr>
            <w:tcW w:w="360" w:type="dxa"/>
            <w:vAlign w:val="bottom"/>
          </w:tcPr>
          <w:p>
            <w:pPr>
              <w:spacing w:after="0"/>
              <w:rPr>
                <w:sz w:val="22"/>
                <w:szCs w:val="22"/>
                <w:color w:val="auto"/>
              </w:rPr>
            </w:pPr>
          </w:p>
        </w:tc>
      </w:tr>
      <w:tr>
        <w:trPr>
          <w:trHeight w:val="61"/>
        </w:trPr>
        <w:tc>
          <w:tcPr>
            <w:tcW w:w="6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360" w:type="dxa"/>
            <w:vAlign w:val="bottom"/>
          </w:tcPr>
          <w:p>
            <w:pPr>
              <w:spacing w:after="0"/>
              <w:rPr>
                <w:sz w:val="5"/>
                <w:szCs w:val="5"/>
                <w:color w:val="auto"/>
              </w:rPr>
            </w:pPr>
          </w:p>
        </w:tc>
      </w:tr>
      <w:tr>
        <w:trPr>
          <w:trHeight w:val="270"/>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6,651</w:t>
            </w:r>
          </w:p>
        </w:tc>
        <w:tc>
          <w:tcPr>
            <w:tcW w:w="80" w:type="dxa"/>
            <w:vAlign w:val="bottom"/>
            <w:shd w:val="clear" w:color="auto" w:fill="CCEEFF"/>
          </w:tcPr>
          <w:p>
            <w:pPr>
              <w:spacing w:after="0"/>
              <w:rPr>
                <w:sz w:val="23"/>
                <w:szCs w:val="23"/>
                <w:color w:val="auto"/>
              </w:rPr>
            </w:pPr>
          </w:p>
        </w:tc>
        <w:tc>
          <w:tcPr>
            <w:tcW w:w="12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5,978</w:t>
            </w:r>
          </w:p>
        </w:tc>
      </w:tr>
      <w:tr>
        <w:trPr>
          <w:trHeight w:val="48"/>
        </w:trPr>
        <w:tc>
          <w:tcPr>
            <w:tcW w:w="6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bl>
    <w:p>
      <w:pPr>
        <w:spacing w:after="0" w:line="9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capitalizes implementation costs incurred in cloud computing arrangements that are service contracts if they meet certain requirements. Those requirements are similar to the requirements for capitalizing implementation costs incurred to develop internal-use software. Amortization is computed using the straight-line method over the term of the associated hosting arrangement. These implementation costs are classified on the balance sheet in prepaid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434" w:gutter="0" w:footer="0" w:header="0"/>
        </w:sectPr>
      </w:pPr>
    </w:p>
    <w:bookmarkStart w:id="160" w:name="page161"/>
    <w:bookmarkEnd w:id="1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5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and other current assets, and the related cash flows are presented as cash outflows from operations. Impairment is recognized and measured when it is no longer probable that the computer software project will be completed and placed in service.</w:t>
      </w:r>
    </w:p>
    <w:p>
      <w:pPr>
        <w:spacing w:after="0" w:line="172" w:lineRule="exact"/>
        <w:rPr>
          <w:sz w:val="20"/>
          <w:szCs w:val="20"/>
          <w:color w:val="auto"/>
        </w:rPr>
      </w:pPr>
    </w:p>
    <w:p>
      <w:pPr>
        <w:ind w:left="640" w:hanging="348"/>
        <w:spacing w:after="0"/>
        <w:tabs>
          <w:tab w:leader="none" w:pos="64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Accrued Expenses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Accounts payable and accrued expenses as of March 31, 2024 and December 31, 2023 consisted of the following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12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1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50"/>
        </w:trPr>
        <w:tc>
          <w:tcPr>
            <w:tcW w:w="60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311"/>
        </w:trPr>
        <w:tc>
          <w:tcPr>
            <w:tcW w:w="6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$ 8,793</w:t>
            </w:r>
          </w:p>
        </w:tc>
        <w:tc>
          <w:tcPr>
            <w:tcW w:w="2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$ 7,323</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r>
      <w:tr>
        <w:trPr>
          <w:trHeight w:val="257"/>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expenses</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7,760</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13,859</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61"/>
        </w:trPr>
        <w:tc>
          <w:tcPr>
            <w:tcW w:w="6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r>
      <w:tr>
        <w:trPr>
          <w:trHeight w:val="270"/>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16,553</w:t>
            </w: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21,182</w:t>
            </w:r>
          </w:p>
        </w:tc>
        <w:tc>
          <w:tcPr>
            <w:tcW w:w="280" w:type="dxa"/>
            <w:vAlign w:val="bottom"/>
            <w:shd w:val="clear" w:color="auto" w:fill="CCEEFF"/>
          </w:tcPr>
          <w:p>
            <w:pPr>
              <w:spacing w:after="0"/>
              <w:rPr>
                <w:sz w:val="23"/>
                <w:szCs w:val="23"/>
                <w:color w:val="auto"/>
              </w:rPr>
            </w:pPr>
          </w:p>
        </w:tc>
      </w:tr>
      <w:tr>
        <w:trPr>
          <w:trHeight w:val="48"/>
        </w:trPr>
        <w:tc>
          <w:tcPr>
            <w:tcW w:w="60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-650875</wp:posOffset>
            </wp:positionV>
            <wp:extent cx="13716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-650875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Accrued employee expenses include accrued bonuses and commission of $2.7 million and $7.4 million as of March 31, 2024 and December 31, 2023 respectively. The decrease in accrued bonuses and commission as of March 31, 2024 compared to December 31, 2023 is primarily due to payment of accrued bonus and commission related to the year ended December 31, 2023.</w:t>
      </w:r>
    </w:p>
    <w:p>
      <w:pPr>
        <w:spacing w:after="0" w:line="176" w:lineRule="exact"/>
        <w:rPr>
          <w:sz w:val="20"/>
          <w:szCs w:val="20"/>
          <w:color w:val="auto"/>
        </w:rPr>
      </w:pPr>
    </w:p>
    <w:p>
      <w:pPr>
        <w:ind w:left="640" w:hanging="348"/>
        <w:spacing w:after="0"/>
        <w:tabs>
          <w:tab w:leader="none" w:pos="64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 Liability</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At March 31, 2024, there were 12,499,973 Public Warrants outstanding and 7,000,000 Private Placement Warrants outstanding.</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86"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may exercise its redemption right even if it is unable to register or qualify the underlying securities for sale under all applicable state securities laws. 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1" w:name="page162"/>
    <w:bookmarkEnd w:id="1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 concluded the Public Warrants and Private Placement Warrants, or the Warrants, meet the definition of a derivative under ASC 815- Derivatives and Hedging (as described in Note 2) and are recorded as liabilities. Upon the Closing, the fair value of the Warrants was recorded on the balance sheet. The fair value of the Warrants is remeasured as of each balance sheet date, which resulted in a non-cash loss of $0.9 million and non-cash gain of $0.7 million on the condensed consolidated statements of operations for the three months ended March 31, 2024 and 2023, respectively. For additional information, see Note 5, “Fair Value Measurements.”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10.  Equity</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1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2" w:name="page163"/>
    <w:bookmarkEnd w:id="1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the Company’s board of directors.</w:t>
      </w:r>
    </w:p>
    <w:p>
      <w:pPr>
        <w:spacing w:after="0" w:line="2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are not entitled to receive any of the Company’s assets.</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2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Issuance and Retirement of Class V Common Stock</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March 31, 2024, there were no shares of preferred stock issued or outstanding.</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noncontrolling interest represents the Units held by holders other than the Company. As of March 31, 2024, the noncontrolling interests owned 38.2% of the Units outstanding. The noncontrolling interests’ ownership percentage can fluctuate over time, including as the WMH LLC equity holders elect to exchange Units for Class A Common Stock. The Company has consolidated the financial position and results of operations of WMH LLC and reflected the proportionate interest held by the WMH LLC Unit equity holders as noncontrolling interests.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WM Holding Company, LLC Equity Incentive Plan</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accounted for the issuance of Class A-3 and Class B Units issued under WM Holding Company, LLC’s Equity Incentive Plan in accordance with ASC 718 - </w:t>
      </w:r>
      <w:r>
        <w:rPr>
          <w:rFonts w:ascii="Times New Roman" w:cs="Times New Roman" w:eastAsia="Times New Roman" w:hAnsi="Times New Roman"/>
          <w:sz w:val="18"/>
          <w:szCs w:val="18"/>
          <w:i w:val="1"/>
          <w:iCs w:val="1"/>
          <w:color w:val="auto"/>
        </w:rPr>
        <w:t>Stock Based Compensation</w:t>
      </w:r>
      <w:r>
        <w:rPr>
          <w:rFonts w:ascii="Times New Roman" w:cs="Times New Roman" w:eastAsia="Times New Roman" w:hAnsi="Times New Roman"/>
          <w:sz w:val="18"/>
          <w:szCs w:val="18"/>
          <w:color w:val="auto"/>
        </w:rPr>
        <w:t>. The Company considers the limitation on the exercisability of the Class A-3 and Class B Units to be a performance condition and records compensation cost when it becomes probable that the performance condition will be met.</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8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3" w:name="page164"/>
    <w:bookmarkEnd w:id="1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summary of the Class P Unit activity for the three months ended March 31, 2024 is as follows:</w:t>
      </w:r>
    </w:p>
    <w:p>
      <w:pPr>
        <w:spacing w:after="0" w:line="200" w:lineRule="exact"/>
        <w:rPr>
          <w:sz w:val="20"/>
          <w:szCs w:val="20"/>
          <w:color w:val="auto"/>
        </w:rPr>
      </w:pPr>
    </w:p>
    <w:p>
      <w:pPr>
        <w:spacing w:after="0" w:line="26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Number of Units</w:t>
            </w:r>
          </w:p>
        </w:tc>
      </w:tr>
      <w:tr>
        <w:trPr>
          <w:trHeight w:val="50"/>
        </w:trPr>
        <w:tc>
          <w:tcPr>
            <w:tcW w:w="73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Class P Units, December 31, 2023</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14,804,507</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Cancellations</w:t>
            </w:r>
          </w:p>
        </w:tc>
        <w:tc>
          <w:tcPr>
            <w:tcW w:w="120" w:type="dxa"/>
            <w:vAlign w:val="bottom"/>
          </w:tcPr>
          <w:p>
            <w:pPr>
              <w:spacing w:after="0"/>
              <w:rPr>
                <w:sz w:val="23"/>
                <w:szCs w:val="23"/>
                <w:color w:val="auto"/>
              </w:rPr>
            </w:pPr>
          </w:p>
        </w:tc>
        <w:tc>
          <w:tcPr>
            <w:tcW w:w="9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7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Exchanged for Class A Common Stock</w:t>
            </w:r>
          </w:p>
        </w:tc>
        <w:tc>
          <w:tcPr>
            <w:tcW w:w="12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(125,000)</w:t>
            </w:r>
          </w:p>
        </w:tc>
      </w:tr>
      <w:tr>
        <w:trPr>
          <w:trHeight w:val="283"/>
        </w:trPr>
        <w:tc>
          <w:tcPr>
            <w:tcW w:w="73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Class P Units, March 31, 2024</w:t>
            </w:r>
          </w:p>
        </w:tc>
        <w:tc>
          <w:tcPr>
            <w:tcW w:w="120" w:type="dxa"/>
            <w:vAlign w:val="bottom"/>
            <w:tcBorders>
              <w:top w:val="single" w:sz="8" w:color="CCEEFF"/>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14,679,507</w:t>
            </w: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48"/>
        </w:trPr>
        <w:tc>
          <w:tcPr>
            <w:tcW w:w="7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84"/>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March 31, 2024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14,619,079</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34"/>
        </w:trPr>
        <w:tc>
          <w:tcPr>
            <w:tcW w:w="7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-1079500</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of March 31, 2024, unrecognized stock-based compensation expense for non-vested Class P Units was $0.2 million, which is expected to be recognized over a weighted-average period of 0.7 years. For the three months ended March 31, 2024 and 2023, the Company recorded stock-based compensation expense for the Class P Units of $0.1 million and $0.3 million, respectively.</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WM Technology, Inc. Equity Incentive Plan</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March 31, 2024, 33,146,412 shares of Class A Common Stock are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As of March 31, 2024, 22,446,927 shares of Class A Common Stock are available for future issuance.</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summary of the restricted stock unit (“RSU”) activity for the three months ended March 31, 2024 is as follows:</w:t>
      </w:r>
    </w:p>
    <w:p>
      <w:pPr>
        <w:spacing w:after="0" w:line="200" w:lineRule="exact"/>
        <w:rPr>
          <w:sz w:val="20"/>
          <w:szCs w:val="20"/>
          <w:color w:val="auto"/>
        </w:rPr>
      </w:pPr>
    </w:p>
    <w:p>
      <w:pPr>
        <w:spacing w:after="0" w:line="24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13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0"/>
        </w:trPr>
        <w:tc>
          <w:tcPr>
            <w:tcW w:w="5940" w:type="dxa"/>
            <w:vAlign w:val="bottom"/>
          </w:tcPr>
          <w:p>
            <w:pPr>
              <w:spacing w:after="0"/>
              <w:rPr>
                <w:sz w:val="16"/>
                <w:szCs w:val="16"/>
                <w:color w:val="auto"/>
              </w:rPr>
            </w:pPr>
          </w:p>
        </w:tc>
        <w:tc>
          <w:tcPr>
            <w:tcW w:w="1360" w:type="dxa"/>
            <w:vAlign w:val="bottom"/>
            <w:gridSpan w:val="5"/>
            <w:vMerge w:val="continue"/>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50"/>
        </w:trPr>
        <w:tc>
          <w:tcPr>
            <w:tcW w:w="59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9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7,683,598</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151,516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54"/>
        </w:trPr>
        <w:tc>
          <w:tcPr>
            <w:tcW w:w="5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0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(629,884)</w:t>
            </w:r>
          </w:p>
        </w:tc>
        <w:tc>
          <w:tcPr>
            <w:tcW w:w="3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0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(710,060)</w:t>
            </w:r>
          </w:p>
        </w:tc>
        <w:tc>
          <w:tcPr>
            <w:tcW w:w="30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48"/>
        </w:trPr>
        <w:tc>
          <w:tcPr>
            <w:tcW w:w="5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March 31, 2024</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6,495,170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34"/>
        </w:trPr>
        <w:tc>
          <w:tcPr>
            <w:tcW w:w="59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-1062355</wp:posOffset>
            </wp:positionV>
            <wp:extent cx="18859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-1062355</wp:posOffset>
            </wp:positionV>
            <wp:extent cx="939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of March 31, 2024, unrecognized stock-based compensation expense for non-vested RSUs was $16.0 million, which is expected to be recognized over a weighted-average period of 1.6 years. For the three months ended March 31, 2024 and 2023, the Company recorded stock-based compensation expense for the RSUs of $2.7 million and $4.0 million, respectively.</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grants performance-based restricted stock units (“PRSUs”) with performance and service-based vesting conditions. The level of achievement of such goals may cause the actual number of units that ultimately vest to range from 0% to 200% of the original units granted. The Company recognizes expense ratably over the vesting period for the PRSUs when it is probable that the performance criteria specified will be achieved. The fair value is equal to the market price of the Company’s common stock on the date of grant.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4" w:name="page165"/>
    <w:bookmarkEnd w:id="164"/>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96"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3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PRSUs</w:t>
            </w:r>
          </w:p>
        </w:tc>
        <w:tc>
          <w:tcPr>
            <w:tcW w:w="11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0"/>
        </w:trPr>
        <w:tc>
          <w:tcPr>
            <w:tcW w:w="5880" w:type="dxa"/>
            <w:vAlign w:val="bottom"/>
          </w:tcPr>
          <w:p>
            <w:pPr>
              <w:spacing w:after="0"/>
              <w:rPr>
                <w:sz w:val="16"/>
                <w:szCs w:val="16"/>
                <w:color w:val="auto"/>
              </w:rPr>
            </w:pPr>
          </w:p>
        </w:tc>
        <w:tc>
          <w:tcPr>
            <w:tcW w:w="1380" w:type="dxa"/>
            <w:vAlign w:val="bottom"/>
            <w:gridSpan w:val="5"/>
            <w:vMerge w:val="continue"/>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51"/>
        </w:trPr>
        <w:tc>
          <w:tcPr>
            <w:tcW w:w="58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8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234,375</w:t>
            </w:r>
          </w:p>
        </w:tc>
        <w:tc>
          <w:tcPr>
            <w:tcW w:w="2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7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80" w:type="dxa"/>
            <w:vAlign w:val="bottom"/>
          </w:tcPr>
          <w:p>
            <w:pPr>
              <w:spacing w:after="0"/>
              <w:rPr>
                <w:sz w:val="23"/>
                <w:szCs w:val="23"/>
                <w:color w:val="auto"/>
              </w:rPr>
            </w:pPr>
          </w:p>
        </w:tc>
        <w:tc>
          <w:tcPr>
            <w:tcW w:w="110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8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2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4"/>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80" w:type="dxa"/>
            <w:vAlign w:val="bottom"/>
          </w:tcPr>
          <w:p>
            <w:pPr>
              <w:spacing w:after="0"/>
              <w:rPr>
                <w:sz w:val="22"/>
                <w:szCs w:val="22"/>
                <w:color w:val="auto"/>
              </w:rPr>
            </w:pPr>
          </w:p>
        </w:tc>
        <w:tc>
          <w:tcPr>
            <w:tcW w:w="110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1"/>
        </w:trPr>
        <w:tc>
          <w:tcPr>
            <w:tcW w:w="58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March 31, 2024</w:t>
            </w: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234,375</w:t>
            </w: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48"/>
        </w:trPr>
        <w:tc>
          <w:tcPr>
            <w:tcW w:w="58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5286375</wp:posOffset>
            </wp:positionH>
            <wp:positionV relativeFrom="paragraph">
              <wp:posOffset>-1062355</wp:posOffset>
            </wp:positionV>
            <wp:extent cx="15430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4480560</wp:posOffset>
            </wp:positionH>
            <wp:positionV relativeFrom="paragraph">
              <wp:posOffset>-1062355</wp:posOffset>
            </wp:positionV>
            <wp:extent cx="7747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The performance period for PRSUs ended at December 31, 2023 and the estimated attainment is 25.0%. For the three months ended March 31, 2024 and 2023, the Company recorded stock-based compensation expense for the PRSUs of $0.0 million and $0.1 million, respectively.</w:t>
      </w:r>
    </w:p>
    <w:p>
      <w:pPr>
        <w:spacing w:after="0" w:line="68" w:lineRule="exact"/>
        <w:rPr>
          <w:sz w:val="20"/>
          <w:szCs w:val="20"/>
          <w:color w:val="auto"/>
        </w:rPr>
      </w:pPr>
    </w:p>
    <w:p>
      <w:pPr>
        <w:jc w:val="both"/>
        <w:ind w:left="1300" w:right="1320"/>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cost related to the RSUs, PRSUs, and Class P Units in the following expense categories on the accompanying condensed consolidated statements of operations (in thousands):</w:t>
      </w:r>
    </w:p>
    <w:p>
      <w:pPr>
        <w:spacing w:after="0" w:line="115"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212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50"/>
        </w:trPr>
        <w:tc>
          <w:tcPr>
            <w:tcW w:w="63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227"/>
        </w:trPr>
        <w:tc>
          <w:tcPr>
            <w:tcW w:w="6300" w:type="dxa"/>
            <w:vAlign w:val="bottom"/>
          </w:tcPr>
          <w:p>
            <w:pPr>
              <w:spacing w:after="0"/>
              <w:rPr>
                <w:sz w:val="19"/>
                <w:szCs w:val="19"/>
                <w:color w:val="auto"/>
              </w:rPr>
            </w:pPr>
          </w:p>
        </w:tc>
        <w:tc>
          <w:tcPr>
            <w:tcW w:w="72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50"/>
        </w:trPr>
        <w:tc>
          <w:tcPr>
            <w:tcW w:w="6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311"/>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$ 380</w:t>
            </w:r>
          </w:p>
        </w:tc>
        <w:tc>
          <w:tcPr>
            <w:tcW w:w="2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897</w:t>
            </w:r>
          </w:p>
        </w:tc>
        <w:tc>
          <w:tcPr>
            <w:tcW w:w="220" w:type="dxa"/>
            <w:vAlign w:val="bottom"/>
            <w:tcBorders>
              <w:bottom w:val="single" w:sz="8" w:color="CCEEFF"/>
            </w:tcBorders>
            <w:shd w:val="clear" w:color="auto" w:fill="CCEEFF"/>
          </w:tcPr>
          <w:p>
            <w:pPr>
              <w:spacing w:after="0"/>
              <w:rPr>
                <w:sz w:val="24"/>
                <w:szCs w:val="24"/>
                <w:color w:val="auto"/>
              </w:rPr>
            </w:pP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1,168</w:t>
            </w:r>
          </w:p>
        </w:tc>
        <w:tc>
          <w:tcPr>
            <w:tcW w:w="220" w:type="dxa"/>
            <w:vAlign w:val="bottom"/>
          </w:tcPr>
          <w:p>
            <w:pPr>
              <w:spacing w:after="0"/>
              <w:rPr>
                <w:sz w:val="23"/>
                <w:szCs w:val="23"/>
                <w:color w:val="auto"/>
              </w:rPr>
            </w:pPr>
          </w:p>
        </w:tc>
      </w:tr>
      <w:tr>
        <w:trPr>
          <w:trHeight w:val="54"/>
        </w:trPr>
        <w:tc>
          <w:tcPr>
            <w:tcW w:w="6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7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2,318</w:t>
            </w:r>
          </w:p>
        </w:tc>
        <w:tc>
          <w:tcPr>
            <w:tcW w:w="220" w:type="dxa"/>
            <w:vAlign w:val="bottom"/>
            <w:shd w:val="clear" w:color="auto" w:fill="CCEEFF"/>
          </w:tcPr>
          <w:p>
            <w:pPr>
              <w:spacing w:after="0"/>
              <w:rPr>
                <w:sz w:val="23"/>
                <w:szCs w:val="23"/>
                <w:color w:val="auto"/>
              </w:rPr>
            </w:pPr>
          </w:p>
        </w:tc>
      </w:tr>
      <w:tr>
        <w:trPr>
          <w:trHeight w:val="48"/>
        </w:trPr>
        <w:tc>
          <w:tcPr>
            <w:tcW w:w="63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83"/>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4,383</w:t>
            </w:r>
          </w:p>
        </w:tc>
        <w:tc>
          <w:tcPr>
            <w:tcW w:w="220" w:type="dxa"/>
            <w:vAlign w:val="bottom"/>
          </w:tcPr>
          <w:p>
            <w:pPr>
              <w:spacing w:after="0"/>
              <w:rPr>
                <w:sz w:val="24"/>
                <w:szCs w:val="24"/>
                <w:color w:val="auto"/>
              </w:rPr>
            </w:pPr>
          </w:p>
        </w:tc>
      </w:tr>
      <w:tr>
        <w:trPr>
          <w:trHeight w:val="54"/>
        </w:trPr>
        <w:tc>
          <w:tcPr>
            <w:tcW w:w="63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7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capitalized to software development</w:t>
            </w:r>
          </w:p>
        </w:tc>
        <w:tc>
          <w:tcPr>
            <w:tcW w:w="22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298</w:t>
            </w:r>
          </w:p>
        </w:tc>
        <w:tc>
          <w:tcPr>
            <w:tcW w:w="220" w:type="dxa"/>
            <w:vAlign w:val="bottom"/>
            <w:shd w:val="clear" w:color="auto" w:fill="CCEEFF"/>
          </w:tcPr>
          <w:p>
            <w:pPr>
              <w:spacing w:after="0"/>
              <w:rPr>
                <w:sz w:val="23"/>
                <w:szCs w:val="23"/>
                <w:color w:val="auto"/>
              </w:rPr>
            </w:pPr>
          </w:p>
        </w:tc>
      </w:tr>
      <w:tr>
        <w:trPr>
          <w:trHeight w:val="48"/>
        </w:trPr>
        <w:tc>
          <w:tcPr>
            <w:tcW w:w="63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83"/>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cost</w:t>
            </w:r>
          </w:p>
        </w:tc>
        <w:tc>
          <w:tcPr>
            <w:tcW w:w="22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3,175</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4,681</w:t>
            </w:r>
          </w:p>
        </w:tc>
        <w:tc>
          <w:tcPr>
            <w:tcW w:w="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5432425</wp:posOffset>
            </wp:positionH>
            <wp:positionV relativeFrom="paragraph">
              <wp:posOffset>-1259840</wp:posOffset>
            </wp:positionV>
            <wp:extent cx="13716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-1259840</wp:posOffset>
            </wp:positionV>
            <wp:extent cx="7683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21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12.  Earnings Per Share</w:t>
      </w:r>
    </w:p>
    <w:p>
      <w:pPr>
        <w:spacing w:after="0" w:line="121" w:lineRule="exact"/>
        <w:rPr>
          <w:sz w:val="20"/>
          <w:szCs w:val="20"/>
          <w:color w:val="auto"/>
        </w:rPr>
      </w:pPr>
    </w:p>
    <w:p>
      <w:pPr>
        <w:jc w:val="both"/>
        <w:ind w:left="1300" w:right="1300"/>
        <w:spacing w:after="0" w:line="254" w:lineRule="auto"/>
        <w:rPr>
          <w:sz w:val="20"/>
          <w:szCs w:val="20"/>
          <w:color w:val="auto"/>
        </w:rPr>
      </w:pPr>
      <w:r>
        <w:rPr>
          <w:rFonts w:ascii="Times New Roman" w:cs="Times New Roman" w:eastAsia="Times New Roman" w:hAnsi="Times New Roman"/>
          <w:sz w:val="18"/>
          <w:szCs w:val="18"/>
          <w:color w:val="auto"/>
        </w:rPr>
        <w:t>Basic income (loss) per share of Class A Common Stock is computed by dividing net earnings (loss) attributable to WM Technology, Inc. by the weighted-average number of shares of Class A Common Stock outstanding during the period. Diluted income (loss) per share of Class A Common Stock adjusts basic net income (loss) per share of Class A Common Stock for the potentially dilutive impact of securities. For warrants that are liability-classified, during periods when the impact is 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spacing w:after="0" w:line="84" w:lineRule="exact"/>
        <w:rPr>
          <w:sz w:val="20"/>
          <w:szCs w:val="20"/>
          <w:color w:val="auto"/>
        </w:rPr>
      </w:pPr>
    </w:p>
    <w:p>
      <w:pPr>
        <w:jc w:val="both"/>
        <w:ind w:left="1300" w:right="1320"/>
        <w:spacing w:after="0" w:line="266" w:lineRule="auto"/>
        <w:rPr>
          <w:sz w:val="20"/>
          <w:szCs w:val="20"/>
          <w:color w:val="auto"/>
        </w:rPr>
      </w:pPr>
      <w:r>
        <w:rPr>
          <w:rFonts w:ascii="Times New Roman" w:cs="Times New Roman" w:eastAsia="Times New Roman" w:hAnsi="Times New Roman"/>
          <w:sz w:val="18"/>
          <w:szCs w:val="18"/>
          <w:color w:val="auto"/>
        </w:rPr>
        <w:t>The computation of income (loss) per share attributable to WM Technology, Inc. and weighted-average shares of the Company’s Class A Common Stock outstanding are as follows for the three months ended March 31, 2024 and 2023 (amounts in thousands, except for share and per share amounts):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2140" w:type="dxa"/>
            <w:vAlign w:val="bottom"/>
            <w:gridSpan w:val="8"/>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00" w:type="dxa"/>
            <w:vAlign w:val="bottom"/>
          </w:tcPr>
          <w:p>
            <w:pPr>
              <w:spacing w:after="0"/>
              <w:rPr>
                <w:sz w:val="16"/>
                <w:szCs w:val="16"/>
                <w:color w:val="auto"/>
              </w:rPr>
            </w:pPr>
          </w:p>
        </w:tc>
      </w:tr>
      <w:tr>
        <w:trPr>
          <w:trHeight w:val="50"/>
        </w:trPr>
        <w:tc>
          <w:tcPr>
            <w:tcW w:w="1300" w:type="dxa"/>
            <w:vAlign w:val="bottom"/>
          </w:tcPr>
          <w:p>
            <w:pPr>
              <w:spacing w:after="0"/>
              <w:rPr>
                <w:sz w:val="4"/>
                <w:szCs w:val="4"/>
                <w:color w:val="auto"/>
              </w:rPr>
            </w:pPr>
          </w:p>
        </w:tc>
        <w:tc>
          <w:tcPr>
            <w:tcW w:w="62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7"/>
        </w:trPr>
        <w:tc>
          <w:tcPr>
            <w:tcW w:w="130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6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0"/>
        </w:trPr>
        <w:tc>
          <w:tcPr>
            <w:tcW w:w="1300" w:type="dxa"/>
            <w:vAlign w:val="bottom"/>
          </w:tcPr>
          <w:p>
            <w:pPr>
              <w:spacing w:after="0"/>
              <w:rPr>
                <w:sz w:val="4"/>
                <w:szCs w:val="4"/>
                <w:color w:val="auto"/>
              </w:rPr>
            </w:pPr>
          </w:p>
        </w:tc>
        <w:tc>
          <w:tcPr>
            <w:tcW w:w="62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6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$1,959</w:t>
            </w:r>
          </w:p>
        </w:tc>
        <w:tc>
          <w:tcPr>
            <w:tcW w:w="460" w:type="dxa"/>
            <w:vAlign w:val="bottom"/>
          </w:tcPr>
          <w:p>
            <w:pPr>
              <w:spacing w:after="0"/>
              <w:rPr>
                <w:sz w:val="23"/>
                <w:szCs w:val="23"/>
                <w:color w:val="auto"/>
              </w:rPr>
            </w:pPr>
          </w:p>
        </w:tc>
        <w:tc>
          <w:tcPr>
            <w:tcW w:w="8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$(3,969)</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2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65"/>
        </w:trPr>
        <w:tc>
          <w:tcPr>
            <w:tcW w:w="1300" w:type="dxa"/>
            <w:vAlign w:val="bottom"/>
          </w:tcPr>
          <w:p>
            <w:pPr>
              <w:spacing w:after="0"/>
              <w:rPr>
                <w:sz w:val="23"/>
                <w:szCs w:val="23"/>
                <w:color w:val="auto"/>
              </w:rPr>
            </w:pPr>
          </w:p>
        </w:tc>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WM Technology, Inc. Class A Common</w:t>
            </w: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34"/>
        </w:trPr>
        <w:tc>
          <w:tcPr>
            <w:tcW w:w="1300" w:type="dxa"/>
            <w:vAlign w:val="bottom"/>
          </w:tcPr>
          <w:p>
            <w:pPr>
              <w:spacing w:after="0"/>
              <w:rPr>
                <w:sz w:val="20"/>
                <w:szCs w:val="20"/>
                <w:color w:val="auto"/>
              </w:rPr>
            </w:pPr>
          </w:p>
        </w:tc>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 basic and diluted</w:t>
            </w: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$1,240</w:t>
            </w:r>
          </w:p>
        </w:tc>
        <w:tc>
          <w:tcPr>
            <w:tcW w:w="460" w:type="dxa"/>
            <w:vAlign w:val="bottom"/>
          </w:tcPr>
          <w:p>
            <w:pPr>
              <w:spacing w:after="0"/>
              <w:rPr>
                <w:sz w:val="20"/>
                <w:szCs w:val="20"/>
                <w:color w:val="auto"/>
              </w:rPr>
            </w:pPr>
          </w:p>
        </w:tc>
        <w:tc>
          <w:tcPr>
            <w:tcW w:w="8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$(2,475)</w:t>
            </w:r>
          </w:p>
        </w:tc>
        <w:tc>
          <w:tcPr>
            <w:tcW w:w="1300" w:type="dxa"/>
            <w:vAlign w:val="bottom"/>
          </w:tcPr>
          <w:p>
            <w:pPr>
              <w:spacing w:after="0"/>
              <w:rPr>
                <w:sz w:val="20"/>
                <w:szCs w:val="20"/>
                <w:color w:val="auto"/>
              </w:rPr>
            </w:pPr>
          </w:p>
        </w:tc>
      </w:tr>
      <w:tr>
        <w:trPr>
          <w:trHeight w:val="54"/>
        </w:trPr>
        <w:tc>
          <w:tcPr>
            <w:tcW w:w="1300" w:type="dxa"/>
            <w:vAlign w:val="bottom"/>
          </w:tcPr>
          <w:p>
            <w:pPr>
              <w:spacing w:after="0"/>
              <w:rPr>
                <w:sz w:val="4"/>
                <w:szCs w:val="4"/>
                <w:color w:val="auto"/>
              </w:rPr>
            </w:pPr>
          </w:p>
        </w:tc>
        <w:tc>
          <w:tcPr>
            <w:tcW w:w="6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dilutive securities:</w:t>
            </w:r>
          </w:p>
        </w:tc>
        <w:tc>
          <w:tcPr>
            <w:tcW w:w="1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2"/>
        </w:trPr>
        <w:tc>
          <w:tcPr>
            <w:tcW w:w="1300" w:type="dxa"/>
            <w:vAlign w:val="bottom"/>
          </w:tcPr>
          <w:p>
            <w:pPr>
              <w:spacing w:after="0"/>
              <w:rPr>
                <w:sz w:val="21"/>
                <w:szCs w:val="21"/>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Less: fair value change of Public and Private Placement Warrants, net of</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21"/>
        </w:trPr>
        <w:tc>
          <w:tcPr>
            <w:tcW w:w="1300" w:type="dxa"/>
            <w:vAlign w:val="bottom"/>
          </w:tcPr>
          <w:p>
            <w:pPr>
              <w:spacing w:after="0"/>
              <w:rPr>
                <w:sz w:val="19"/>
                <w:szCs w:val="19"/>
                <w:color w:val="auto"/>
              </w:rPr>
            </w:pPr>
          </w:p>
        </w:tc>
        <w:tc>
          <w:tcPr>
            <w:tcW w:w="6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attributable to noncontrolling interests</w:t>
            </w:r>
          </w:p>
        </w:tc>
        <w:tc>
          <w:tcPr>
            <w:tcW w:w="160" w:type="dxa"/>
            <w:vAlign w:val="bottom"/>
          </w:tcPr>
          <w:p>
            <w:pPr>
              <w:spacing w:after="0"/>
              <w:rPr>
                <w:sz w:val="19"/>
                <w:szCs w:val="19"/>
                <w:color w:val="auto"/>
              </w:rPr>
            </w:pPr>
          </w:p>
        </w:tc>
        <w:tc>
          <w:tcPr>
            <w:tcW w:w="11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9"/>
                <w:szCs w:val="19"/>
                <w:color w:val="auto"/>
              </w:rPr>
            </w:pPr>
          </w:p>
        </w:tc>
      </w:tr>
      <w:tr>
        <w:trPr>
          <w:trHeight w:val="61"/>
        </w:trPr>
        <w:tc>
          <w:tcPr>
            <w:tcW w:w="1300" w:type="dxa"/>
            <w:vAlign w:val="bottom"/>
          </w:tcPr>
          <w:p>
            <w:pPr>
              <w:spacing w:after="0"/>
              <w:rPr>
                <w:sz w:val="5"/>
                <w:szCs w:val="5"/>
                <w:color w:val="auto"/>
              </w:rPr>
            </w:pPr>
          </w:p>
        </w:tc>
        <w:tc>
          <w:tcPr>
            <w:tcW w:w="6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65"/>
        </w:trPr>
        <w:tc>
          <w:tcPr>
            <w:tcW w:w="1300" w:type="dxa"/>
            <w:vAlign w:val="bottom"/>
          </w:tcPr>
          <w:p>
            <w:pPr>
              <w:spacing w:after="0"/>
              <w:rPr>
                <w:sz w:val="23"/>
                <w:szCs w:val="23"/>
                <w:color w:val="auto"/>
              </w:rPr>
            </w:pPr>
          </w:p>
        </w:tc>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WM Technology, Inc. Class A Common</w:t>
            </w: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268"/>
        </w:trPr>
        <w:tc>
          <w:tcPr>
            <w:tcW w:w="1300" w:type="dxa"/>
            <w:vAlign w:val="bottom"/>
          </w:tcPr>
          <w:p>
            <w:pPr>
              <w:spacing w:after="0"/>
              <w:rPr>
                <w:sz w:val="23"/>
                <w:szCs w:val="23"/>
                <w:color w:val="auto"/>
              </w:rPr>
            </w:pPr>
          </w:p>
        </w:tc>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 diluted</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1,240</w:t>
            </w:r>
          </w:p>
        </w:tc>
        <w:tc>
          <w:tcPr>
            <w:tcW w:w="460" w:type="dxa"/>
            <w:vAlign w:val="bottom"/>
            <w:shd w:val="clear" w:color="auto" w:fill="CCEEFF"/>
          </w:tcPr>
          <w:p>
            <w:pPr>
              <w:spacing w:after="0"/>
              <w:rPr>
                <w:sz w:val="23"/>
                <w:szCs w:val="23"/>
                <w:color w:val="auto"/>
              </w:rPr>
            </w:pPr>
          </w:p>
        </w:tc>
        <w:tc>
          <w:tcPr>
            <w:tcW w:w="8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(2,475)</w:t>
            </w:r>
          </w:p>
        </w:tc>
        <w:tc>
          <w:tcPr>
            <w:tcW w:w="1300" w:type="dxa"/>
            <w:vAlign w:val="bottom"/>
          </w:tcPr>
          <w:p>
            <w:pPr>
              <w:spacing w:after="0"/>
              <w:rPr>
                <w:sz w:val="23"/>
                <w:szCs w:val="23"/>
                <w:color w:val="auto"/>
              </w:rPr>
            </w:pPr>
          </w:p>
        </w:tc>
      </w:tr>
      <w:tr>
        <w:trPr>
          <w:trHeight w:val="432"/>
        </w:trPr>
        <w:tc>
          <w:tcPr>
            <w:tcW w:w="1300" w:type="dxa"/>
            <w:vAlign w:val="bottom"/>
          </w:tcPr>
          <w:p>
            <w:pPr>
              <w:spacing w:after="0"/>
              <w:rPr>
                <w:sz w:val="24"/>
                <w:szCs w:val="24"/>
                <w:color w:val="auto"/>
              </w:rPr>
            </w:pPr>
          </w:p>
        </w:tc>
        <w:tc>
          <w:tcPr>
            <w:tcW w:w="6280" w:type="dxa"/>
            <w:vAlign w:val="bottom"/>
            <w:tcBorders>
              <w:top w:val="single" w:sz="8" w:color="CCEEFF"/>
            </w:tcBorders>
          </w:tcPr>
          <w:p>
            <w:pPr>
              <w:ind w:left="4040"/>
              <w:spacing w:after="0"/>
              <w:rPr>
                <w:sz w:val="20"/>
                <w:szCs w:val="20"/>
                <w:color w:val="auto"/>
              </w:rPr>
            </w:pPr>
            <w:r>
              <w:rPr>
                <w:rFonts w:ascii="Times New Roman" w:cs="Times New Roman" w:eastAsia="Times New Roman" w:hAnsi="Times New Roman"/>
                <w:sz w:val="18"/>
                <w:szCs w:val="18"/>
                <w:color w:val="auto"/>
              </w:rPr>
              <w:t>F-25</w:t>
            </w:r>
          </w:p>
        </w:tc>
        <w:tc>
          <w:tcPr>
            <w:tcW w:w="16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6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5337810</wp:posOffset>
            </wp:positionH>
            <wp:positionV relativeFrom="paragraph">
              <wp:posOffset>-2305050</wp:posOffset>
            </wp:positionV>
            <wp:extent cx="28257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4669155</wp:posOffset>
            </wp:positionH>
            <wp:positionV relativeFrom="paragraph">
              <wp:posOffset>-2305050</wp:posOffset>
            </wp:positionV>
            <wp:extent cx="14605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ectPr>
          <w:pgSz w:w="11900" w:h="16838" w:orient="portrait"/>
          <w:cols w:equalWidth="0" w:num="1">
            <w:col w:w="11020"/>
          </w:cols>
          <w:pgMar w:left="440" w:top="263" w:right="439" w:bottom="1440" w:gutter="0" w:footer="0" w:header="0"/>
        </w:sectPr>
      </w:pPr>
    </w:p>
    <w:bookmarkStart w:id="165" w:name="page166"/>
    <w:bookmarkEnd w:id="1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5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263"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40" w:type="dxa"/>
            <w:vAlign w:val="bottom"/>
            <w:gridSpan w:val="8"/>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50"/>
        </w:trPr>
        <w:tc>
          <w:tcPr>
            <w:tcW w:w="6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7"/>
        </w:trPr>
        <w:tc>
          <w:tcPr>
            <w:tcW w:w="6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9"/>
                <w:szCs w:val="19"/>
                <w:color w:val="auto"/>
              </w:rPr>
            </w:pPr>
          </w:p>
        </w:tc>
      </w:tr>
      <w:tr>
        <w:trPr>
          <w:trHeight w:val="50"/>
        </w:trPr>
        <w:tc>
          <w:tcPr>
            <w:tcW w:w="61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6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of shares of Class A Common Stock outstanding - basic</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94,704,164</w:t>
            </w:r>
          </w:p>
        </w:tc>
        <w:tc>
          <w:tcPr>
            <w:tcW w:w="20" w:type="dxa"/>
            <w:vAlign w:val="bottom"/>
          </w:tcPr>
          <w:p>
            <w:pPr>
              <w:spacing w:after="0"/>
              <w:rPr>
                <w:sz w:val="23"/>
                <w:szCs w:val="23"/>
                <w:color w:val="auto"/>
              </w:rPr>
            </w:pPr>
          </w:p>
        </w:tc>
        <w:tc>
          <w:tcPr>
            <w:tcW w:w="1280" w:type="dxa"/>
            <w:vAlign w:val="bottom"/>
            <w:gridSpan w:val="4"/>
          </w:tcPr>
          <w:p>
            <w:pPr>
              <w:jc w:val="center"/>
              <w:ind w:left="390"/>
              <w:spacing w:after="0"/>
              <w:rPr>
                <w:sz w:val="20"/>
                <w:szCs w:val="20"/>
                <w:color w:val="auto"/>
              </w:rPr>
            </w:pPr>
            <w:r>
              <w:rPr>
                <w:rFonts w:ascii="Times New Roman" w:cs="Times New Roman" w:eastAsia="Times New Roman" w:hAnsi="Times New Roman"/>
                <w:sz w:val="18"/>
                <w:szCs w:val="18"/>
                <w:color w:val="auto"/>
                <w:w w:val="98"/>
              </w:rPr>
              <w:t>92,323,757</w:t>
            </w:r>
          </w:p>
        </w:tc>
        <w:tc>
          <w:tcPr>
            <w:tcW w:w="80" w:type="dxa"/>
            <w:vAlign w:val="bottom"/>
          </w:tcPr>
          <w:p>
            <w:pPr>
              <w:spacing w:after="0"/>
              <w:rPr>
                <w:sz w:val="23"/>
                <w:szCs w:val="23"/>
                <w:color w:val="auto"/>
              </w:rPr>
            </w:pPr>
          </w:p>
        </w:tc>
      </w:tr>
      <w:tr>
        <w:trPr>
          <w:trHeight w:val="54"/>
        </w:trPr>
        <w:tc>
          <w:tcPr>
            <w:tcW w:w="61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6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effect of dilutive securities:</w:t>
            </w: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364"/>
        </w:trPr>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Public warrants</w:t>
            </w:r>
            <w:r>
              <w:rPr>
                <w:rFonts w:ascii="Times New Roman" w:cs="Times New Roman" w:eastAsia="Times New Roman" w:hAnsi="Times New Roman"/>
                <w:sz w:val="29"/>
                <w:szCs w:val="29"/>
                <w:color w:val="auto"/>
                <w:vertAlign w:val="superscript"/>
              </w:rPr>
              <w:t>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365"/>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warrants</w:t>
            </w:r>
            <w:r>
              <w:rPr>
                <w:rFonts w:ascii="Times New Roman" w:cs="Times New Roman" w:eastAsia="Times New Roman" w:hAnsi="Times New Roman"/>
                <w:sz w:val="29"/>
                <w:szCs w:val="29"/>
                <w:color w:val="auto"/>
                <w:vertAlign w:val="superscript"/>
              </w:rPr>
              <w:t>1</w:t>
            </w: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310"/>
        </w:trPr>
        <w:tc>
          <w:tcPr>
            <w:tcW w:w="6140" w:type="dxa"/>
            <w:vAlign w:val="bottom"/>
          </w:tcPr>
          <w:p>
            <w:pPr>
              <w:ind w:left="180"/>
              <w:spacing w:after="0" w:line="310" w:lineRule="exact"/>
              <w:rPr>
                <w:sz w:val="20"/>
                <w:szCs w:val="20"/>
                <w:color w:val="auto"/>
              </w:rPr>
            </w:pPr>
            <w:r>
              <w:rPr>
                <w:rFonts w:ascii="Times New Roman" w:cs="Times New Roman" w:eastAsia="Times New Roman" w:hAnsi="Times New Roman"/>
                <w:sz w:val="18"/>
                <w:szCs w:val="18"/>
                <w:color w:val="auto"/>
              </w:rPr>
              <w:t>Restricted stock units</w:t>
            </w:r>
            <w:r>
              <w:rPr>
                <w:rFonts w:ascii="Times New Roman" w:cs="Times New Roman" w:eastAsia="Times New Roman" w:hAnsi="Times New Roman"/>
                <w:sz w:val="29"/>
                <w:szCs w:val="29"/>
                <w:color w:val="auto"/>
                <w:vertAlign w:val="superscript"/>
              </w:rPr>
              <w:t>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1,319,188</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48"/>
        </w:trPr>
        <w:tc>
          <w:tcPr>
            <w:tcW w:w="61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84"/>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of shares of Class A Common Stock outstanding - diluted</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96,023,352</w:t>
            </w:r>
          </w:p>
        </w:tc>
        <w:tc>
          <w:tcPr>
            <w:tcW w:w="20" w:type="dxa"/>
            <w:vAlign w:val="bottom"/>
            <w:shd w:val="clear" w:color="auto" w:fill="CCEEFF"/>
          </w:tcPr>
          <w:p>
            <w:pPr>
              <w:spacing w:after="0"/>
              <w:rPr>
                <w:sz w:val="24"/>
                <w:szCs w:val="24"/>
                <w:color w:val="auto"/>
              </w:rPr>
            </w:pPr>
          </w:p>
        </w:tc>
        <w:tc>
          <w:tcPr>
            <w:tcW w:w="1280" w:type="dxa"/>
            <w:vAlign w:val="bottom"/>
            <w:gridSpan w:val="4"/>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92,323,757</w:t>
            </w:r>
          </w:p>
        </w:tc>
        <w:tc>
          <w:tcPr>
            <w:tcW w:w="80" w:type="dxa"/>
            <w:vAlign w:val="bottom"/>
            <w:shd w:val="clear" w:color="auto" w:fill="CCEEFF"/>
          </w:tcPr>
          <w:p>
            <w:pPr>
              <w:spacing w:after="0"/>
              <w:rPr>
                <w:sz w:val="24"/>
                <w:szCs w:val="24"/>
                <w:color w:val="auto"/>
              </w:rPr>
            </w:pPr>
          </w:p>
        </w:tc>
      </w:tr>
      <w:tr>
        <w:trPr>
          <w:trHeight w:val="48"/>
        </w:trPr>
        <w:tc>
          <w:tcPr>
            <w:tcW w:w="6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7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8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of Class A Common Stock - basic</w:t>
            </w: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Pr>
          <w:p>
            <w:pPr>
              <w:spacing w:after="0"/>
              <w:rPr>
                <w:sz w:val="24"/>
                <w:szCs w:val="24"/>
                <w:color w:val="auto"/>
              </w:rPr>
            </w:pPr>
          </w:p>
        </w:tc>
        <w:tc>
          <w:tcPr>
            <w:tcW w:w="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48"/>
        </w:trPr>
        <w:tc>
          <w:tcPr>
            <w:tcW w:w="61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r>
      <w:tr>
        <w:trPr>
          <w:trHeight w:val="283"/>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of Class A Common Stock - diluted</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shd w:val="clear" w:color="auto" w:fill="CCEEFF"/>
          </w:tcPr>
          <w:p>
            <w:pPr>
              <w:spacing w:after="0"/>
              <w:rPr>
                <w:sz w:val="24"/>
                <w:szCs w:val="24"/>
                <w:color w:val="auto"/>
              </w:rPr>
            </w:pPr>
          </w:p>
        </w:tc>
        <w:tc>
          <w:tcPr>
            <w:tcW w:w="6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34"/>
        </w:trPr>
        <w:tc>
          <w:tcPr>
            <w:tcW w:w="6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74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00" w:type="dxa"/>
            <w:vAlign w:val="bottom"/>
            <w:tcBorders>
              <w:top w:val="single" w:sz="8" w:color="auto"/>
            </w:tcBorders>
            <w:shd w:val="clear" w:color="auto" w:fill="CCEEFF"/>
          </w:tcPr>
          <w:p>
            <w:pPr>
              <w:spacing w:after="0"/>
              <w:rPr>
                <w:sz w:val="2"/>
                <w:szCs w:val="2"/>
                <w:color w:val="auto"/>
              </w:rPr>
            </w:pPr>
          </w:p>
        </w:tc>
        <w:tc>
          <w:tcPr>
            <w:tcW w:w="66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-1997075</wp:posOffset>
            </wp:positionV>
            <wp:extent cx="27432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-1997075</wp:posOffset>
            </wp:positionV>
            <wp:extent cx="13716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using the treasury stock method.</w:t>
      </w:r>
    </w:p>
    <w:p>
      <w:pPr>
        <w:spacing w:after="0" w:line="10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 However, shares of the Class V Common Stock outstanding for the period are considered potentially dilutive shares of Class A common stock under application of the if-converted method and are included in the computation of diluted earnings (loss) per share, except when the effect would be anti-dilutive.</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securities from its computation of diluted shares outstanding for the periods presented, as their effect would have been anti-dilutive:</w:t>
      </w: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50"/>
        </w:trPr>
        <w:tc>
          <w:tcPr>
            <w:tcW w:w="630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27"/>
        </w:trPr>
        <w:tc>
          <w:tcPr>
            <w:tcW w:w="630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9"/>
                <w:szCs w:val="19"/>
                <w:color w:val="auto"/>
              </w:rPr>
            </w:pPr>
          </w:p>
        </w:tc>
        <w:tc>
          <w:tcPr>
            <w:tcW w:w="94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50"/>
        </w:trPr>
        <w:tc>
          <w:tcPr>
            <w:tcW w:w="63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311"/>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V Units</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55,486,361</w:t>
            </w: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55,486,361</w:t>
            </w: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Class P Units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14,679,507</w:t>
            </w: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15,024,862</w:t>
            </w:r>
          </w:p>
        </w:tc>
      </w:tr>
      <w:tr>
        <w:trPr>
          <w:trHeight w:val="54"/>
        </w:trPr>
        <w:tc>
          <w:tcPr>
            <w:tcW w:w="6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304"/>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6,495,170</w:t>
            </w: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5,909,464</w:t>
            </w: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PRSUs</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859,375</w:t>
            </w:r>
          </w:p>
        </w:tc>
      </w:tr>
      <w:tr>
        <w:trPr>
          <w:trHeight w:val="54"/>
        </w:trPr>
        <w:tc>
          <w:tcPr>
            <w:tcW w:w="6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304"/>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12,499,973</w:t>
            </w: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12,499,973</w:t>
            </w: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7,000,000</w:t>
            </w:r>
          </w:p>
        </w:tc>
      </w:tr>
      <w:tr>
        <w:trPr>
          <w:trHeight w:val="54"/>
        </w:trPr>
        <w:tc>
          <w:tcPr>
            <w:tcW w:w="6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27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holdback shares</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677,847</w:t>
            </w:r>
          </w:p>
        </w:tc>
      </w:tr>
      <w:tr>
        <w:trPr>
          <w:trHeight w:val="54"/>
        </w:trPr>
        <w:tc>
          <w:tcPr>
            <w:tcW w:w="630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-1456690</wp:posOffset>
            </wp:positionV>
            <wp:extent cx="13716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-1456690</wp:posOffset>
            </wp:positionV>
            <wp:extent cx="7683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During the second quarter of 2022, the Company entered into a sublease agreement with an affiliate of the Executive Chair. The sublease commenced on June 1, 2022, and the term is for the remainder of the original lease and will expire on February 28, 2025, or sooner in the event that the original lease is cancelled prior to the expiration date. The monthly base rent, after the rent abatement period for the first four months, is $69,000. As of March 31, 2024 and December 31, 2023, rent receivable was $0.8 million and $0.7 million, respectively, and these amounts are included in prepaid expenses and other current assets on the accompanying condensed balance sheets. Rent receivable of $0.7 million was subsequently collected in April 2024. For the three months ended March 31, 2024 and 2023, income on the sublease with related party were $0.2 million. The income on sublease is netted with rent expense and included in general and administrative expenses on the consolidated statements of operations.</w:t>
      </w:r>
    </w:p>
    <w:p>
      <w:pPr>
        <w:spacing w:after="0" w:line="80"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the Company paid $1.1 million in certain transaction costs reimbursable by Silver Spike’s sponsor (“Silver Spike Sponsor”), an affiliate to a member of the board of directors. On March 16, 2023, Silver Spike Holdings, an affiliate of Silver Spike Sponsor, entered into a promissory note with the Company and agreed to pay the principal amount of $1.1 million in 12 equal quarterly installments commencing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6" w:name="page167"/>
    <w:bookmarkEnd w:id="1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300" w:right="3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WM TECHNOLOGY, INC. AND SUBSIDIARIES NOTES TO CONDENSED CONSOLIDATED FINANCIAL STATEMENTS </w:t>
      </w:r>
      <w:r>
        <w:rPr>
          <w:rFonts w:ascii="Times New Roman" w:cs="Times New Roman" w:eastAsia="Times New Roman" w:hAnsi="Times New Roman"/>
          <w:sz w:val="18"/>
          <w:szCs w:val="18"/>
          <w:color w:val="auto"/>
        </w:rPr>
        <w:t>(Unaudited)</w:t>
      </w:r>
    </w:p>
    <w:p>
      <w:pPr>
        <w:spacing w:after="0" w:line="10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on March 31, 2023. The promissory note bears interest at a rate of 5% per annum commencing on March 31, 2023. In an event of default, the outstanding principal amount shall bear interest for the entire period during which the principal balance is unpaid at a rate which is equal to 10% per annum.</w:t>
      </w:r>
    </w:p>
    <w:p>
      <w:pPr>
        <w:spacing w:after="0" w:line="68"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As of March 31, 2024, the remaining balance of the promissory note receivable was $0.6 million of which $0.3 million was included in prepaid expenses and other current assets and $0.3 million was included in other assets on the consolidated balance sheets. As of December 31, 2023, the remaining balance of the promissory note receivable was $0.7 million of which, $0.4 million was included in prepaid expenses and other current assets and $0.3 million was included in other assets on the consolidated balance sheets. During the three months ended March 31, 2024, interest income on the promissory note was less than $0.1 million, which is included in other income (expense), net on the condensed consolidated statements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7" w:name="page168"/>
    <w:bookmarkEnd w:id="1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WM Technology, Inc.</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WM Technology, Inc. (the “Company”) as of December 31, 2023, the related consolidated statements of operations, equity and cash flows for the year ended December 31, 2023, and the related notes (collectively referred to as the “consolidated financial statements”).</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our opinion, the consolidated financial statements present fairly, in all material respects, the consolidated financial position of the Company as of December 31, 2023, and the consolidated results of its operations and its cash flows for the year ended December 31, 2023, in conformity with accounting principles generally accepted in the United States of America.</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May 24, 2024 expressed an adverse opinion on the Company’s internal control over financial reporting due to material weaknesses.</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Restatement of Financial Statements</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certain quarterly financial statements for the quarters ended March 31, 2023, June 30, 2023, and September 30, 2023 have been restated to correct a misstatement.</w:t>
      </w:r>
    </w:p>
    <w:p>
      <w:pPr>
        <w:spacing w:after="0" w:line="2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 a reasonable basis for our opinion.</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w:t>
      </w:r>
    </w:p>
    <w:p>
      <w:pPr>
        <w:jc w:val="both"/>
        <w:ind w:left="300" w:right="299" w:hanging="8"/>
        <w:spacing w:after="0" w:line="253" w:lineRule="auto"/>
        <w:tabs>
          <w:tab w:leader="none" w:pos="56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a separate opinion on the critical audit matters or on the accounts or disclosures to which they relate.</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Allowance for Credit Losses on Accounts Receivable</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the Company maintains an allowance for credit losses that management believes to be sufficient to absorb estimated losses in the accounts receivable portfolio. As of December 31, 2023, the allowance for credit losses was $8.7 million. We identified the Company’s assessment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8" w:name="page169"/>
    <w:bookmarkEnd w:id="1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expected credit losses on its trade accounts receivable, as a critical audit matter. The determination of the allowance for credit losses involves significant judgment by management in assessing the likelihood of collection of a customer’s accounts receivable including assessment of various factors such as communications from the customer, historical collections, and the number of days accounts receivables have been outstanding. Auditing the significant assumptions and judgements used by management involved a high degree of auditor judgment and increased extent of effort when performing audit procedures and evaluating the results of those procedures. Additionally, as described in the “Basis for Opinions” section, a material weakness was identified in relation to this matter.</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17" w:lineRule="exact"/>
        <w:rPr>
          <w:sz w:val="20"/>
          <w:szCs w:val="20"/>
          <w:color w:val="auto"/>
        </w:rPr>
      </w:pPr>
    </w:p>
    <w:p>
      <w:pPr>
        <w:ind w:left="1000" w:right="299" w:hanging="348"/>
        <w:spacing w:after="0" w:line="282" w:lineRule="auto"/>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 understanding of management's processes and assumptions for developing the allowance for credit losses.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methods and significant assumptions used by management including:</w:t>
      </w:r>
    </w:p>
    <w:p>
      <w:pPr>
        <w:sectPr>
          <w:pgSz w:w="11900" w:h="16838" w:orient="portrait"/>
          <w:cols w:equalWidth="0" w:num="1">
            <w:col w:w="9019"/>
          </w:cols>
          <w:pgMar w:left="1440" w:top="263" w:right="1440" w:bottom="1440" w:gutter="0" w:footer="0" w:header="0"/>
        </w:sectPr>
      </w:pP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both"/>
        <w:ind w:right="319"/>
        <w:spacing w:after="0" w:line="266" w:lineRule="auto"/>
        <w:rPr>
          <w:sz w:val="20"/>
          <w:szCs w:val="20"/>
          <w:color w:val="auto"/>
        </w:rPr>
      </w:pPr>
      <w:r>
        <w:rPr>
          <w:rFonts w:ascii="Times New Roman" w:cs="Times New Roman" w:eastAsia="Times New Roman" w:hAnsi="Times New Roman"/>
          <w:sz w:val="18"/>
          <w:szCs w:val="18"/>
          <w:color w:val="auto"/>
        </w:rPr>
        <w:t>For customers that share similar risk characteristics, we evaluated the underlying assumptions in the determination of the allowance for credit losses including the historical credit loss rates and their application to a provisional matrix based on days outstanding;</w:t>
      </w:r>
    </w:p>
    <w:p>
      <w:pPr>
        <w:spacing w:after="0" w:line="68" w:lineRule="exact"/>
        <w:rPr>
          <w:sz w:val="20"/>
          <w:szCs w:val="20"/>
          <w:color w:val="auto"/>
        </w:rPr>
      </w:pPr>
    </w:p>
    <w:p>
      <w:pPr>
        <w:jc w:val="both"/>
        <w:ind w:right="319"/>
        <w:spacing w:after="0" w:line="258" w:lineRule="auto"/>
        <w:rPr>
          <w:sz w:val="20"/>
          <w:szCs w:val="20"/>
          <w:color w:val="auto"/>
        </w:rPr>
      </w:pPr>
      <w:r>
        <w:rPr>
          <w:rFonts w:ascii="Times New Roman" w:cs="Times New Roman" w:eastAsia="Times New Roman" w:hAnsi="Times New Roman"/>
          <w:sz w:val="18"/>
          <w:szCs w:val="18"/>
          <w:color w:val="auto"/>
        </w:rPr>
        <w:t>For customers that lack similar risk characteristics, we evaluated the rationale for establishing a specific customer allowance for credit losses and assessed the reasonable of management’s estimate of the specific customer allowance by evaluating historical credit loss rates for these specific customers, historical and current collection trends, and the number of days accounts receivables have been outstanding.</w:t>
      </w:r>
    </w:p>
    <w:p>
      <w:pPr>
        <w:spacing w:after="0" w:line="75" w:lineRule="exact"/>
        <w:rPr>
          <w:sz w:val="20"/>
          <w:szCs w:val="20"/>
          <w:color w:val="auto"/>
        </w:rPr>
      </w:pPr>
    </w:p>
    <w:p>
      <w:pPr>
        <w:sectPr>
          <w:pgSz w:w="11900" w:h="16838" w:orient="portrait"/>
          <w:cols w:equalWidth="0" w:num="2">
            <w:col w:w="1080" w:space="280"/>
            <w:col w:w="7659"/>
          </w:cols>
          <w:pgMar w:left="1440" w:top="263" w:right="1440" w:bottom="1440" w:gutter="0" w:footer="0" w:header="0"/>
          <w:type w:val="continuous"/>
        </w:sectPr>
      </w:pPr>
    </w:p>
    <w:p>
      <w:pPr>
        <w:ind w:left="1000" w:right="319" w:hanging="348"/>
        <w:spacing w:after="0" w:line="282"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and accuracy of the underlying data and evaluating the relevance and reliability of the sources of the data used by management.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subsequent collections and write-offs occurring after the balance sheet date for select customers and considering the impact of potential subsequent events on the estimate of the specific customer allowance.</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the Company has a certain subset of customers for whom management determined it was no longer probable that the Company will collect the consideration to which it will be entitled resulting in revenue not being recognized until the contract is completed and payment is received in accordance with ASC 606. The Company refers to customers in this situation as customers that have been placed on “cash basis”. We identified the Company’s evaluation of when a customer is placed on “cash basis” as a critical audit matter because of the significant judgment required by management in both making that determination as well as the timing of such determination. Management’s evaluation is based on the best information available to the Company and takes into consideration industry-specific circumstances, current discussions with the customers, as well as historical and current collection trends. This, in turn, led to a high degree of auditor judgment, subjectivity, and effort in performing procedures and evaluating audit evidence related to the Company’s “cash basis” determination. Additionally, as described in the “Basis for Opinions” section, a material weakness was identified in relation to this matter.</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117" w:lineRule="exact"/>
        <w:rPr>
          <w:sz w:val="20"/>
          <w:szCs w:val="20"/>
          <w:color w:val="auto"/>
        </w:rPr>
      </w:pPr>
    </w:p>
    <w:p>
      <w:pPr>
        <w:jc w:val="both"/>
        <w:ind w:left="1000" w:right="319" w:hanging="348"/>
        <w:spacing w:after="0" w:line="266"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 understanding of management’s process for evaluating whether it is probable the Company will collect the consideration to which it will be entitled for purposes of determining whether a contract exists under ASC 606.</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judgments made by management in determining whether to place a customer on a “cash basis” because it was no longer probable that the Company will collect the consideration to which it will be entitled.</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reasonableness of the date at which management determined that it was no longer probable that the Company would collect the consideration to which it will be entitled. This included evaluating management’s assertions regarding collectability of outstanding accounts receivable for these customers.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69" w:name="page170"/>
    <w:bookmarkEnd w:id="1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whether the population of customers placed on a “cash basis” was complete as of December 31, 2023. This included comparing actual cash collections and write-offs to the assumptions made as of the determination date in order to evaluate the reasonableness of management’s estimate.</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and accuracy of the underlying data used in management’s analysis.</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Moss Adams LLP</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May 24, 2024</w:t>
      </w:r>
    </w:p>
    <w:p>
      <w:pPr>
        <w:spacing w:after="0" w:line="1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0" w:name="page171"/>
    <w:bookmarkEnd w:id="1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To the stockholders and board of directors of WM Technology, Inc.:</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jc w:val="both"/>
        <w:ind w:left="300" w:right="319"/>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WM Technology, Inc. (the “Company”) as of December 31, 2022, the related consolidated statements of operations, changes in stockholders’ equity and cash flows for the years ended December 31, 2022 and 2021, and the related notes (collectively referred to as the “consolidated financial statements”). In our opinion, the consolidated financial statements present fairly, in all material respects, the financial position of the Company as of December 31, 2022, and the results of its operations and its cash flows for years ended December 31, 2022 and 2021, in conformity with accounting principles generally accepted in the United States of America.</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Emphasis of Matter Related to the Company’s Operations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 is an organization that provides online directory services to legalized cannabis companies. As discussed in Note 2, the Company operates in an industry where laws and regulations vary significantly by jurisdiction. Currently, several states permit medicinal or recreational use of cannabis; however, the use of cannabis is prohibited on a federal level in the United States. If any of the states that permit use of cannabis were to change their laws or the federal government was to actively enforce such prohibition, the Company’s business could be adversely affected.</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Baker Tilly US, LLP</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served as the Company's auditor from 2014 to 2023.</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March 16, 2023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1" w:name="page172"/>
    <w:bookmarkEnd w:id="171"/>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3060" w:type="dxa"/>
            <w:vAlign w:val="bottom"/>
            <w:gridSpan w:val="8"/>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50"/>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7"/>
        </w:trPr>
        <w:tc>
          <w:tcPr>
            <w:tcW w:w="130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0"/>
        </w:trPr>
        <w:tc>
          <w:tcPr>
            <w:tcW w:w="1300" w:type="dxa"/>
            <w:vAlign w:val="bottom"/>
          </w:tcPr>
          <w:p>
            <w:pPr>
              <w:spacing w:after="0"/>
              <w:rPr>
                <w:sz w:val="4"/>
                <w:szCs w:val="4"/>
                <w:color w:val="auto"/>
              </w:rPr>
            </w:pPr>
          </w:p>
        </w:tc>
        <w:tc>
          <w:tcPr>
            <w:tcW w:w="666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$ 34,350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$ 28,583</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11,158</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17,438</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7"/>
        </w:trPr>
        <w:tc>
          <w:tcPr>
            <w:tcW w:w="1300" w:type="dxa"/>
            <w:vAlign w:val="bottom"/>
          </w:tcPr>
          <w:p>
            <w:pPr>
              <w:spacing w:after="0"/>
              <w:rPr>
                <w:sz w:val="22"/>
                <w:szCs w:val="22"/>
                <w:color w:val="auto"/>
              </w:rPr>
            </w:pPr>
          </w:p>
        </w:tc>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8,962</w:t>
            </w:r>
          </w:p>
        </w:tc>
        <w:tc>
          <w:tcPr>
            <w:tcW w:w="80" w:type="dxa"/>
            <w:vAlign w:val="bottom"/>
            <w:tcBorders>
              <w:right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6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83"/>
        </w:trPr>
        <w:tc>
          <w:tcPr>
            <w:tcW w:w="1300" w:type="dxa"/>
            <w:vAlign w:val="bottom"/>
          </w:tcPr>
          <w:p>
            <w:pPr>
              <w:spacing w:after="0"/>
              <w:rPr>
                <w:sz w:val="24"/>
                <w:szCs w:val="24"/>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51,486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54,983</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24,255</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24,928</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68,368</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68,368</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10,339</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15,629</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31,447</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7"/>
        </w:trPr>
        <w:tc>
          <w:tcPr>
            <w:tcW w:w="1300" w:type="dxa"/>
            <w:vAlign w:val="bottom"/>
          </w:tcPr>
          <w:p>
            <w:pPr>
              <w:spacing w:after="0"/>
              <w:rPr>
                <w:sz w:val="22"/>
                <w:szCs w:val="22"/>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w:t>
            </w: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80" w:type="dxa"/>
            <w:vAlign w:val="bottom"/>
            <w:tcBorders>
              <w:right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6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167,021</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199,035</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66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18"/>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$ 21,182</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$ 33,635</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6,493</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receivable agreement liability, current</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40" w:type="dxa"/>
            <w:vAlign w:val="bottom"/>
            <w:gridSpan w:val="3"/>
          </w:tcPr>
          <w:p>
            <w:pPr>
              <w:jc w:val="right"/>
              <w:ind w:right="13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7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Borders>
              <w:right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6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83"/>
        </w:trPr>
        <w:tc>
          <w:tcPr>
            <w:tcW w:w="1300" w:type="dxa"/>
            <w:vAlign w:val="bottom"/>
          </w:tcPr>
          <w:p>
            <w:pPr>
              <w:spacing w:after="0"/>
              <w:rPr>
                <w:sz w:val="24"/>
                <w:szCs w:val="24"/>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33,715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46,323</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33,043</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Tax receivable agreement liability, non-current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7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585</w:t>
            </w: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7"/>
        </w:trPr>
        <w:tc>
          <w:tcPr>
            <w:tcW w:w="1300" w:type="dxa"/>
            <w:vAlign w:val="bottom"/>
          </w:tcPr>
          <w:p>
            <w:pPr>
              <w:spacing w:after="0"/>
              <w:rPr>
                <w:sz w:val="22"/>
                <w:szCs w:val="22"/>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6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18"/>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84,258</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2"/>
        </w:trPr>
        <w:tc>
          <w:tcPr>
            <w:tcW w:w="1300" w:type="dxa"/>
            <w:vAlign w:val="bottom"/>
          </w:tcPr>
          <w:p>
            <w:pPr>
              <w:spacing w:after="0"/>
              <w:rPr>
                <w:sz w:val="21"/>
                <w:szCs w:val="21"/>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 $0.0001 par value; 75,000,000 shares authorized; no shares issued</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34"/>
        </w:trPr>
        <w:tc>
          <w:tcPr>
            <w:tcW w:w="1300" w:type="dxa"/>
            <w:vAlign w:val="bottom"/>
          </w:tcPr>
          <w:p>
            <w:pPr>
              <w:spacing w:after="0"/>
              <w:rPr>
                <w:sz w:val="20"/>
                <w:szCs w:val="20"/>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outstanding at December 31, 2023 and December 31, 2022</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040" w:type="dxa"/>
            <w:vAlign w:val="bottom"/>
            <w:gridSpan w:val="3"/>
          </w:tcPr>
          <w:p>
            <w:pPr>
              <w:jc w:val="right"/>
              <w:ind w:right="13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2"/>
        </w:trPr>
        <w:tc>
          <w:tcPr>
            <w:tcW w:w="1300" w:type="dxa"/>
            <w:vAlign w:val="bottom"/>
          </w:tcPr>
          <w:p>
            <w:pPr>
              <w:spacing w:after="0"/>
              <w:rPr>
                <w:sz w:val="21"/>
                <w:szCs w:val="21"/>
                <w:color w:val="auto"/>
              </w:rPr>
            </w:pPr>
          </w:p>
        </w:tc>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 - $0.0001 par value; 1,500,000,000 shares authorized;</w:t>
            </w:r>
          </w:p>
        </w:tc>
        <w:tc>
          <w:tcPr>
            <w:tcW w:w="6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tcBorders>
              <w:right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16"/>
        </w:trPr>
        <w:tc>
          <w:tcPr>
            <w:tcW w:w="1300" w:type="dxa"/>
            <w:vAlign w:val="bottom"/>
          </w:tcPr>
          <w:p>
            <w:pPr>
              <w:spacing w:after="0"/>
              <w:rPr>
                <w:sz w:val="18"/>
                <w:szCs w:val="18"/>
                <w:color w:val="auto"/>
              </w:rPr>
            </w:pPr>
          </w:p>
        </w:tc>
        <w:tc>
          <w:tcPr>
            <w:tcW w:w="6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94,383,053 shares issued and outstanding at December 31, 2023 and 92,062,468</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68"/>
        </w:trPr>
        <w:tc>
          <w:tcPr>
            <w:tcW w:w="1300" w:type="dxa"/>
            <w:vAlign w:val="bottom"/>
          </w:tcPr>
          <w:p>
            <w:pPr>
              <w:spacing w:after="0"/>
              <w:rPr>
                <w:sz w:val="23"/>
                <w:szCs w:val="23"/>
                <w:color w:val="auto"/>
              </w:rPr>
            </w:pPr>
          </w:p>
        </w:tc>
        <w:tc>
          <w:tcPr>
            <w:tcW w:w="6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issued and outstanding at December 31, 2022</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right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252"/>
        </w:trPr>
        <w:tc>
          <w:tcPr>
            <w:tcW w:w="1300" w:type="dxa"/>
            <w:vAlign w:val="bottom"/>
          </w:tcPr>
          <w:p>
            <w:pPr>
              <w:spacing w:after="0"/>
              <w:rPr>
                <w:sz w:val="21"/>
                <w:szCs w:val="21"/>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V Common Stock - $0.0001 par value; 500,000,000 shares authorized,</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6"/>
        </w:trPr>
        <w:tc>
          <w:tcPr>
            <w:tcW w:w="1300" w:type="dxa"/>
            <w:vAlign w:val="bottom"/>
          </w:tcPr>
          <w:p>
            <w:pPr>
              <w:spacing w:after="0"/>
              <w:rPr>
                <w:sz w:val="18"/>
                <w:szCs w:val="18"/>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55,486,361 shares issued and outstanding at December 31, 2023 and December 31,</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796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2022</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4"/>
        </w:trPr>
        <w:tc>
          <w:tcPr>
            <w:tcW w:w="1300" w:type="dxa"/>
            <w:vAlign w:val="bottom"/>
          </w:tcPr>
          <w:p>
            <w:pPr>
              <w:spacing w:after="0"/>
              <w:rPr>
                <w:sz w:val="4"/>
                <w:szCs w:val="4"/>
                <w:color w:val="auto"/>
              </w:rPr>
            </w:pPr>
          </w:p>
        </w:tc>
        <w:tc>
          <w:tcPr>
            <w:tcW w:w="6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80,884</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67,986</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(64,518)</w:t>
            </w:r>
          </w:p>
        </w:tc>
        <w:tc>
          <w:tcPr>
            <w:tcW w:w="20" w:type="dxa"/>
            <w:vAlign w:val="bottom"/>
          </w:tcPr>
          <w:p>
            <w:pPr>
              <w:spacing w:after="0"/>
              <w:rPr>
                <w:sz w:val="22"/>
                <w:szCs w:val="22"/>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(54,620)</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6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318"/>
        </w:trPr>
        <w:tc>
          <w:tcPr>
            <w:tcW w:w="1300" w:type="dxa"/>
            <w:vAlign w:val="bottom"/>
          </w:tcPr>
          <w:p>
            <w:pPr>
              <w:spacing w:after="0"/>
              <w:rPr>
                <w:sz w:val="24"/>
                <w:szCs w:val="24"/>
                <w:color w:val="auto"/>
              </w:rPr>
            </w:pPr>
          </w:p>
        </w:tc>
        <w:tc>
          <w:tcPr>
            <w:tcW w:w="6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WM Technology, Inc. stockholders’ equity</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13,380</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86,771</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101,397</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6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103,151</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114,777</w:t>
            </w:r>
          </w:p>
        </w:tc>
        <w:tc>
          <w:tcPr>
            <w:tcW w:w="80" w:type="dxa"/>
            <w:vAlign w:val="bottom"/>
            <w:tcBorders>
              <w:right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66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6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167,021</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199,035</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0"/>
        </w:trPr>
        <w:tc>
          <w:tcPr>
            <w:tcW w:w="130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79"/>
        </w:trPr>
        <w:tc>
          <w:tcPr>
            <w:tcW w:w="1300" w:type="dxa"/>
            <w:vAlign w:val="bottom"/>
          </w:tcPr>
          <w:p>
            <w:pPr>
              <w:spacing w:after="0"/>
              <w:rPr>
                <w:sz w:val="24"/>
                <w:szCs w:val="24"/>
                <w:color w:val="auto"/>
              </w:rPr>
            </w:pPr>
          </w:p>
        </w:tc>
        <w:tc>
          <w:tcPr>
            <w:tcW w:w="7400" w:type="dxa"/>
            <w:vAlign w:val="bottom"/>
            <w:gridSpan w:val="5"/>
          </w:tcPr>
          <w:p>
            <w:pPr>
              <w:ind w:left="10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666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F-32</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66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5526405</wp:posOffset>
            </wp:positionH>
            <wp:positionV relativeFrom="paragraph">
              <wp:posOffset>-8923020</wp:posOffset>
            </wp:positionV>
            <wp:extent cx="17145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4969510</wp:posOffset>
            </wp:positionH>
            <wp:positionV relativeFrom="paragraph">
              <wp:posOffset>-8923020</wp:posOffset>
            </wp:positionV>
            <wp:extent cx="8572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020"/>
          </w:cols>
          <w:pgMar w:left="440" w:top="114" w:right="439" w:bottom="393" w:gutter="0" w:footer="0" w:header="0"/>
        </w:sectPr>
      </w:pPr>
    </w:p>
    <w:bookmarkStart w:id="172" w:name="page173"/>
    <w:bookmarkEnd w:id="1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1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20" w:type="dxa"/>
            <w:vAlign w:val="bottom"/>
            <w:gridSpan w:val="8"/>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0"/>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7"/>
        </w:trPr>
        <w:tc>
          <w:tcPr>
            <w:tcW w:w="4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0"/>
        </w:trPr>
        <w:tc>
          <w:tcPr>
            <w:tcW w:w="456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187,993</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215,531</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193,146</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2"/>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revenues (exclusive of depreciation and</w:t>
            </w: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68"/>
        </w:trPr>
        <w:tc>
          <w:tcPr>
            <w:tcW w:w="4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shown separately below)</w:t>
            </w:r>
          </w:p>
        </w:tc>
        <w:tc>
          <w:tcPr>
            <w:tcW w:w="3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12,527</w:t>
            </w:r>
          </w:p>
        </w:tc>
        <w:tc>
          <w:tcPr>
            <w:tcW w:w="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15,407</w:t>
            </w: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7,938</w:t>
            </w: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47,073</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82,624</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56,119</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development</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36,001</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50,520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35,395</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74,313</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120,787</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95,075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11,498</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7"/>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61"/>
        </w:trPr>
        <w:tc>
          <w:tcPr>
            <w:tcW w:w="4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4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206,450</w:t>
            </w: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285,153</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201,324</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61"/>
        </w:trPr>
        <w:tc>
          <w:tcPr>
            <w:tcW w:w="45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8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(18,457)</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(69,622)</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(8,178)</w:t>
            </w:r>
          </w:p>
        </w:tc>
        <w:tc>
          <w:tcPr>
            <w:tcW w:w="20" w:type="dxa"/>
            <w:vAlign w:val="bottom"/>
          </w:tcPr>
          <w:p>
            <w:pPr>
              <w:spacing w:after="0"/>
              <w:rPr>
                <w:sz w:val="24"/>
                <w:szCs w:val="24"/>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(expenses), net</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25,370</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166,518</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(1,256)</w:t>
            </w: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142,352</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(6,723)</w:t>
            </w:r>
          </w:p>
        </w:tc>
        <w:tc>
          <w:tcPr>
            <w:tcW w:w="20" w:type="dxa"/>
            <w:vAlign w:val="bottom"/>
          </w:tcPr>
          <w:p>
            <w:pPr>
              <w:spacing w:after="0"/>
              <w:rPr>
                <w:sz w:val="22"/>
                <w:szCs w:val="22"/>
                <w:color w:val="auto"/>
              </w:rPr>
            </w:pPr>
          </w:p>
        </w:tc>
      </w:tr>
      <w:tr>
        <w:trPr>
          <w:trHeight w:val="61"/>
        </w:trPr>
        <w:tc>
          <w:tcPr>
            <w:tcW w:w="4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4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(15,634)</w:t>
            </w: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96,426</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151,617</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179,077</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0" w:type="dxa"/>
            <w:vAlign w:val="bottom"/>
          </w:tcPr>
          <w:p>
            <w:pPr>
              <w:spacing w:after="0"/>
              <w:rPr>
                <w:sz w:val="22"/>
                <w:szCs w:val="22"/>
                <w:color w:val="auto"/>
              </w:rPr>
            </w:pPr>
          </w:p>
        </w:tc>
      </w:tr>
      <w:tr>
        <w:trPr>
          <w:trHeight w:val="61"/>
        </w:trPr>
        <w:tc>
          <w:tcPr>
            <w:tcW w:w="4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(15,727)</w:t>
            </w: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(82,651)</w:t>
            </w: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152,218</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7"/>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3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(5,829)</w:t>
            </w:r>
          </w:p>
        </w:tc>
        <w:tc>
          <w:tcPr>
            <w:tcW w:w="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33,338</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91,835</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61"/>
        </w:trPr>
        <w:tc>
          <w:tcPr>
            <w:tcW w:w="4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WM Technology, Inc.</w:t>
            </w: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(9,898)</w:t>
            </w:r>
          </w:p>
        </w:tc>
        <w:tc>
          <w:tcPr>
            <w:tcW w:w="3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(115,989)</w:t>
            </w: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60,383</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61"/>
        </w:trPr>
        <w:tc>
          <w:tcPr>
            <w:tcW w:w="456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70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338"/>
        </w:trPr>
        <w:tc>
          <w:tcPr>
            <w:tcW w:w="4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income (loss) per share</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3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income (loss) per share</w:t>
            </w:r>
          </w:p>
        </w:tc>
        <w:tc>
          <w:tcPr>
            <w:tcW w:w="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0" w:type="dxa"/>
            <w:vAlign w:val="bottom"/>
            <w:tcBorders>
              <w:bottom w:val="single" w:sz="8" w:color="CCEEFF"/>
            </w:tcBorders>
            <w:shd w:val="clear" w:color="auto" w:fill="CCEEFF"/>
          </w:tcPr>
          <w:p>
            <w:pPr>
              <w:spacing w:after="0"/>
              <w:rPr>
                <w:sz w:val="24"/>
                <w:szCs w:val="24"/>
                <w:color w:val="auto"/>
              </w:rPr>
            </w:pPr>
          </w:p>
        </w:tc>
      </w:tr>
      <w:tr>
        <w:trPr>
          <w:trHeight w:val="324"/>
        </w:trPr>
        <w:tc>
          <w:tcPr>
            <w:tcW w:w="4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12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93,244,911</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85,027,120</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65,013,517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12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93,244,911</w:t>
            </w: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85,027,120</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66,813,417</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54"/>
        </w:trPr>
        <w:tc>
          <w:tcPr>
            <w:tcW w:w="456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4711700</wp:posOffset>
            </wp:positionH>
            <wp:positionV relativeFrom="paragraph">
              <wp:posOffset>-5811520</wp:posOffset>
            </wp:positionV>
            <wp:extent cx="20574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-5811520</wp:posOffset>
            </wp:positionV>
            <wp:extent cx="20574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-5811520</wp:posOffset>
            </wp:positionV>
            <wp:extent cx="10287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gridSpan w:val="6"/>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2"/>
                <w:szCs w:val="12"/>
                <w:color w:val="auto"/>
              </w:rPr>
            </w:pPr>
          </w:p>
        </w:tc>
        <w:tc>
          <w:tcPr>
            <w:tcW w:w="1360" w:type="dxa"/>
            <w:vAlign w:val="bottom"/>
            <w:gridSpan w:val="7"/>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40" w:type="dxa"/>
            <w:vAlign w:val="bottom"/>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Total WM</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4"/>
          </w:tcPr>
          <w:p>
            <w:pPr>
              <w:jc w:val="right"/>
              <w:ind w:right="24"/>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5"/>
          </w:tcPr>
          <w:p>
            <w:pPr>
              <w:jc w:val="right"/>
              <w:ind w:right="73"/>
              <w:spacing w:after="0"/>
              <w:rPr>
                <w:sz w:val="20"/>
                <w:szCs w:val="20"/>
                <w:color w:val="auto"/>
              </w:rPr>
            </w:pPr>
            <w:r>
              <w:rPr>
                <w:rFonts w:ascii="Times New Roman" w:cs="Times New Roman" w:eastAsia="Times New Roman" w:hAnsi="Times New Roman"/>
                <w:sz w:val="13"/>
                <w:szCs w:val="13"/>
                <w:b w:val="1"/>
                <w:bCs w:val="1"/>
                <w:color w:val="auto"/>
              </w:rPr>
              <w:t>Class V</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40" w:type="dxa"/>
            <w:vAlign w:val="bottom"/>
          </w:tcPr>
          <w:p>
            <w:pPr>
              <w:spacing w:after="0"/>
              <w:rPr>
                <w:sz w:val="12"/>
                <w:szCs w:val="12"/>
                <w:color w:val="auto"/>
              </w:rPr>
            </w:pPr>
          </w:p>
        </w:tc>
        <w:tc>
          <w:tcPr>
            <w:tcW w:w="800" w:type="dxa"/>
            <w:vAlign w:val="bottom"/>
            <w:gridSpan w:val="5"/>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40" w:type="dxa"/>
            <w:vAlign w:val="bottom"/>
            <w:gridSpan w:val="6"/>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Technology, Inc.</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4"/>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Non-</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174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680" w:type="dxa"/>
            <w:vAlign w:val="bottom"/>
            <w:gridSpan w:val="4"/>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vMerge w:val="restart"/>
          </w:tcPr>
          <w:p>
            <w:pPr>
              <w:spacing w:after="0"/>
              <w:rPr>
                <w:sz w:val="7"/>
                <w:szCs w:val="7"/>
                <w:color w:val="auto"/>
              </w:rPr>
            </w:pPr>
          </w:p>
        </w:tc>
        <w:tc>
          <w:tcPr>
            <w:tcW w:w="800" w:type="dxa"/>
            <w:vAlign w:val="bottom"/>
            <w:gridSpan w:val="5"/>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4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76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700" w:type="dxa"/>
            <w:vAlign w:val="bottom"/>
            <w:gridSpan w:val="6"/>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Members’</w:t>
            </w: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680" w:type="dxa"/>
            <w:vAlign w:val="bottom"/>
            <w:gridSpan w:val="4"/>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800" w:type="dxa"/>
            <w:vAlign w:val="bottom"/>
            <w:gridSpan w:val="5"/>
            <w:vMerge w:val="continue"/>
          </w:tcPr>
          <w:p>
            <w:pPr>
              <w:spacing w:after="0"/>
              <w:rPr>
                <w:sz w:val="3"/>
                <w:szCs w:val="3"/>
                <w:color w:val="auto"/>
              </w:rPr>
            </w:pPr>
          </w:p>
        </w:tc>
        <w:tc>
          <w:tcPr>
            <w:tcW w:w="1040" w:type="dxa"/>
            <w:vAlign w:val="bottom"/>
            <w:gridSpan w:val="6"/>
            <w:vMerge w:val="continue"/>
          </w:tcPr>
          <w:p>
            <w:pPr>
              <w:spacing w:after="0"/>
              <w:rPr>
                <w:sz w:val="3"/>
                <w:szCs w:val="3"/>
                <w:color w:val="auto"/>
              </w:rPr>
            </w:pPr>
          </w:p>
        </w:tc>
        <w:tc>
          <w:tcPr>
            <w:tcW w:w="760" w:type="dxa"/>
            <w:vAlign w:val="bottom"/>
            <w:gridSpan w:val="6"/>
            <w:vMerge w:val="continue"/>
          </w:tcPr>
          <w:p>
            <w:pPr>
              <w:spacing w:after="0"/>
              <w:rPr>
                <w:sz w:val="3"/>
                <w:szCs w:val="3"/>
                <w:color w:val="auto"/>
              </w:rPr>
            </w:pPr>
          </w:p>
        </w:tc>
        <w:tc>
          <w:tcPr>
            <w:tcW w:w="700" w:type="dxa"/>
            <w:vAlign w:val="bottom"/>
            <w:gridSpan w:val="6"/>
            <w:vMerge w:val="continue"/>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1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Par Value</w:t>
            </w:r>
          </w:p>
        </w:tc>
        <w:tc>
          <w:tcPr>
            <w:tcW w:w="80" w:type="dxa"/>
            <w:vAlign w:val="bottom"/>
          </w:tcPr>
          <w:p>
            <w:pPr>
              <w:spacing w:after="0"/>
              <w:rPr>
                <w:sz w:val="15"/>
                <w:szCs w:val="15"/>
                <w:color w:val="auto"/>
              </w:rPr>
            </w:pPr>
          </w:p>
        </w:tc>
        <w:tc>
          <w:tcPr>
            <w:tcW w:w="780" w:type="dxa"/>
            <w:vAlign w:val="bottom"/>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58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Par Value</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40" w:type="dxa"/>
            <w:vAlign w:val="bottom"/>
          </w:tcPr>
          <w:p>
            <w:pPr>
              <w:spacing w:after="0"/>
              <w:rPr>
                <w:sz w:val="15"/>
                <w:szCs w:val="15"/>
                <w:color w:val="auto"/>
              </w:rPr>
            </w:pPr>
          </w:p>
        </w:tc>
        <w:tc>
          <w:tcPr>
            <w:tcW w:w="800" w:type="dxa"/>
            <w:vAlign w:val="bottom"/>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4"/>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60" w:type="dxa"/>
            <w:vAlign w:val="bottom"/>
          </w:tcPr>
          <w:p>
            <w:pPr>
              <w:spacing w:after="0"/>
              <w:rPr>
                <w:sz w:val="15"/>
                <w:szCs w:val="15"/>
                <w:color w:val="auto"/>
              </w:rPr>
            </w:pPr>
          </w:p>
        </w:tc>
        <w:tc>
          <w:tcPr>
            <w:tcW w:w="700" w:type="dxa"/>
            <w:vAlign w:val="bottom"/>
            <w:gridSpan w:val="5"/>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rPr>
                <w:sz w:val="1"/>
                <w:szCs w:val="1"/>
                <w:color w:val="auto"/>
              </w:rPr>
            </w:pPr>
          </w:p>
        </w:tc>
      </w:tr>
      <w:tr>
        <w:trPr>
          <w:trHeight w:val="55"/>
        </w:trPr>
        <w:tc>
          <w:tcPr>
            <w:tcW w:w="17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 of December 31, 2020</w:t>
            </w: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76"/>
              </w:rPr>
              <w:t>—</w:t>
            </w:r>
          </w:p>
        </w:tc>
        <w:tc>
          <w:tcPr>
            <w:tcW w:w="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29,271</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$ 29,271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9,570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9,570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20,853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30,423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Distributions</w:t>
            </w:r>
          </w:p>
        </w:tc>
        <w:tc>
          <w:tcPr>
            <w:tcW w:w="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(888)</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4"/>
              </w:rPr>
              <w:t>(18,110)</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(18,998)</w:t>
            </w:r>
          </w:p>
        </w:tc>
        <w:tc>
          <w:tcPr>
            <w:tcW w:w="0" w:type="dxa"/>
            <w:vAlign w:val="bottom"/>
          </w:tcPr>
          <w:p>
            <w:pPr>
              <w:spacing w:after="0"/>
              <w:rPr>
                <w:sz w:val="1"/>
                <w:szCs w:val="1"/>
                <w:color w:val="auto"/>
              </w:rPr>
            </w:pPr>
          </w:p>
        </w:tc>
      </w:tr>
      <w:tr>
        <w:trPr>
          <w:trHeight w:val="190"/>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Repurchase of Class B</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Units</w:t>
            </w:r>
          </w:p>
        </w:tc>
        <w:tc>
          <w:tcPr>
            <w:tcW w:w="4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(5,565)</w:t>
            </w:r>
          </w:p>
        </w:tc>
        <w:tc>
          <w:tcPr>
            <w:tcW w:w="80" w:type="dxa"/>
            <w:vAlign w:val="bottom"/>
          </w:tcPr>
          <w:p>
            <w:pPr>
              <w:spacing w:after="0"/>
              <w:rPr>
                <w:sz w:val="15"/>
                <w:szCs w:val="15"/>
                <w:color w:val="auto"/>
              </w:rPr>
            </w:pP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(5,565)</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and shares issued</w:t>
            </w: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in the Business</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Combination</w:t>
            </w: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63,738,563</w:t>
            </w: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65,502,347</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8"/>
              </w:rPr>
              <w:t>(20,118)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986</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(19,119)</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(44,928)</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8"/>
              </w:rPr>
              <w:t>(20,674)</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(84,721)</w:t>
            </w:r>
          </w:p>
        </w:tc>
        <w:tc>
          <w:tcPr>
            <w:tcW w:w="0" w:type="dxa"/>
            <w:vAlign w:val="bottom"/>
          </w:tcPr>
          <w:p>
            <w:pPr>
              <w:spacing w:after="0"/>
              <w:rPr>
                <w:sz w:val="1"/>
                <w:szCs w:val="1"/>
                <w:color w:val="auto"/>
              </w:rPr>
            </w:pPr>
          </w:p>
        </w:tc>
      </w:tr>
      <w:tr>
        <w:trPr>
          <w:trHeight w:val="190"/>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common stock</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for acquisitions</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1,938,798</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12,721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12,722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16,590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29,312</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income</w:t>
            </w: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60,383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60,383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76,757</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15,078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152,218</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7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 of December 31, 2021</w:t>
            </w:r>
          </w:p>
        </w:tc>
        <w:tc>
          <w:tcPr>
            <w:tcW w:w="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65,677,361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65,502,347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w:t>
            </w:r>
          </w:p>
        </w:tc>
        <w:tc>
          <w:tcPr>
            <w:tcW w:w="18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2,173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61,369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63,556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68,384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$131,940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22,862</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22,862</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2,298</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25,160</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Distributions</w:t>
            </w:r>
          </w:p>
        </w:tc>
        <w:tc>
          <w:tcPr>
            <w:tcW w:w="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(2,448)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(2,448)</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common stock -</w:t>
            </w: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vesting of restricted</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stock units, net of shares</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withheld for employee</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taxes</w:t>
            </w: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3,447,946</w:t>
            </w: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90"/>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Issuance of common stock</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for acquisitions</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4,721,706</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12,836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12,836</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15,889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28,725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common stock -</w:t>
            </w: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warrants exercised</w:t>
            </w: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20</w:t>
            </w: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0"/>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Class A Common shares</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issued - Class A Unit</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exchange</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10,015,986</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0" w:type="dxa"/>
            <w:vAlign w:val="bottom"/>
          </w:tcPr>
          <w:p>
            <w:pPr>
              <w:spacing w:after="0"/>
              <w:rPr>
                <w:sz w:val="15"/>
                <w:szCs w:val="15"/>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(10,015,986)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92"/>
              </w:rPr>
              <w:t>(2)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8,993</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(8,993)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2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Class A Common shares</w:t>
            </w: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issued - Class P Unit</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exchange</w:t>
            </w: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8,199,449</w:t>
            </w: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7,064</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7,064</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(7,064)</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0"/>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Impact of tax receivable</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agreement due to</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exchanges of Class A</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Units</w:t>
            </w:r>
          </w:p>
        </w:tc>
        <w:tc>
          <w:tcPr>
            <w:tcW w:w="4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14,064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14,064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14,064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income (loss)</w:t>
            </w:r>
          </w:p>
        </w:tc>
        <w:tc>
          <w:tcPr>
            <w:tcW w:w="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8"/>
              </w:rPr>
              <w:t>(115,989)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w w:val="98"/>
              </w:rPr>
              <w:t>(115,989)</w:t>
            </w: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33,338</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(82,651)</w:t>
            </w:r>
          </w:p>
        </w:tc>
        <w:tc>
          <w:tcPr>
            <w:tcW w:w="0" w:type="dxa"/>
            <w:vAlign w:val="bottom"/>
          </w:tcPr>
          <w:p>
            <w:pPr>
              <w:spacing w:after="0"/>
              <w:rPr>
                <w:sz w:val="1"/>
                <w:szCs w:val="1"/>
                <w:color w:val="auto"/>
              </w:rPr>
            </w:pPr>
          </w:p>
        </w:tc>
      </w:tr>
      <w:tr>
        <w:trPr>
          <w:trHeight w:val="203"/>
        </w:trPr>
        <w:tc>
          <w:tcPr>
            <w:tcW w:w="1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 of December 31, 2022</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92,062,468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20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55,486,361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18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67,986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(54,620)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13,380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101,397</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114,777</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74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Stock-based compensation</w:t>
            </w: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14,385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14,385</w:t>
            </w:r>
          </w:p>
        </w:tc>
        <w:tc>
          <w:tcPr>
            <w:tcW w:w="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14,901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Distributions</w:t>
            </w:r>
          </w:p>
        </w:tc>
        <w:tc>
          <w:tcPr>
            <w:tcW w:w="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4"/>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(7,187)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(7,187)</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Issuance of common stock -</w:t>
            </w: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vesting of restricted</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stock units, net of shares</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withheld for employee</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taxes</w:t>
            </w:r>
          </w:p>
        </w:tc>
        <w:tc>
          <w:tcPr>
            <w:tcW w:w="7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2,242,930</w:t>
            </w: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90"/>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Discharge of holdback</w:t>
            </w: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obligation related to</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7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prior acquisition</w:t>
            </w:r>
          </w:p>
        </w:tc>
        <w:tc>
          <w:tcPr>
            <w:tcW w:w="4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(1,612)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(1,612)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(1,995)</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(3,607)</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Class A Common shares</w:t>
            </w: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issued - Class P Unit</w:t>
            </w: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exchange</w:t>
            </w: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77,655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131</w:t>
            </w:r>
          </w:p>
        </w:tc>
        <w:tc>
          <w:tcPr>
            <w:tcW w:w="1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2"/>
        </w:trPr>
        <w:tc>
          <w:tcPr>
            <w:tcW w:w="17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Net income (loss)</w:t>
            </w:r>
          </w:p>
        </w:tc>
        <w:tc>
          <w:tcPr>
            <w:tcW w:w="4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(9,898)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(9,898)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(5,829)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(15,727)</w:t>
            </w:r>
          </w:p>
        </w:tc>
        <w:tc>
          <w:tcPr>
            <w:tcW w:w="0" w:type="dxa"/>
            <w:vAlign w:val="bottom"/>
          </w:tcPr>
          <w:p>
            <w:pPr>
              <w:spacing w:after="0"/>
              <w:rPr>
                <w:sz w:val="1"/>
                <w:szCs w:val="1"/>
                <w:color w:val="auto"/>
              </w:rPr>
            </w:pPr>
          </w:p>
        </w:tc>
      </w:tr>
      <w:tr>
        <w:trPr>
          <w:trHeight w:val="48"/>
        </w:trPr>
        <w:tc>
          <w:tcPr>
            <w:tcW w:w="174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 of December 31, 2023</w:t>
            </w: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94,383,053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55,486,361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18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80,884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(64,518)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16,380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86,771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103,151</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17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auto"/>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46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46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2437765</wp:posOffset>
            </wp:positionH>
            <wp:positionV relativeFrom="paragraph">
              <wp:posOffset>-6497320</wp:posOffset>
            </wp:positionV>
            <wp:extent cx="5143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1940560</wp:posOffset>
            </wp:positionH>
            <wp:positionV relativeFrom="paragraph">
              <wp:posOffset>-6497320</wp:posOffset>
            </wp:positionV>
            <wp:extent cx="5143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1520825</wp:posOffset>
            </wp:positionH>
            <wp:positionV relativeFrom="paragraph">
              <wp:posOffset>-6497320</wp:posOffset>
            </wp:positionV>
            <wp:extent cx="5143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1109345</wp:posOffset>
            </wp:positionH>
            <wp:positionV relativeFrom="paragraph">
              <wp:posOffset>-6497320</wp:posOffset>
            </wp:positionV>
            <wp:extent cx="2540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5515610</wp:posOffset>
            </wp:positionH>
            <wp:positionV relativeFrom="paragraph">
              <wp:posOffset>-6497320</wp:posOffset>
            </wp:positionV>
            <wp:extent cx="5143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-6497320</wp:posOffset>
            </wp:positionV>
            <wp:extent cx="5143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4589780</wp:posOffset>
            </wp:positionH>
            <wp:positionV relativeFrom="paragraph">
              <wp:posOffset>-6497320</wp:posOffset>
            </wp:positionV>
            <wp:extent cx="5143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3921125</wp:posOffset>
            </wp:positionH>
            <wp:positionV relativeFrom="paragraph">
              <wp:posOffset>-6497320</wp:posOffset>
            </wp:positionV>
            <wp:extent cx="5143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3329305</wp:posOffset>
            </wp:positionH>
            <wp:positionV relativeFrom="paragraph">
              <wp:posOffset>-6497320</wp:posOffset>
            </wp:positionV>
            <wp:extent cx="5143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2858135</wp:posOffset>
            </wp:positionH>
            <wp:positionV relativeFrom="paragraph">
              <wp:posOffset>-6497320</wp:posOffset>
            </wp:positionV>
            <wp:extent cx="5143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128905</wp:posOffset>
            </wp:positionV>
            <wp:extent cx="699516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00"/>
          </w:cols>
          <w:pgMar w:left="1200" w:top="114" w:right="1199" w:bottom="1440" w:gutter="0" w:footer="0" w:header="0"/>
        </w:sectPr>
      </w:pPr>
    </w:p>
    <w:bookmarkStart w:id="174" w:name="page175"/>
    <w:bookmarkEnd w:id="174"/>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40" w:type="dxa"/>
            <w:vAlign w:val="bottom"/>
            <w:gridSpan w:val="14"/>
          </w:tcPr>
          <w:p>
            <w:pPr>
              <w:ind w:left="5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7"/>
        </w:trPr>
        <w:tc>
          <w:tcPr>
            <w:tcW w:w="130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1"/>
        </w:trPr>
        <w:tc>
          <w:tcPr>
            <w:tcW w:w="1300" w:type="dxa"/>
            <w:vAlign w:val="bottom"/>
          </w:tcPr>
          <w:p>
            <w:pPr>
              <w:spacing w:after="0"/>
              <w:rPr>
                <w:sz w:val="4"/>
                <w:szCs w:val="4"/>
                <w:color w:val="auto"/>
              </w:rPr>
            </w:pPr>
          </w:p>
        </w:tc>
        <w:tc>
          <w:tcPr>
            <w:tcW w:w="54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$(15,727)</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(82,651)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152,218</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2"/>
        </w:trPr>
        <w:tc>
          <w:tcPr>
            <w:tcW w:w="1300" w:type="dxa"/>
            <w:vAlign w:val="bottom"/>
          </w:tcPr>
          <w:p>
            <w:pPr>
              <w:spacing w:after="0"/>
              <w:rPr>
                <w:sz w:val="21"/>
                <w:szCs w:val="21"/>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w:t>
            </w: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68"/>
        </w:trPr>
        <w:tc>
          <w:tcPr>
            <w:tcW w:w="1300" w:type="dxa"/>
            <w:vAlign w:val="bottom"/>
          </w:tcPr>
          <w:p>
            <w:pPr>
              <w:spacing w:after="0"/>
              <w:rPr>
                <w:sz w:val="23"/>
                <w:szCs w:val="23"/>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by operating activities:</w:t>
            </w: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11,498</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(25,370)</w:t>
            </w:r>
          </w:p>
        </w:tc>
        <w:tc>
          <w:tcPr>
            <w:tcW w:w="10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(166,518)</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tax receivable agreement liability</w:t>
            </w: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3"/>
              </w:rPr>
              <w:t>1,256</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(142,352)</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80" w:type="dxa"/>
            <w:vAlign w:val="bottom"/>
            <w:gridSpan w:val="3"/>
          </w:tcPr>
          <w:p>
            <w:pPr>
              <w:jc w:val="right"/>
              <w:ind w:right="13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 -use lease assets</w:t>
            </w: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3"/>
              </w:rPr>
              <w:t>4,930</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8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23,493</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29,324</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asset</w:t>
            </w:r>
          </w:p>
        </w:tc>
        <w:tc>
          <w:tcPr>
            <w:tcW w:w="220" w:type="dxa"/>
            <w:vAlign w:val="bottom"/>
          </w:tcPr>
          <w:p>
            <w:pPr>
              <w:spacing w:after="0"/>
              <w:rPr>
                <w:sz w:val="23"/>
                <w:szCs w:val="23"/>
                <w:color w:val="auto"/>
              </w:rPr>
            </w:pPr>
          </w:p>
        </w:tc>
        <w:tc>
          <w:tcPr>
            <w:tcW w:w="9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179,077</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Discharge of holdback obligation related to prior acquisition</w:t>
            </w: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3"/>
              </w:rPr>
              <w:t>1,792</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17,216</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3"/>
              </w:rPr>
              <w:t>4,488</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(16,270)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(13,609)</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(43,323)</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3"/>
              </w:rPr>
              <w:t>3,335</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94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(15,275)</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14,892</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7"/>
        </w:trPr>
        <w:tc>
          <w:tcPr>
            <w:tcW w:w="1300" w:type="dxa"/>
            <w:vAlign w:val="bottom"/>
          </w:tcPr>
          <w:p>
            <w:pPr>
              <w:spacing w:after="0"/>
              <w:rPr>
                <w:sz w:val="22"/>
                <w:szCs w:val="22"/>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44,840</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5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22,928</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(11,621)</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30,190</w:t>
            </w:r>
          </w:p>
        </w:tc>
        <w:tc>
          <w:tcPr>
            <w:tcW w:w="80" w:type="dxa"/>
            <w:vAlign w:val="bottom"/>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54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338"/>
        </w:trPr>
        <w:tc>
          <w:tcPr>
            <w:tcW w:w="1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software and expenditures</w:t>
            </w: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(11,871)</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(16,055)</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(16,000)</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acquisition holdback release</w:t>
            </w:r>
          </w:p>
        </w:tc>
        <w:tc>
          <w:tcPr>
            <w:tcW w:w="220" w:type="dxa"/>
            <w:vAlign w:val="bottom"/>
          </w:tcPr>
          <w:p>
            <w:pPr>
              <w:spacing w:after="0"/>
              <w:rPr>
                <w:sz w:val="23"/>
                <w:szCs w:val="23"/>
                <w:color w:val="auto"/>
              </w:rPr>
            </w:pPr>
          </w:p>
        </w:tc>
        <w:tc>
          <w:tcPr>
            <w:tcW w:w="9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80" w:type="dxa"/>
            <w:vAlign w:val="bottom"/>
            <w:gridSpan w:val="3"/>
          </w:tcPr>
          <w:p>
            <w:pPr>
              <w:jc w:val="right"/>
              <w:ind w:right="13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other investments</w:t>
            </w:r>
          </w:p>
        </w:tc>
        <w:tc>
          <w:tcPr>
            <w:tcW w:w="220" w:type="dxa"/>
            <w:vAlign w:val="bottom"/>
            <w:shd w:val="clear" w:color="auto" w:fill="CCEEFF"/>
          </w:tcPr>
          <w:p>
            <w:pPr>
              <w:spacing w:after="0"/>
              <w:rPr>
                <w:sz w:val="22"/>
                <w:szCs w:val="22"/>
                <w:color w:val="auto"/>
              </w:rPr>
            </w:pPr>
          </w:p>
        </w:tc>
        <w:tc>
          <w:tcPr>
            <w:tcW w:w="92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54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(11,871)</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(17,768)</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(30,435)</w:t>
            </w: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5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300" w:type="dxa"/>
            <w:vAlign w:val="bottom"/>
          </w:tcPr>
          <w:p>
            <w:pPr>
              <w:spacing w:after="0"/>
              <w:rPr>
                <w:sz w:val="5"/>
                <w:szCs w:val="5"/>
                <w:color w:val="auto"/>
              </w:rPr>
            </w:pPr>
          </w:p>
        </w:tc>
      </w:tr>
      <w:tr>
        <w:trPr>
          <w:trHeight w:val="338"/>
        </w:trPr>
        <w:tc>
          <w:tcPr>
            <w:tcW w:w="1300" w:type="dxa"/>
            <w:vAlign w:val="bottom"/>
          </w:tcPr>
          <w:p>
            <w:pPr>
              <w:spacing w:after="0"/>
              <w:rPr>
                <w:sz w:val="24"/>
                <w:szCs w:val="24"/>
                <w:color w:val="auto"/>
              </w:rPr>
            </w:pPr>
          </w:p>
        </w:tc>
        <w:tc>
          <w:tcPr>
            <w:tcW w:w="54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(18,998)</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insurance premium financing</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(7,344)</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9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collection of related party note receivable</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80" w:type="dxa"/>
            <w:vAlign w:val="bottom"/>
            <w:gridSpan w:val="3"/>
          </w:tcPr>
          <w:p>
            <w:pPr>
              <w:jc w:val="right"/>
              <w:ind w:right="136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business combination</w:t>
            </w:r>
          </w:p>
        </w:tc>
        <w:tc>
          <w:tcPr>
            <w:tcW w:w="2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79,969</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note payable</w:t>
            </w:r>
          </w:p>
        </w:tc>
        <w:tc>
          <w:tcPr>
            <w:tcW w:w="220" w:type="dxa"/>
            <w:vAlign w:val="bottom"/>
          </w:tcPr>
          <w:p>
            <w:pPr>
              <w:spacing w:after="0"/>
              <w:rPr>
                <w:sz w:val="23"/>
                <w:szCs w:val="23"/>
                <w:color w:val="auto"/>
              </w:rPr>
            </w:pPr>
          </w:p>
        </w:tc>
        <w:tc>
          <w:tcPr>
            <w:tcW w:w="9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5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Class B Units</w:t>
            </w:r>
          </w:p>
        </w:tc>
        <w:tc>
          <w:tcPr>
            <w:tcW w:w="220" w:type="dxa"/>
            <w:vAlign w:val="bottom"/>
            <w:shd w:val="clear" w:color="auto" w:fill="CCEEFF"/>
          </w:tcPr>
          <w:p>
            <w:pPr>
              <w:spacing w:after="0"/>
              <w:rPr>
                <w:sz w:val="22"/>
                <w:szCs w:val="22"/>
                <w:color w:val="auto"/>
              </w:rPr>
            </w:pPr>
          </w:p>
        </w:tc>
        <w:tc>
          <w:tcPr>
            <w:tcW w:w="92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54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60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(9,805)</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48,103</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5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18"/>
        </w:trPr>
        <w:tc>
          <w:tcPr>
            <w:tcW w:w="1300" w:type="dxa"/>
            <w:vAlign w:val="bottom"/>
          </w:tcPr>
          <w:p>
            <w:pPr>
              <w:spacing w:after="0"/>
              <w:rPr>
                <w:sz w:val="24"/>
                <w:szCs w:val="24"/>
                <w:color w:val="auto"/>
              </w:rPr>
            </w:pPr>
          </w:p>
        </w:tc>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3"/>
              </w:rPr>
              <w:t>5,767</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(39,194)</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47,858</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Cash – beginning of year</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28,583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67,777</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19,919</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5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end of year</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$ 34,350</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28,583</w:t>
            </w:r>
          </w:p>
        </w:tc>
        <w:tc>
          <w:tcPr>
            <w:tcW w:w="2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67,777</w:t>
            </w:r>
          </w:p>
        </w:tc>
        <w:tc>
          <w:tcPr>
            <w:tcW w:w="1300" w:type="dxa"/>
            <w:vAlign w:val="bottom"/>
          </w:tcPr>
          <w:p>
            <w:pPr>
              <w:spacing w:after="0"/>
              <w:rPr>
                <w:sz w:val="23"/>
                <w:szCs w:val="23"/>
                <w:color w:val="auto"/>
              </w:rPr>
            </w:pPr>
          </w:p>
        </w:tc>
      </w:tr>
      <w:tr>
        <w:trPr>
          <w:trHeight w:val="48"/>
        </w:trPr>
        <w:tc>
          <w:tcPr>
            <w:tcW w:w="1300" w:type="dxa"/>
            <w:vAlign w:val="bottom"/>
          </w:tcPr>
          <w:p>
            <w:pPr>
              <w:spacing w:after="0"/>
              <w:rPr>
                <w:sz w:val="4"/>
                <w:szCs w:val="4"/>
                <w:color w:val="auto"/>
              </w:rPr>
            </w:pPr>
          </w:p>
        </w:tc>
        <w:tc>
          <w:tcPr>
            <w:tcW w:w="54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300" w:type="dxa"/>
            <w:vAlign w:val="bottom"/>
          </w:tcPr>
          <w:p>
            <w:pPr>
              <w:spacing w:after="0"/>
              <w:rPr>
                <w:sz w:val="4"/>
                <w:szCs w:val="4"/>
                <w:color w:val="auto"/>
              </w:rPr>
            </w:pPr>
          </w:p>
        </w:tc>
      </w:tr>
      <w:tr>
        <w:trPr>
          <w:trHeight w:val="432"/>
        </w:trPr>
        <w:tc>
          <w:tcPr>
            <w:tcW w:w="1300" w:type="dxa"/>
            <w:vAlign w:val="bottom"/>
          </w:tcPr>
          <w:p>
            <w:pPr>
              <w:spacing w:after="0"/>
              <w:rPr>
                <w:sz w:val="24"/>
                <w:szCs w:val="24"/>
                <w:color w:val="auto"/>
              </w:rPr>
            </w:pPr>
          </w:p>
        </w:tc>
        <w:tc>
          <w:tcPr>
            <w:tcW w:w="7400" w:type="dxa"/>
            <w:vAlign w:val="bottom"/>
            <w:gridSpan w:val="11"/>
          </w:tcPr>
          <w:p>
            <w:pPr>
              <w:ind w:left="10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546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F-35</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54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5526405</wp:posOffset>
            </wp:positionH>
            <wp:positionV relativeFrom="paragraph">
              <wp:posOffset>-9385935</wp:posOffset>
            </wp:positionV>
            <wp:extent cx="13716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4883785</wp:posOffset>
            </wp:positionH>
            <wp:positionV relativeFrom="paragraph">
              <wp:posOffset>-9385935</wp:posOffset>
            </wp:positionV>
            <wp:extent cx="13716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4360545</wp:posOffset>
            </wp:positionH>
            <wp:positionV relativeFrom="paragraph">
              <wp:posOffset>-9385935</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020"/>
          </w:cols>
          <w:pgMar w:left="440" w:top="114" w:right="439" w:bottom="0" w:gutter="0" w:footer="0" w:header="0"/>
        </w:sectPr>
      </w:pPr>
    </w:p>
    <w:bookmarkStart w:id="175" w:name="page176"/>
    <w:bookmarkEnd w:id="1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2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7"/>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1"/>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27"/>
        </w:trPr>
        <w:tc>
          <w:tcPr>
            <w:tcW w:w="5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50"/>
        </w:trPr>
        <w:tc>
          <w:tcPr>
            <w:tcW w:w="566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311"/>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r>
      <w:tr>
        <w:trPr>
          <w:trHeight w:val="27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(refunded from) paid for income taxes</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3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54"/>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24"/>
        </w:trPr>
        <w:tc>
          <w:tcPr>
            <w:tcW w:w="56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270"/>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54"/>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equity for acquisitions</w:t>
            </w:r>
          </w:p>
        </w:tc>
        <w:tc>
          <w:tcPr>
            <w:tcW w:w="3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$28,725</w:t>
            </w: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29,312</w:t>
            </w:r>
          </w:p>
        </w:tc>
      </w:tr>
      <w:tr>
        <w:trPr>
          <w:trHeight w:val="27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 premium financing</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4,598</w:t>
            </w:r>
          </w:p>
        </w:tc>
        <w:tc>
          <w:tcPr>
            <w:tcW w:w="3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11,205</w:t>
            </w:r>
          </w:p>
        </w:tc>
      </w:tr>
      <w:tr>
        <w:trPr>
          <w:trHeight w:val="54"/>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 assumed in connection with acquisition</w:t>
            </w:r>
          </w:p>
        </w:tc>
        <w:tc>
          <w:tcPr>
            <w:tcW w:w="3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capitalized for software development</w:t>
            </w:r>
          </w:p>
        </w:tc>
        <w:tc>
          <w:tcPr>
            <w:tcW w:w="7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6"/>
              </w:rPr>
              <w:t>$1,386</w:t>
            </w:r>
          </w:p>
        </w:tc>
        <w:tc>
          <w:tcPr>
            <w:tcW w:w="32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3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r>
      <w:tr>
        <w:trPr>
          <w:trHeight w:val="54"/>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assets included in accounts payable and accrued expenses</w:t>
            </w:r>
          </w:p>
        </w:tc>
        <w:tc>
          <w:tcPr>
            <w:tcW w:w="78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6"/>
              </w:rPr>
              <w:t>$1,041</w:t>
            </w: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3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r>
      <w:tr>
        <w:trPr>
          <w:trHeight w:val="27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Holdback liability recognized in connection with acquisition</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54"/>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80" w:type="dxa"/>
            <w:vAlign w:val="bottom"/>
            <w:gridSpan w:val="2"/>
          </w:tcPr>
          <w:p>
            <w:pPr>
              <w:spacing w:after="0"/>
              <w:rPr>
                <w:sz w:val="4"/>
                <w:szCs w:val="4"/>
                <w:color w:val="auto"/>
              </w:rPr>
            </w:pPr>
          </w:p>
        </w:tc>
      </w:tr>
      <w:tr>
        <w:trPr>
          <w:trHeight w:val="304"/>
        </w:trPr>
        <w:tc>
          <w:tcPr>
            <w:tcW w:w="5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Warranty liability assumed from the Business Combination</w:t>
            </w:r>
          </w:p>
        </w:tc>
        <w:tc>
          <w:tcPr>
            <w:tcW w:w="3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$193,978</w:t>
            </w:r>
          </w:p>
        </w:tc>
      </w:tr>
      <w:tr>
        <w:trPr>
          <w:trHeight w:val="252"/>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receivable agreement liability recognized in connection with the</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34"/>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Business Combination</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$128,567</w:t>
            </w:r>
          </w:p>
        </w:tc>
      </w:tr>
      <w:tr>
        <w:trPr>
          <w:trHeight w:val="54"/>
        </w:trPr>
        <w:tc>
          <w:tcPr>
            <w:tcW w:w="5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52"/>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assets recognized in connection with the Business</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r>
      <w:tr>
        <w:trPr>
          <w:trHeight w:val="268"/>
        </w:trPr>
        <w:tc>
          <w:tcPr>
            <w:tcW w:w="56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Combination</w:t>
            </w:r>
          </w:p>
        </w:tc>
        <w:tc>
          <w:tcPr>
            <w:tcW w:w="3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$151,255</w:t>
            </w:r>
          </w:p>
        </w:tc>
      </w:tr>
      <w:tr>
        <w:trPr>
          <w:trHeight w:val="270"/>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 assumed from the Business Combination</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4900295</wp:posOffset>
            </wp:positionH>
            <wp:positionV relativeFrom="paragraph">
              <wp:posOffset>-3136900</wp:posOffset>
            </wp:positionV>
            <wp:extent cx="20574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-3136900</wp:posOffset>
            </wp:positionV>
            <wp:extent cx="20574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-3136900</wp:posOffset>
            </wp:positionV>
            <wp:extent cx="10287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6" w:name="page177"/>
    <w:bookmarkEnd w:id="1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640" w:hanging="348"/>
        <w:spacing w:after="0"/>
        <w:tabs>
          <w:tab w:leader="none" w:pos="64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and Organization</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(the “Company”) operates a leading online cannabis marketplace for consumers together with a comprehensive set of eCommerce and compliance software solutions for cannabis businesses, which are sold to both storefront locations and delivery operators (“retailers”) and brands in the U.S. states and U.S. territories legalized cannabis markets. The Company’s comprehensive business-to-consumer and business-to-business suite of products afford cannabis retailers and brands of all sizes integrated tools to compliantly run their businesses and to reach, convert, and retain consumers.</w:t>
      </w:r>
    </w:p>
    <w:p>
      <w:pPr>
        <w:spacing w:after="0" w:line="79" w:lineRule="exact"/>
        <w:rPr>
          <w:sz w:val="20"/>
          <w:szCs w:val="20"/>
          <w:color w:val="auto"/>
        </w:rPr>
      </w:pPr>
    </w:p>
    <w:p>
      <w:pPr>
        <w:jc w:val="both"/>
        <w:ind w:left="300" w:right="319"/>
        <w:spacing w:after="0" w:line="253" w:lineRule="auto"/>
        <w:rPr>
          <w:sz w:val="20"/>
          <w:szCs w:val="20"/>
          <w:color w:val="auto"/>
        </w:rPr>
      </w:pPr>
      <w:r>
        <w:rPr>
          <w:rFonts w:ascii="Times New Roman" w:cs="Times New Roman" w:eastAsia="Times New Roman" w:hAnsi="Times New Roman"/>
          <w:sz w:val="18"/>
          <w:szCs w:val="18"/>
          <w:color w:val="auto"/>
        </w:rPr>
        <w:t>The Company’s business primarily consists of its commerce-driven marketplace (“Weedmaps”), and its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solutions (“POS”), to provide consumers with the ability to browse by strain, price, cannabinoids and other information regarding locally available cannabis products, through the Company’s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Weedmaps for Business, the Company’s SaaS offering, is a comprehensive set of eCommerce and compliance software solutions catered towards cannabis retailers, delivery services and brands that streamline front and back-end operations and help manage compliance needs. With the development of Weedmaps for Business, the Company offers an end-to-end platform for licensed cannabis retailers to comply with state law. The Company sells a monthly subscription offering to storefront, delivery and brand clients as well as upsell and add-on offerings to licensed clients. The Company also offers other add-on products for additional fees.</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(the “Merger Agreement”), by and among Silver Spike, Silver Spike Merger Sub LLC, a Delaware limited liability company and a wholly owned direct subsidiary of Silver Spike Acquisition Corp., WM Holding Company, LLC, a Delaware limited liability company (when referred to in its pre-Business Combination capacity, “Legacy WMH” and following the Business Combination, “WMH LLC”), and Ghost Media Group, LLC, a Nevada limited liability company, solely in its capacity as the initial holder representative (the “Holder Representative”). On the Closing Date, and in connection with the closing of the Business Combination (the “Closing”), Silver Spike was domesticated and continues as a Delaware corporation, changing its name to WM Technology, Inc.</w:t>
      </w:r>
    </w:p>
    <w:p>
      <w:pPr>
        <w:spacing w:after="0" w:line="29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Legacy WMH was reorganized into an Up-C structure, in which substantially all of the assets and business of Legacy WMH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79"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had an accumulated deficit of $64.5 million. The Company has funded its operations primarily with customer payments for its services and proceeds from the issuance of common stock in connection with its initial public offering (IPO) and follow-on offering. As of December 31, 2023, the Company had cash of $34.4 million. The Company believes that its existing sources of liquidity will satisfy its working capital and capital requirements for at least the next twelve months.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7" w:name="page178"/>
    <w:bookmarkEnd w:id="1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of the Company have been prepared in accordance with GAAP and the rules and regulations of the Securities and Exchange Commission (“SEC”). The consolidated financial statements reflect all adjustments considered necessary for a fair presentation of the consolidated results of operations and financial position for the fiscal years presented. All such adjustments are of a normal recurring nature. Certain prior year amounts have been reclassified to conform to the current year presentation.</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WM Technology, Inc. and WMH LLC, including their wholly and majority owned subsidiaries. In conformity with GAAP, all significant intercompany accounts and transactions have been eliminated.</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Restatement of Previously Reported 2023 Quarterly Revenue and Credit Losses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preparation of the Company's Consolidated Financial Statements as of and for the fiscal year ended December 31, 2023, the Company discovered that in 2023, it had an inadequate policy associated with its revenue recognition related to the cash collection of a certain subset of its customers that had been placed on cash basis in 2023. For these customers, because the determination had been made that there was significant collection risk and the Company had no ability to estimate the collectability of the consideration it was entitled to, revenue recognition was prohibited under Accounting Standards Codification, (“ASC”), Topic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until cash was collected for the services that were provided. The Company refers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in this situation as customers that have been placed on cash basis. As further discussed below, the Company misapplied this policy in each of the first three quarters of 2023 by failing to apply (in certain cases) cash receipts to prior accounts receivable (via a credit loss recovery) and instead recognized additional revenue for the cash receipt.</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recognizes revenue from contracts with customers under ASC 606. The core principle of the revenue standard is that a company should recognize revenue to depict the transfer of promised goods or services to customers in an amount that reflects the consideration to which the company expects to be entitled in exchange for those goods or services. Once the Company believes that it is no longer probable of collecting substantially all of the consideration to which it will be entitled in exchange for the goods or services transferred to the customer and as such is prohibited from recognizing revenue until it is probable that it will be entitled to all of the consideration. As such, when a customer with significant collection risk is identified, the Company fully reserves for all outstanding accounts receivable and records a credit loss for these receivables.</w:t>
      </w:r>
    </w:p>
    <w:p>
      <w:pPr>
        <w:spacing w:after="0" w:line="8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Initially, revenue for contracts that the Company assesses are not probable of collection is not recognized until the customer has paid or settled all outstanding accounts receivable balances.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When services are still provided to customers that have been identified with significant collection risk, the Company initially applies all payments received against the customers oldest invoices. However, if the Company continues to provide services to these customers for a significant period of time, cash collections have stabilized and other factors indicate it is appropriate, cash collections are assessed to determine if any of the on-going cash receipts should be accounted for as variable consideration under ASC 606 for on-going services instead of recovery of credit losses. To date, no material variable consideration has been recognized and after applying the corrections shown in the table below, all cash collections for these customers are reflected as recovery of credit losses.</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Due to the inconsistency of the cash application related to the cash basis customers, and the prohibition on recognizing revenue when the Company does not believe it will receive the consideration it is entitled to, the Company had determined that it had improperly recognized revenue for these customers and should have instead recognized a credit loss recovery related to these cash receipts.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8" w:name="page179"/>
    <w:bookmarkEnd w:id="178"/>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1300" w:right="1300"/>
        <w:spacing w:after="0" w:line="261" w:lineRule="auto"/>
        <w:rPr>
          <w:sz w:val="20"/>
          <w:szCs w:val="20"/>
          <w:color w:val="auto"/>
        </w:rPr>
      </w:pPr>
      <w:r>
        <w:rPr>
          <w:rFonts w:ascii="Times New Roman" w:cs="Times New Roman" w:eastAsia="Times New Roman" w:hAnsi="Times New Roman"/>
          <w:sz w:val="18"/>
          <w:szCs w:val="18"/>
          <w:color w:val="auto"/>
        </w:rPr>
        <w:t>All periods presented below have been retrospectively restated to reflect the effects of the change to revenues and operating expenses. There was no impact to operating income (loss), net income (loss), net income (loss) per share, net cash provided by operating activities and adjusted EBITDA for any periods presented. The consolidated statement of equity is not affected by this restatement.</w:t>
      </w:r>
    </w:p>
    <w:p>
      <w:pPr>
        <w:spacing w:after="0" w:line="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has restated its unaudited condensed consolidated statements of operations for the periods ended</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March 31, 2023, June 30, 2023 and September 30, 2023, as follows (in thousands):</w:t>
      </w:r>
    </w:p>
    <w:p>
      <w:pPr>
        <w:spacing w:after="0" w:line="200" w:lineRule="exact"/>
        <w:rPr>
          <w:sz w:val="20"/>
          <w:szCs w:val="20"/>
          <w:color w:val="auto"/>
        </w:rPr>
      </w:pPr>
    </w:p>
    <w:p>
      <w:pPr>
        <w:spacing w:after="0" w:line="257"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40" w:type="dxa"/>
            <w:vAlign w:val="bottom"/>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0" w:type="dxa"/>
            <w:vAlign w:val="bottom"/>
          </w:tcPr>
          <w:p>
            <w:pPr>
              <w:spacing w:after="0"/>
              <w:rPr>
                <w:sz w:val="1"/>
                <w:szCs w:val="1"/>
                <w:color w:val="auto"/>
              </w:rPr>
            </w:pPr>
          </w:p>
        </w:tc>
      </w:tr>
      <w:tr>
        <w:trPr>
          <w:trHeight w:val="51"/>
        </w:trPr>
        <w:tc>
          <w:tcPr>
            <w:tcW w:w="3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7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316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$48,007</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$(1,591)</w:t>
            </w: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$46,416</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$22,500</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$(1,591)</w:t>
            </w:r>
          </w:p>
        </w:tc>
        <w:tc>
          <w:tcPr>
            <w:tcW w:w="20" w:type="dxa"/>
            <w:vAlign w:val="bottom"/>
          </w:tcPr>
          <w:p>
            <w:pPr>
              <w:spacing w:after="0"/>
              <w:rPr>
                <w:sz w:val="23"/>
                <w:szCs w:val="23"/>
                <w:color w:val="auto"/>
              </w:rPr>
            </w:pPr>
          </w:p>
        </w:tc>
        <w:tc>
          <w:tcPr>
            <w:tcW w:w="940" w:type="dxa"/>
            <w:vAlign w:val="bottom"/>
            <w:gridSpan w:val="4"/>
          </w:tcPr>
          <w:p>
            <w:pPr>
              <w:jc w:val="right"/>
              <w:ind w:right="8"/>
              <w:spacing w:after="0"/>
              <w:rPr>
                <w:sz w:val="20"/>
                <w:szCs w:val="20"/>
                <w:color w:val="auto"/>
              </w:rPr>
            </w:pPr>
            <w:r>
              <w:rPr>
                <w:rFonts w:ascii="Times New Roman" w:cs="Times New Roman" w:eastAsia="Times New Roman" w:hAnsi="Times New Roman"/>
                <w:sz w:val="18"/>
                <w:szCs w:val="18"/>
                <w:color w:val="auto"/>
              </w:rPr>
              <w:t>$20,909</w:t>
            </w: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6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$52,155</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$(1,591)</w:t>
            </w: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$50,564</w:t>
            </w:r>
          </w:p>
        </w:tc>
        <w:tc>
          <w:tcPr>
            <w:tcW w:w="0" w:type="dxa"/>
            <w:vAlign w:val="bottom"/>
          </w:tcPr>
          <w:p>
            <w:pPr>
              <w:spacing w:after="0"/>
              <w:rPr>
                <w:sz w:val="1"/>
                <w:szCs w:val="1"/>
                <w:color w:val="auto"/>
              </w:rPr>
            </w:pPr>
          </w:p>
        </w:tc>
      </w:tr>
      <w:tr>
        <w:trPr>
          <w:trHeight w:val="598"/>
        </w:trPr>
        <w:tc>
          <w:tcPr>
            <w:tcW w:w="3160" w:type="dxa"/>
            <w:vAlign w:val="bottom"/>
          </w:tcPr>
          <w:p>
            <w:pPr>
              <w:spacing w:after="0"/>
              <w:rPr>
                <w:sz w:val="24"/>
                <w:szCs w:val="24"/>
                <w:color w:val="auto"/>
              </w:rPr>
            </w:pPr>
          </w:p>
        </w:tc>
        <w:tc>
          <w:tcPr>
            <w:tcW w:w="2660" w:type="dxa"/>
            <w:vAlign w:val="bottom"/>
            <w:gridSpan w:val="11"/>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0" w:type="dxa"/>
            <w:vAlign w:val="bottom"/>
          </w:tcPr>
          <w:p>
            <w:pPr>
              <w:spacing w:after="0"/>
              <w:rPr>
                <w:sz w:val="1"/>
                <w:szCs w:val="1"/>
                <w:color w:val="auto"/>
              </w:rPr>
            </w:pPr>
          </w:p>
        </w:tc>
      </w:tr>
      <w:tr>
        <w:trPr>
          <w:trHeight w:val="50"/>
        </w:trPr>
        <w:tc>
          <w:tcPr>
            <w:tcW w:w="3160" w:type="dxa"/>
            <w:vAlign w:val="bottom"/>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Borders>
              <w:bottom w:val="single" w:sz="8" w:color="auto"/>
            </w:tcBorders>
            <w:gridSpan w:val="3"/>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8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40" w:type="dxa"/>
            <w:vAlign w:val="bottom"/>
          </w:tcPr>
          <w:p>
            <w:pPr>
              <w:spacing w:after="0"/>
              <w:rPr>
                <w:sz w:val="16"/>
                <w:szCs w:val="16"/>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8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920" w:type="dxa"/>
            <w:vAlign w:val="bottom"/>
            <w:gridSpan w:val="4"/>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4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31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$50,852</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$(2,429)</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$48,423</w:t>
            </w: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$98,859</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rPr>
              <w:t>$(4,020)</w:t>
            </w: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$94,839</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$19,208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$(2,429)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$16,779</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$41,708</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center"/>
              <w:ind w:left="33"/>
              <w:spacing w:after="0"/>
              <w:rPr>
                <w:sz w:val="20"/>
                <w:szCs w:val="20"/>
                <w:color w:val="auto"/>
              </w:rPr>
            </w:pPr>
            <w:r>
              <w:rPr>
                <w:rFonts w:ascii="Times New Roman" w:cs="Times New Roman" w:eastAsia="Times New Roman" w:hAnsi="Times New Roman"/>
                <w:sz w:val="18"/>
                <w:szCs w:val="18"/>
                <w:color w:val="auto"/>
              </w:rPr>
              <w:t>$(4,020)</w:t>
            </w:r>
          </w:p>
        </w:tc>
        <w:tc>
          <w:tcPr>
            <w:tcW w:w="20" w:type="dxa"/>
            <w:vAlign w:val="bottom"/>
          </w:tcPr>
          <w:p>
            <w:pPr>
              <w:spacing w:after="0"/>
              <w:rPr>
                <w:sz w:val="23"/>
                <w:szCs w:val="23"/>
                <w:color w:val="auto"/>
              </w:rPr>
            </w:pPr>
          </w:p>
        </w:tc>
        <w:tc>
          <w:tcPr>
            <w:tcW w:w="940" w:type="dxa"/>
            <w:vAlign w:val="bottom"/>
            <w:gridSpan w:val="4"/>
          </w:tcPr>
          <w:p>
            <w:pPr>
              <w:jc w:val="right"/>
              <w:ind w:right="8"/>
              <w:spacing w:after="0"/>
              <w:rPr>
                <w:sz w:val="20"/>
                <w:szCs w:val="20"/>
                <w:color w:val="auto"/>
              </w:rPr>
            </w:pPr>
            <w:r>
              <w:rPr>
                <w:rFonts w:ascii="Times New Roman" w:cs="Times New Roman" w:eastAsia="Times New Roman" w:hAnsi="Times New Roman"/>
                <w:sz w:val="18"/>
                <w:szCs w:val="18"/>
                <w:color w:val="auto"/>
              </w:rPr>
              <w:t>$37,688</w:t>
            </w: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$47,069</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$(2,429)</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$44,640</w:t>
            </w: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$99,224</w:t>
            </w: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8"/>
                <w:szCs w:val="18"/>
                <w:color w:val="auto"/>
              </w:rPr>
              <w:t>$(4,020)</w:t>
            </w: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$95,204</w:t>
            </w:r>
          </w:p>
        </w:tc>
        <w:tc>
          <w:tcPr>
            <w:tcW w:w="0" w:type="dxa"/>
            <w:vAlign w:val="bottom"/>
          </w:tcPr>
          <w:p>
            <w:pPr>
              <w:spacing w:after="0"/>
              <w:rPr>
                <w:sz w:val="1"/>
                <w:szCs w:val="1"/>
                <w:color w:val="auto"/>
              </w:rPr>
            </w:pPr>
          </w:p>
        </w:tc>
      </w:tr>
      <w:tr>
        <w:trPr>
          <w:trHeight w:val="598"/>
        </w:trPr>
        <w:tc>
          <w:tcPr>
            <w:tcW w:w="3160" w:type="dxa"/>
            <w:vAlign w:val="bottom"/>
          </w:tcPr>
          <w:p>
            <w:pPr>
              <w:spacing w:after="0"/>
              <w:rPr>
                <w:sz w:val="24"/>
                <w:szCs w:val="24"/>
                <w:color w:val="auto"/>
              </w:rPr>
            </w:pPr>
          </w:p>
        </w:tc>
        <w:tc>
          <w:tcPr>
            <w:tcW w:w="2660" w:type="dxa"/>
            <w:vAlign w:val="bottom"/>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40" w:type="dxa"/>
            <w:vAlign w:val="bottom"/>
            <w:gridSpan w:val="11"/>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0" w:type="dxa"/>
            <w:vAlign w:val="bottom"/>
          </w:tcPr>
          <w:p>
            <w:pPr>
              <w:spacing w:after="0"/>
              <w:rPr>
                <w:sz w:val="1"/>
                <w:szCs w:val="1"/>
                <w:color w:val="auto"/>
              </w:rPr>
            </w:pPr>
          </w:p>
        </w:tc>
      </w:tr>
      <w:tr>
        <w:trPr>
          <w:trHeight w:val="50"/>
        </w:trPr>
        <w:tc>
          <w:tcPr>
            <w:tcW w:w="3160" w:type="dxa"/>
            <w:vAlign w:val="bottom"/>
          </w:tcPr>
          <w:p>
            <w:pPr>
              <w:spacing w:after="0"/>
              <w:rPr>
                <w:sz w:val="4"/>
                <w:szCs w:val="4"/>
                <w:color w:val="auto"/>
              </w:rPr>
            </w:pPr>
          </w:p>
        </w:tc>
        <w:tc>
          <w:tcPr>
            <w:tcW w:w="860" w:type="dxa"/>
            <w:vAlign w:val="bottom"/>
            <w:tcBorders>
              <w:bottom w:val="single" w:sz="8" w:color="auto"/>
            </w:tcBorders>
            <w:gridSpan w:val="4"/>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gridSpan w:val="4"/>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8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92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8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7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3160" w:type="dxa"/>
            <w:vAlign w:val="bottom"/>
          </w:tcPr>
          <w:p>
            <w:pPr>
              <w:spacing w:after="0"/>
              <w:rPr>
                <w:sz w:val="16"/>
                <w:szCs w:val="16"/>
                <w:color w:val="auto"/>
              </w:rPr>
            </w:pPr>
          </w:p>
        </w:tc>
        <w:tc>
          <w:tcPr>
            <w:tcW w:w="8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920" w:type="dxa"/>
            <w:vAlign w:val="bottom"/>
            <w:gridSpan w:val="4"/>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7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31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gridSpan w:val="4"/>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$47,725</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w w:val="97"/>
              </w:rPr>
              <w:t>$(1,038)</w:t>
            </w:r>
          </w:p>
        </w:tc>
        <w:tc>
          <w:tcPr>
            <w:tcW w:w="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$46,687</w:t>
            </w:r>
          </w:p>
        </w:tc>
        <w:tc>
          <w:tcPr>
            <w:tcW w:w="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$146,584</w:t>
            </w: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$(5,058)</w:t>
            </w:r>
          </w:p>
        </w:tc>
        <w:tc>
          <w:tcPr>
            <w:tcW w:w="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$141,526</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6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$19,189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w w:val="97"/>
              </w:rPr>
              <w:t>$(1,038)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$18,151</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$ 60,897</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$(5,058)</w:t>
            </w:r>
          </w:p>
        </w:tc>
        <w:tc>
          <w:tcPr>
            <w:tcW w:w="20" w:type="dxa"/>
            <w:vAlign w:val="bottom"/>
          </w:tcPr>
          <w:p>
            <w:pPr>
              <w:spacing w:after="0"/>
              <w:rPr>
                <w:sz w:val="23"/>
                <w:szCs w:val="23"/>
                <w:color w:val="auto"/>
              </w:rPr>
            </w:pPr>
          </w:p>
        </w:tc>
        <w:tc>
          <w:tcPr>
            <w:tcW w:w="940" w:type="dxa"/>
            <w:vAlign w:val="bottom"/>
            <w:gridSpan w:val="4"/>
          </w:tcPr>
          <w:p>
            <w:pPr>
              <w:jc w:val="right"/>
              <w:ind w:right="8"/>
              <w:spacing w:after="0"/>
              <w:rPr>
                <w:sz w:val="20"/>
                <w:szCs w:val="20"/>
                <w:color w:val="auto"/>
              </w:rPr>
            </w:pPr>
            <w:r>
              <w:rPr>
                <w:rFonts w:ascii="Times New Roman" w:cs="Times New Roman" w:eastAsia="Times New Roman" w:hAnsi="Times New Roman"/>
                <w:sz w:val="18"/>
                <w:szCs w:val="18"/>
                <w:color w:val="auto"/>
              </w:rPr>
              <w:t>$ 55,839</w:t>
            </w: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gridSpan w:val="4"/>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$53,273</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4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w w:val="97"/>
              </w:rPr>
              <w:t>$(1,038)</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$52,235</w:t>
            </w: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8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$152,497</w:t>
            </w:r>
          </w:p>
        </w:tc>
        <w:tc>
          <w:tcPr>
            <w:tcW w:w="1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$(5,058)</w:t>
            </w:r>
          </w:p>
        </w:tc>
        <w:tc>
          <w:tcPr>
            <w:tcW w:w="20" w:type="dxa"/>
            <w:vAlign w:val="bottom"/>
            <w:shd w:val="clear" w:color="auto" w:fill="CCEEFF"/>
          </w:tcPr>
          <w:p>
            <w:pPr>
              <w:spacing w:after="0"/>
              <w:rPr>
                <w:sz w:val="23"/>
                <w:szCs w:val="23"/>
                <w:color w:val="auto"/>
              </w:rPr>
            </w:pPr>
          </w:p>
        </w:tc>
        <w:tc>
          <w:tcPr>
            <w:tcW w:w="940" w:type="dxa"/>
            <w:vAlign w:val="bottom"/>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$147,439</w:t>
            </w:r>
          </w:p>
        </w:tc>
        <w:tc>
          <w:tcPr>
            <w:tcW w:w="0" w:type="dxa"/>
            <w:vAlign w:val="bottom"/>
          </w:tcPr>
          <w:p>
            <w:pPr>
              <w:spacing w:after="0"/>
              <w:rPr>
                <w:sz w:val="1"/>
                <w:szCs w:val="1"/>
                <w:color w:val="auto"/>
              </w:rPr>
            </w:pPr>
          </w:p>
        </w:tc>
      </w:tr>
      <w:tr>
        <w:trPr>
          <w:trHeight w:val="54"/>
        </w:trPr>
        <w:tc>
          <w:tcPr>
            <w:tcW w:w="31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5560695</wp:posOffset>
            </wp:positionH>
            <wp:positionV relativeFrom="paragraph">
              <wp:posOffset>-3291205</wp:posOffset>
            </wp:positionV>
            <wp:extent cx="13716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4960620</wp:posOffset>
            </wp:positionH>
            <wp:positionV relativeFrom="paragraph">
              <wp:posOffset>-3291205</wp:posOffset>
            </wp:positionV>
            <wp:extent cx="13716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-3291205</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5577840</wp:posOffset>
            </wp:positionH>
            <wp:positionV relativeFrom="paragraph">
              <wp:posOffset>-1962150</wp:posOffset>
            </wp:positionV>
            <wp:extent cx="12001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4994910</wp:posOffset>
            </wp:positionH>
            <wp:positionV relativeFrom="paragraph">
              <wp:posOffset>-1962150</wp:posOffset>
            </wp:positionV>
            <wp:extent cx="12001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4438015</wp:posOffset>
            </wp:positionH>
            <wp:positionV relativeFrom="paragraph">
              <wp:posOffset>-1962150</wp:posOffset>
            </wp:positionV>
            <wp:extent cx="12001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-1962150</wp:posOffset>
            </wp:positionV>
            <wp:extent cx="12001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3263265</wp:posOffset>
            </wp:positionH>
            <wp:positionV relativeFrom="paragraph">
              <wp:posOffset>-1962150</wp:posOffset>
            </wp:positionV>
            <wp:extent cx="12001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2766060</wp:posOffset>
            </wp:positionH>
            <wp:positionV relativeFrom="paragraph">
              <wp:posOffset>-1962150</wp:posOffset>
            </wp:positionV>
            <wp:extent cx="6032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-633730</wp:posOffset>
            </wp:positionV>
            <wp:extent cx="6858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5020945</wp:posOffset>
            </wp:positionH>
            <wp:positionV relativeFrom="paragraph">
              <wp:posOffset>-633730</wp:posOffset>
            </wp:positionV>
            <wp:extent cx="6858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4480560</wp:posOffset>
            </wp:positionH>
            <wp:positionV relativeFrom="paragraph">
              <wp:posOffset>-633730</wp:posOffset>
            </wp:positionV>
            <wp:extent cx="6858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3880485</wp:posOffset>
            </wp:positionH>
            <wp:positionV relativeFrom="paragraph">
              <wp:posOffset>-633730</wp:posOffset>
            </wp:positionV>
            <wp:extent cx="6858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3297555</wp:posOffset>
            </wp:positionH>
            <wp:positionV relativeFrom="paragraph">
              <wp:posOffset>-633730</wp:posOffset>
            </wp:positionV>
            <wp:extent cx="6858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2800350</wp:posOffset>
            </wp:positionH>
            <wp:positionV relativeFrom="paragraph">
              <wp:posOffset>-633730</wp:posOffset>
            </wp:positionV>
            <wp:extent cx="3429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7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has restated its unaudited condensed consolidated Statements of Cash Flows for the periods ended</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March 31, 2023, June 30, 2023 and September 30, 2023, as follows (in thousands):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588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30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9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58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300" w:type="dxa"/>
            <w:vAlign w:val="bottom"/>
          </w:tcPr>
          <w:p>
            <w:pPr>
              <w:spacing w:after="0"/>
              <w:rPr>
                <w:sz w:val="21"/>
                <w:szCs w:val="21"/>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 by</w:t>
            </w:r>
          </w:p>
        </w:tc>
        <w:tc>
          <w:tcPr>
            <w:tcW w:w="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3"/>
                <w:szCs w:val="23"/>
                <w:color w:val="auto"/>
              </w:rPr>
            </w:pPr>
          </w:p>
        </w:tc>
        <w:tc>
          <w:tcPr>
            <w:tcW w:w="5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$1,951</w:t>
            </w:r>
          </w:p>
        </w:tc>
        <w:tc>
          <w:tcPr>
            <w:tcW w:w="200" w:type="dxa"/>
            <w:vAlign w:val="bottom"/>
          </w:tcPr>
          <w:p>
            <w:pPr>
              <w:spacing w:after="0"/>
              <w:rPr>
                <w:sz w:val="23"/>
                <w:szCs w:val="23"/>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$(1,591)</w:t>
            </w:r>
          </w:p>
        </w:tc>
        <w:tc>
          <w:tcPr>
            <w:tcW w:w="20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360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588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   86</w:t>
            </w:r>
          </w:p>
        </w:tc>
        <w:tc>
          <w:tcPr>
            <w:tcW w:w="200" w:type="dxa"/>
            <w:vAlign w:val="bottom"/>
          </w:tcPr>
          <w:p>
            <w:pPr>
              <w:spacing w:after="0"/>
              <w:rPr>
                <w:sz w:val="23"/>
                <w:szCs w:val="23"/>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$1,591</w:t>
            </w:r>
          </w:p>
        </w:tc>
        <w:tc>
          <w:tcPr>
            <w:tcW w:w="20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$1,677</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1"/>
        </w:trPr>
        <w:tc>
          <w:tcPr>
            <w:tcW w:w="130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300" w:type="dxa"/>
            <w:vAlign w:val="bottom"/>
          </w:tcPr>
          <w:p>
            <w:pPr>
              <w:spacing w:after="0"/>
              <w:rPr>
                <w:sz w:val="4"/>
                <w:szCs w:val="4"/>
                <w:color w:val="auto"/>
              </w:rPr>
            </w:pPr>
          </w:p>
        </w:tc>
        <w:tc>
          <w:tcPr>
            <w:tcW w:w="5880" w:type="dxa"/>
            <w:vAlign w:val="bottom"/>
          </w:tcPr>
          <w:p>
            <w:pPr>
              <w:spacing w:after="0"/>
              <w:rPr>
                <w:sz w:val="4"/>
                <w:szCs w:val="4"/>
                <w:color w:val="auto"/>
              </w:rPr>
            </w:pPr>
          </w:p>
        </w:tc>
        <w:tc>
          <w:tcPr>
            <w:tcW w:w="880" w:type="dxa"/>
            <w:vAlign w:val="bottom"/>
            <w:tcBorders>
              <w:bottom w:val="single" w:sz="8" w:color="auto"/>
            </w:tcBorders>
            <w:gridSpan w:val="3"/>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30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9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1300" w:type="dxa"/>
            <w:vAlign w:val="bottom"/>
          </w:tcPr>
          <w:p>
            <w:pPr>
              <w:spacing w:after="0"/>
              <w:rPr>
                <w:sz w:val="4"/>
                <w:szCs w:val="4"/>
                <w:color w:val="auto"/>
              </w:rPr>
            </w:pPr>
          </w:p>
        </w:tc>
        <w:tc>
          <w:tcPr>
            <w:tcW w:w="588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300" w:type="dxa"/>
            <w:vAlign w:val="bottom"/>
          </w:tcPr>
          <w:p>
            <w:pPr>
              <w:spacing w:after="0"/>
              <w:rPr>
                <w:sz w:val="21"/>
                <w:szCs w:val="21"/>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 by</w:t>
            </w:r>
          </w:p>
        </w:tc>
        <w:tc>
          <w:tcPr>
            <w:tcW w:w="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3"/>
                <w:szCs w:val="23"/>
                <w:color w:val="auto"/>
              </w:rPr>
            </w:pPr>
          </w:p>
        </w:tc>
        <w:tc>
          <w:tcPr>
            <w:tcW w:w="5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6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$ 3,605</w:t>
            </w:r>
          </w:p>
        </w:tc>
        <w:tc>
          <w:tcPr>
            <w:tcW w:w="200" w:type="dxa"/>
            <w:vAlign w:val="bottom"/>
          </w:tcPr>
          <w:p>
            <w:pPr>
              <w:spacing w:after="0"/>
              <w:rPr>
                <w:sz w:val="23"/>
                <w:szCs w:val="23"/>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$(4,020)</w:t>
            </w:r>
          </w:p>
        </w:tc>
        <w:tc>
          <w:tcPr>
            <w:tcW w:w="20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(415)</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588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00" w:type="dxa"/>
            <w:vAlign w:val="bottom"/>
          </w:tcPr>
          <w:p>
            <w:pPr>
              <w:spacing w:after="0"/>
              <w:rPr>
                <w:sz w:val="23"/>
                <w:szCs w:val="23"/>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$4,020</w:t>
            </w:r>
          </w:p>
        </w:tc>
        <w:tc>
          <w:tcPr>
            <w:tcW w:w="200" w:type="dxa"/>
            <w:vAlign w:val="bottom"/>
          </w:tcPr>
          <w:p>
            <w:pPr>
              <w:spacing w:after="0"/>
              <w:rPr>
                <w:sz w:val="23"/>
                <w:szCs w:val="23"/>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$2,882</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588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F-39</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58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5577840</wp:posOffset>
            </wp:positionH>
            <wp:positionV relativeFrom="paragraph">
              <wp:posOffset>-3042285</wp:posOffset>
            </wp:positionV>
            <wp:extent cx="12001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4994910</wp:posOffset>
            </wp:positionH>
            <wp:positionV relativeFrom="paragraph">
              <wp:posOffset>-3042285</wp:posOffset>
            </wp:positionV>
            <wp:extent cx="12001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4514850</wp:posOffset>
            </wp:positionH>
            <wp:positionV relativeFrom="paragraph">
              <wp:posOffset>-3042285</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5577840</wp:posOffset>
            </wp:positionH>
            <wp:positionV relativeFrom="paragraph">
              <wp:posOffset>-1379220</wp:posOffset>
            </wp:positionV>
            <wp:extent cx="12001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4994910</wp:posOffset>
            </wp:positionH>
            <wp:positionV relativeFrom="paragraph">
              <wp:posOffset>-1379220</wp:posOffset>
            </wp:positionV>
            <wp:extent cx="12001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4497705</wp:posOffset>
            </wp:positionH>
            <wp:positionV relativeFrom="paragraph">
              <wp:posOffset>-1379220</wp:posOffset>
            </wp:positionV>
            <wp:extent cx="6032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020"/>
          </w:cols>
          <w:pgMar w:left="440" w:top="263" w:right="439" w:bottom="946" w:gutter="0" w:footer="0" w:header="0"/>
        </w:sectPr>
      </w:pPr>
    </w:p>
    <w:bookmarkStart w:id="179" w:name="page180"/>
    <w:bookmarkEnd w:id="1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25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0" w:type="dxa"/>
            <w:vAlign w:val="bottom"/>
          </w:tcPr>
          <w:p>
            <w:pPr>
              <w:spacing w:after="0"/>
              <w:rPr>
                <w:sz w:val="1"/>
                <w:szCs w:val="1"/>
                <w:color w:val="auto"/>
              </w:rPr>
            </w:pPr>
          </w:p>
        </w:tc>
      </w:tr>
      <w:tr>
        <w:trPr>
          <w:trHeight w:val="51"/>
        </w:trPr>
        <w:tc>
          <w:tcPr>
            <w:tcW w:w="5900" w:type="dxa"/>
            <w:vAlign w:val="bottom"/>
          </w:tcPr>
          <w:p>
            <w:pPr>
              <w:spacing w:after="0"/>
              <w:rPr>
                <w:sz w:val="4"/>
                <w:szCs w:val="4"/>
                <w:color w:val="auto"/>
              </w:rPr>
            </w:pPr>
          </w:p>
        </w:tc>
        <w:tc>
          <w:tcPr>
            <w:tcW w:w="800" w:type="dxa"/>
            <w:vAlign w:val="bottom"/>
            <w:tcBorders>
              <w:bottom w:val="single" w:sz="8" w:color="auto"/>
            </w:tcBorders>
            <w:gridSpan w:val="3"/>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5900" w:type="dxa"/>
            <w:vAlign w:val="bottom"/>
          </w:tcPr>
          <w:p>
            <w:pPr>
              <w:spacing w:after="0"/>
              <w:rPr>
                <w:sz w:val="16"/>
                <w:szCs w:val="16"/>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0"/>
        </w:trPr>
        <w:tc>
          <w:tcPr>
            <w:tcW w:w="5900" w:type="dxa"/>
            <w:vAlign w:val="bottom"/>
          </w:tcPr>
          <w:p>
            <w:pPr>
              <w:spacing w:after="0"/>
              <w:rPr>
                <w:sz w:val="16"/>
                <w:szCs w:val="16"/>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9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9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provided by</w:t>
            </w: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5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$4,862</w:t>
            </w:r>
          </w:p>
        </w:tc>
        <w:tc>
          <w:tcPr>
            <w:tcW w:w="10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$(5,058)</w:t>
            </w:r>
          </w:p>
        </w:tc>
        <w:tc>
          <w:tcPr>
            <w:tcW w:w="1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(196)</w:t>
            </w:r>
          </w:p>
        </w:tc>
        <w:tc>
          <w:tcPr>
            <w:tcW w:w="0" w:type="dxa"/>
            <w:vAlign w:val="bottom"/>
          </w:tcPr>
          <w:p>
            <w:pPr>
              <w:spacing w:after="0"/>
              <w:rPr>
                <w:sz w:val="1"/>
                <w:szCs w:val="1"/>
                <w:color w:val="auto"/>
              </w:rPr>
            </w:pPr>
          </w:p>
        </w:tc>
      </w:tr>
      <w:tr>
        <w:trPr>
          <w:trHeight w:val="54"/>
        </w:trPr>
        <w:tc>
          <w:tcPr>
            <w:tcW w:w="5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$5,058</w:t>
            </w:r>
          </w:p>
        </w:tc>
        <w:tc>
          <w:tcPr>
            <w:tcW w:w="1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$5,320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-934085</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-934085</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-934085</wp:posOffset>
            </wp:positionV>
            <wp:extent cx="342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years ended December 31, 2023, 2022 and 2021.</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Significant estimates made by management include, among others, the allowance for credit losses, the useful lives of long-lived assets, income taxes, website and internal-use software development costs, leases, valuation of goodwill and other intangible assets, valuation of warrant liability, deferred tax assets and the related valuation allowance, tax receivable agreement (“TRA”) liability, revenue recognition, performance and stock-based compensation and the recognition and disclosure of contingent liabilities.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Company operates in a relatively new industry where laws and regulations vary significantly by jurisdiction. Currently, thirty-nine states, the District of Columbia, Puerto Rico, the Virgin Islands, and Guam have legalized some form of cannabis use for certain medical purposes. Twenty-four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Additionally, while a number of U.S. legislators have introduced various bills to legalize cannabis at the federal level, none of these bills has become law. Currently, under federal law, cannabis, other than hemp (defined by the U.S. government as Cannabis sativa L. with a THC concentration of not more than 0.3% on a dry weight basis), is still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can be a predicate for certain other crimes, including money laundering laws and the Racketeer Influenced and Corrupt Organizations Act. If any of the states that permit use of cannabis were to change their laws or the federal government was to actively enforce the CSA or other laws related to the federal prohibition on cannabis, the Company’s business could be adversely affected.</w:t>
      </w:r>
    </w:p>
    <w:p>
      <w:pPr>
        <w:spacing w:after="0" w:line="85"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addition, the Company’s ability to grow and meet its operating objectives depends largely on the continued legalization and regulation of cannabis on a widespread basis. There can be no assurance that such legalization will occur on a timely basis, or at all.</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geographic concentration of the Company’s clients makes the Company vulnerable to a downturn in the local markets. Historically, the Company’s business operations have been located primarily in the State of California. See Note 3, “Revenue from Contracts with Customers,” to these consolidated financial statements for additional information.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0" w:name="page181"/>
    <w:bookmarkEnd w:id="1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A receivable is recorded when an unconditional right to invoice and receive payment exists. Accounts receivable primarily include amounts related to receivables from customers. Receivables are shown net of allowance for credit losses which is maintained at a level that management believes to be sufficient to absorb estimated losses in the accounts receivable portfolio. The Company measures credit losses on its trade accounts receivable using the current expected credit loss model under ASC 326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Company calculates the expected credit losses on a pool basis for trade receivables that have similar risk characteristics. For trade receivables that do not share similar risk characteristics, the allowance for credit losses is calculated on an individual basis. Risk characteristics relevant to the Company’s accounts receivable include balance of customer account and aging status.</w:t>
      </w:r>
    </w:p>
    <w:p>
      <w:pPr>
        <w:spacing w:after="0" w:line="72"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Account balances are written off against the allowance when it is determined that it is probable that the receivable will not be recovered. The Company had allowance for credit losses of $8.7 million as of December 31, 2023 and $12.2 million of as of December 31, 2022, respectively.</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As of December 31, 2023, no customer accounted for more than 10% of the total gross accounts receivable outstanding. As of December 31, 2022, a receivable due from one customer accounted for approximately 11% of the total gross accounts receivable outstanding.</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the changes in the allowance for credit losses:</w:t>
      </w:r>
    </w:p>
    <w:p>
      <w:pPr>
        <w:spacing w:after="0" w:line="200" w:lineRule="exact"/>
        <w:rPr>
          <w:sz w:val="20"/>
          <w:szCs w:val="20"/>
          <w:color w:val="auto"/>
        </w:rPr>
      </w:pPr>
    </w:p>
    <w:p>
      <w:pPr>
        <w:spacing w:after="0" w:line="26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2360" w:type="dxa"/>
            <w:vAlign w:val="bottom"/>
            <w:gridSpan w:val="1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60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7"/>
        </w:trPr>
        <w:tc>
          <w:tcPr>
            <w:tcW w:w="6060" w:type="dxa"/>
            <w:vAlign w:val="bottom"/>
          </w:tcPr>
          <w:p>
            <w:pPr>
              <w:spacing w:after="0"/>
              <w:rPr>
                <w:sz w:val="19"/>
                <w:szCs w:val="19"/>
                <w:color w:val="auto"/>
              </w:rPr>
            </w:pPr>
          </w:p>
        </w:tc>
        <w:tc>
          <w:tcPr>
            <w:tcW w:w="5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1"/>
        </w:trPr>
        <w:tc>
          <w:tcPr>
            <w:tcW w:w="606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beginning of year</w:t>
            </w: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5"/>
              </w:rPr>
              <w:t>$12,232</w:t>
            </w:r>
          </w:p>
        </w:tc>
        <w:tc>
          <w:tcPr>
            <w:tcW w:w="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5,169</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Provision (benefit) for credit losses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17,216</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20" w:type="dxa"/>
            <w:vAlign w:val="bottom"/>
          </w:tcPr>
          <w:p>
            <w:pPr>
              <w:spacing w:after="0"/>
              <w:rPr>
                <w:sz w:val="23"/>
                <w:szCs w:val="23"/>
                <w:color w:val="auto"/>
              </w:rPr>
            </w:pPr>
          </w:p>
        </w:tc>
      </w:tr>
      <w:tr>
        <w:trPr>
          <w:trHeight w:val="54"/>
        </w:trPr>
        <w:tc>
          <w:tcPr>
            <w:tcW w:w="60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18"/>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 net of recoveries</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(10,153)</w:t>
            </w:r>
          </w:p>
        </w:tc>
        <w:tc>
          <w:tcPr>
            <w:tcW w:w="2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8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Allowance, end of year</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$ 8,748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12,232</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5,169</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60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5020310</wp:posOffset>
            </wp:positionH>
            <wp:positionV relativeFrom="paragraph">
              <wp:posOffset>-830580</wp:posOffset>
            </wp:positionV>
            <wp:extent cx="12001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-830580</wp:posOffset>
            </wp:positionV>
            <wp:extent cx="12001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-830580</wp:posOffset>
            </wp:positionV>
            <wp:extent cx="6032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Equity Securities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Investments in equity securities that do not have a readily determinable fair value and qualify for the measurement alternative for equity investments provided in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xml:space="preserve"> are accounted for at cost, less any impairment, plus or minus changes resulting from observable price changes in orderly transactions for an identical or similar investment of the same issuer. As of December 31, 2022, the carrying value of the Company’s investments in equity securities without a readily determinable fair value was $3.5 million, which is recorded within other assets on the Company’s consolidated balance sheets.</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 performs a qualitative assessment at each reporting date to evaluate whether the investments in equity securities are impaired. When a qualitative assessment indicates that an investment is impaired, the investment is written down to its fair value. For the years ended December 31, 2023 and 2022, the Company recorded $3.5 million, $3.0 million, respectively, in impairment charges related to investments in equity securities. These impairment charges are included in asset impairment charges in the accompanying consolidated statements of operations. The Company did not have any impairment charges related to investments in equity securities. in 2021.</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Property and equipment are carried at cost, less accumulated depreciation, amortization and asset impairment charges, and consist of internally developed software, computer equipment, furniture and fixtures and leasehold improvements. Depreciation is computed using the straight-line method over the estimated useful lives of the assets and generally over three years for computer equipment, seven years for furniture and fixtures. Leasehold improvements are amortized using the straight-line method over the shorter of their estimated useful lives or the remaining term of the related lease. Maintenance and repairs are expensed as incurred. When assets are retired or otherwise disposed of, the cost and related accumulated depreciation and amortization are removed from the accounts and any resulting gain or loss is reflected in the Company’s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1" w:name="page182"/>
    <w:bookmarkEnd w:id="1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 assesses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 For the year ended December 31, 2023, the Company recorded impairment charges of $3.9 million of which $2.7 million related to property and equipment associated with certain product offerings that were sunset in December 2023 and $1.3 million related to leasehold improvements associated with the impairment of a ROU asset both of which are included in asset impairment charges in the consolidated statements of operations. No impairments to property and equipment were recorded during the years ended December 31, 2022 and 2021.</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Capitalized Software</w:t>
      </w:r>
    </w:p>
    <w:p>
      <w:pPr>
        <w:spacing w:after="0" w:line="121"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color w:val="auto"/>
        </w:rPr>
        <w:t>Capitalized website and internal-use software development costs are included in property and equipment in the accompanying balance sheets. The Company capitalizes certain costs related to the development and enhancement of the Weedmaps platform and SaaS solutions when (i) the preliminary development project stage is completed,</w:t>
      </w:r>
    </w:p>
    <w:p>
      <w:pPr>
        <w:spacing w:after="0" w:line="1" w:lineRule="exact"/>
        <w:rPr>
          <w:sz w:val="20"/>
          <w:szCs w:val="20"/>
          <w:color w:val="auto"/>
        </w:rPr>
      </w:pPr>
    </w:p>
    <w:p>
      <w:pPr>
        <w:jc w:val="both"/>
        <w:ind w:left="300" w:right="299" w:hanging="8"/>
        <w:spacing w:after="0" w:line="251" w:lineRule="auto"/>
        <w:tabs>
          <w:tab w:leader="none" w:pos="59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has authorized further funding for the completion of the project and (iii) it is probable that the project will be completed and performed as intended. These capitalized costs include personnel and related expenses for employees and costs of third-party contractors who are directly associated with and who devote time to internal-use software projects. Capitalization of these costs ceases once the project is substantially complete and the software is ready for its intended purpose.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include salaries and benefits for employees, including engineering and technical teams who are responsible for building new products, as well as maintaining and improving existing products. Product development costs that do not meet the criteria for capitalization are expensed as incurred.</w:t>
      </w:r>
    </w:p>
    <w:p>
      <w:pPr>
        <w:spacing w:after="0" w:line="8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During the years ended December 31, 2023, 2022, and 2021, the Company amortized $7.7 million, $5.1 million and $0.1 million, respectively, of internal-use software development costs to subscription and support cost of revenues. For the years ended December 31, 2023 and 2022, the Company capitalized $13.1 million and $15.5 million of costs related to the development of software applications. At December 31, 2023 and 2022, the accumulated amortization of capitalized internal-use software development costs was $12.9 million and $5.1 million, respectively.</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Goodwill consists of the excess of the purchase price over the fair value of identifiable net assets of businesses acquired. Goodwill is reviewed for impairment each year using a qualitative or quantitative process that is performed at least annually as of December 31 or whenever events or circumstances indicate a likely reduction in the fair value of a reporting unit below its carrying amount such as changes in the business climate, poor indicators of operating performance or the sale or disposition of a significant portion of a reporting unit.</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testing for goodwill impairment, the Company may elect to utilize a qualitative assessment to evaluate whether it is more likely than not that the fair value of a reporting unit exceeds the carrying value. If it is determined that it is unlikely that the carrying value exceeds the fair value, the Company is not required to complete the quantitative goodwill impairment evaluation. If it is determined that the carrying value may exceed fair value when considering qualitative factors, a quantitative goodwill impairment evaluation is performed. When performing the quantitative evaluation, if the carrying value of the reporting unit exceeds its fair value, an impairment loss equal to the difference will be recorded.</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Intangible assets are recorded at cost less accumulated amortization. Intangible assets are reviewed for impairment whenever events or changes in circumstances may affect the recoverability of the net assets. Such reviews may include an analysis of current results and take into consideration the undiscounted value of projected operating cash flows. The Company recorded an impairment charge of $6.1 million for the year ended December 31, 2023 related to intangible assets associated with certain product offerings that were sunset in December 2023, which is included in asset impairment charges in the consolidated statements of operations. No intangible asset impairment charges have been recorded for the years ended December 31, 2022 and 2021. See Note 9, “Goodwill and Intangible Assets,” to these consolidated financial statements for additional information.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2" w:name="page183"/>
    <w:bookmarkEnd w:id="1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Company’s operating leases consist of office space located primarily in the United States. The Company does not have any leases classified as financing leases. The Company classifies arrangements meeting the definition of a lease as operating or financing leases, and leases are recorded on the consolidated balance sheets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Operating lease assets and liabilities are recognized at commencement date based on the present value of lease payments over the lease term. For finance leases, interest on the lease liability and the amortization of the right-of-use asset results in front-loaded expense over the lease term. Variable lease expenses are recorded when incurred.</w:t>
      </w:r>
    </w:p>
    <w:p>
      <w:pPr>
        <w:spacing w:after="0" w:line="84"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In calculating the right-of-use asset and lease liability, the Company elects to combine lease and non-lease components for all classes of assets. The Company excludes short-term leases having initial terms of 12 months or less as an accounting policy election, and instead recognizes rent expense on a straight-line basis over the lease term.</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assesses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fair values of ROU assets were estimated using an income approach based on management’s forecast of future cash flows expected to be derived based on the sublease market rent. First, the Company tests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the Company performs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the Company relies on a discounted cash flow approach using market participant assumptions of the expected cash flows.</w:t>
      </w:r>
    </w:p>
    <w:p>
      <w:pPr>
        <w:spacing w:after="0" w:line="8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2023, the Company recognized $10.9 million of ROU asset impairment charges driven by updated sublease assumptions for our second headquarter space in Los Angeles, California, pursuant to an operating lease that expires in 2031. In addition, the Company recognized ROU asset impairment charges of $0.6 million and $2.4 million during the years ended December 31, 2022 and 2021, respectively, related to certain ROU assets reducing the carrying values of the lease assets to their estimated fair values based on the discounted cash flows of estimated net rental income for the office spaces subleased.</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impairment charges of ROU assets are included in asset impairment charges in the consolidated statements of operations. See Note 4, “Leases,” to these consolidated financial statements for additional information.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Company assumed 12,499,993 Public Warrants originally issued in the initial public offering of Silver Spike (the “Public Warrants”) and 7,000,000 Private Placement Warrants that were originally issued in a private placement by Silver Spike (the “Private Placement Warrants” and together with the Public Warrants, the “Warrants”) upon the Closing, all of which were issued in connection with Silver Spike’s initial public offering and entitle the holder to purchase one share of Class A Common Stock at an exercise price of at $11.50 per share. As of December 31, 2023, 12,499,973 Public Warrants and 7,000,000 Private Placement Warrants remained outstanding.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3" w:name="page184"/>
    <w:bookmarkEnd w:id="1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permitted transferees. If the Private Placement Warrants are held by someone other than the initial purchasers or their permitted transferees, the Private Placement Warrants will cease to be Private Placement Warrants, and become Public Warrants and be redeemable by the Company and exercisable by such holders on the same basis as the other Public Warrants.</w:t>
      </w:r>
    </w:p>
    <w:p>
      <w:pPr>
        <w:spacing w:after="0" w:line="7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The Company evaluated the Warrants under ASC 815-40 </w:t>
      </w:r>
      <w:r>
        <w:rPr>
          <w:rFonts w:ascii="Times New Roman" w:cs="Times New Roman" w:eastAsia="Times New Roman" w:hAnsi="Times New Roman"/>
          <w:sz w:val="18"/>
          <w:szCs w:val="18"/>
          <w:i w:val="1"/>
          <w:iCs w:val="1"/>
          <w:color w:val="auto"/>
        </w:rPr>
        <w:t>- Derivatives and Hedging - Contracts in Entity’s 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and concluded they do not meet the criteria to be classified in stockholders’ equity. Specifically, the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Warrants may be settled in cash upon the occurrence of a tender offer or exchange that involves 50% or more of our Class A equity holders. Because not all of the voting stockholders need to participate in such tender offer or exchange to trigger the potential cash settlement and the Company does not control the occurrence of such an event, the Company concluded that the Warrants do not meet the conditions to be classified in equity. Since the Warrants meet the definition of a derivative under ASC 815, the Company recorded these warrants as liabilities on the consolidated balance sheets at fair value, with subsequent changes in their respective fair values recognized in change in fair value of warrant liabilities within the consolidated statements of operations at each reporting date. See Note 12, “Warrant Liability,” to these consolidated financial statements for additional information.</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the Company entered into a tax receivable agreement (the “TRA”) with continuing members that provides for a payment to the continuing Class A Unit holders of 85% of the amount of tax benefits, if any, that the Company realizes, or is deemed to realize, as a result of redemptions or exchanges of Units (as defined below). In connection with such potential future tax benefits resulting from the Business Combination, and such subsequent redemptions and exchanges, the Company has established a deferred tax asset for the additional tax basis and a corresponding TRA liability of 85% of the expected benefit. The remaining 15% is recorded to additional paid-in capital.</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TRA liability is subject to remeasurement each reporting period, due to various factors, including changes in federal and state income tax rates and assessment of the probability of payment. As these remeasurement changes are subsequent to the initial measurement, the impact of the remeasurement is recorded in other income (expense), net on the consolidated statements of operations. See Note 16, “Income Taxes,” to these consolidated financial statements for additional information.</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 xml:space="preserve">The Company recognizes revenue when the fundamental criteria for revenue recognition are met.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Company recognizes revenue by applying the following five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 The Company excludes sales taxes and other similar taxes from the measurement of the transaction price. The transaction price reflects the amount the Company expects to receive for such goods, net of discounts. Discounts issued are primarily related to the Company’s WM Teal program, which stands for “Together for Equity Access and Legislation”, through which the Company provides discounts including free software, advertising, educational materials and training programs to applicants or licenses under social equity licensing programs. The Company provides a discount to license holders who were awarded special status by the state based on owner qualifications. These are typically given in new markets to add more diversity and inclusion in the cannabis space. A license’s social equity status is validated by the Company on the applicable state’s website. For the years ended December 31, 2023, 2022 and 2021, total discounts issued was $4.2 million, $4.5 million and $2.6 million, respectively. For clients that pay in advance for listing and other services, the Company records deferred revenue and recognizes revenue over the applicable subscription term.</w:t>
      </w:r>
    </w:p>
    <w:p>
      <w:pPr>
        <w:spacing w:after="0" w:line="87"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Company’s revenues are derived primarily from monthly subscriptions to Weedmaps for Business, featured and deal listings and other WM Ad solutions. The Company’s Weedmaps for Business subscriptions generally have one-month terms that automatically renew unless notice of cancellation is provided in advance. Featured and deal listings and other WM Ad solutions are offered as add-on products to the Weedmaps for Business subscriptions. Featured and deal listings provide customers with premium placement ad solutions and discount and promotion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4" w:name="page185"/>
    <w:bookmarkEnd w:id="1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pricing tools. Other WM Ad solutions include banner ads and promotion tiles on the Company’s marketplace ad as well as other advertising products on and off the Weedmaps marketplace. The Company has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services are provided.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84"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Revenue for service contracts that the Company assesses are not probable of collection is not recognized until the contract is completed and payment is received.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 See Note 3, “Revenue from Contracts with Customers,” to these consolidated financial statements for additional information.</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(Exclusive of Depreciation and Amortization)</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Company’s cost of revenue primarily consists of web hosting, internet service costs, credit card processing costs and other third party services.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expenses the cost of advertising in the period incurred. Advertising expense totaled $11.8 million, $14.4 million and $17.7 million for the years ended December 31, 2023, 2022 and 2021, respectively, and are included in sales and marketing expense in the accompanying consolidated statements of operations.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measures fair value of employee stock-based compensation awards on the date of grant and allocates the related expense over the requisite service period. The fair value of restricted stock units and performance-based restricted stock units is equal to the market price of the Company’s common stock on the date of grant. The fair value of the Class P Units is measured using the Black-Scholes-Merton valuation model. The expected volatility is based on the historical volatility and implied volatilities for comparable companies, the expected life of the award is based on the simplified method. When awards include a performance condition that impacts the vesting of the award, the Company records compensation cost when it becomes probable that the performance condition will be met and the expense will be attributed over the performance period. See Note 14, “Stock-based Compensation,” to these consolidated financial statements for additional information.</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Company’s 401(k) saving plan is a tax-qualified deferred compensation arrangement under Section 401(k) of the Internal Revenue Code. Under the Company’s 401(k) plan, participating U.S. employees may contribute a portion of their eligible earnings, subject to applicable U.S. Internal Revenue Service and plan limits. The Company matches up to 3.5% of the employee’s eligible compensation, vested upon two years of service. For the years ended December 31, 2023, 2022 and 2021, the Company recognized $2.3 million, $2.4 million and $1.5 million, respectively, of expenses related to employer contributions for the Company’s 401(k) plan.</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Other income (expense), net consists primarily of gain resulting from the discharge of a holdback obligation related to a prior acquisition, change in fair value of warrant liability and TRA liability remeasurement, political contributions, interest income, interest expense, financing fees and other tax related expenses. The Company recorded a non-cash gain of $3.7 million during the year ended December 31, 2023 resulting from the discharge of a holdback obligation related to a prior acquisition.</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accounts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5" w:name="page186"/>
    <w:bookmarkEnd w:id="1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applicable to the periods in which the temporary differences are expected to reverse. Any effects of changes in income tax rates or laws are included in income tax expense in the period of enactment. A valuation allowance is recognized if the Company determines it is more-likely-than-not that all or a portion of a deferred tax asset will not be recognized. In making such determination, the Company considers all available evidence, including scheduled reversals of deferred tax liabilities, projected future taxable income, tax planning strategies and recent and expected future results of operation. See Note 16, “Income Taxes,” to these consolidated financial statements for additional information.</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Company has identified one business segment which management also considers to be one reporting unit as the Company’s Executive Chair and Interim Chief Financial Officer allocate resources, assess performance and manage the businesses as one segment.</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Basic income (loss) per share is computed by dividing net income (loss) attributable to WM Technology, Inc. by the weighted-average number of shares of Class A Common Stock outstanding during the period.</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Potential common shares are excluded from the calculation of diluted EPS in the event they are antidilutive or subject to performance conditions for which the necessary conditions have not been satisfied by the end of the reporting period. See Note 15, “Earnings Per Share,” for additional information on dilutive securities.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Company’s financial instruments are potentially subject to concentrations of credit risk. The Company places its cash with high quality credit institutions and the Company’s cash balances at these institutions typically exceed the Federal Deposit Insurance Corporation limit. As of December 31, 2023, the Company had cash balances that exceeded the deposit insurance limit with five financial institutions. As of December 31, 2022, the Company had cash balances that exceeded the deposit insurance limit with four financial institutions. Management believes that the risk of loss is not significant and has not experienced any losses in such accounts.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Company reviewed the accounting pronouncements that became effective for fiscal year 2023 and determined that either they were not applicable, or they did not have a material impact on the consolidated financial statements.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issued Accounting Standards Update (“ASU”) 2023-09, </w:t>
      </w:r>
      <w:r>
        <w:rPr>
          <w:rFonts w:ascii="Times New Roman" w:cs="Times New Roman" w:eastAsia="Times New Roman" w:hAnsi="Times New Roman"/>
          <w:sz w:val="18"/>
          <w:szCs w:val="18"/>
          <w:i w:val="1"/>
          <w:iCs w:val="1"/>
          <w:color w:val="auto"/>
        </w:rPr>
        <w:t>“Income Taxes - Improvements to Income Tax Disclosures”</w:t>
      </w:r>
      <w:r>
        <w:rPr>
          <w:rFonts w:ascii="Times New Roman" w:cs="Times New Roman" w:eastAsia="Times New Roman" w:hAnsi="Times New Roman"/>
          <w:sz w:val="18"/>
          <w:szCs w:val="18"/>
          <w:color w:val="auto"/>
        </w:rPr>
        <w:t xml:space="preserve"> requiring enhancements and further transparency to certain income tax disclosures, most notably the tax rate reconciliation and income taxes paid. This ASU is effective for fiscal years beginning after December 15, 2024 on a prospective basis and retrospective application is permitted. We are currently evaluating the impact of the adoption of this standard.</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also reviewed other recently issued accounting pronouncements to be adopted in future periods and determined that they are not expected to have a material impact on the consolidated financial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6" w:name="page187"/>
    <w:bookmarkEnd w:id="1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9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sells a monthly subscription offering to retailer and brand clients as well as upsell and add-on offerings to licensed clients. The Company’s current Weedmaps for Business monthly subscription package includes:</w:t>
      </w:r>
    </w:p>
    <w:p>
      <w:pPr>
        <w:spacing w:after="0" w:line="68" w:lineRule="exact"/>
        <w:rPr>
          <w:sz w:val="20"/>
          <w:szCs w:val="20"/>
          <w:color w:val="auto"/>
        </w:rPr>
      </w:pPr>
    </w:p>
    <w:p>
      <w:pPr>
        <w:jc w:val="both"/>
        <w:ind w:left="1000" w:right="299" w:hanging="348"/>
        <w:spacing w:after="0" w:line="261"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Listings: A listing page with product menu for a retailer or brand on the Weedmaps marketplace, enabling the Company’s clients to be discovered by the marketplace’s users. This also allows clients to disclose their license information, hours of operation, contact information, discount policies and other information that may be required under applicable state law.</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Orders: Software for retailers to receive pickup and delivery orders directly from a Weedmaps listing and connect orders directly with a client’s POS system (for certain POS systems). The marketplace also 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9"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Store: Customizable order and menus embed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spacing w:after="0" w:line="294"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also offers other add-on products for additional fees, including:</w:t>
      </w:r>
    </w:p>
    <w:p>
      <w:pPr>
        <w:spacing w:after="0" w:line="117" w:lineRule="exact"/>
        <w:rPr>
          <w:sz w:val="20"/>
          <w:szCs w:val="20"/>
          <w:color w:val="auto"/>
        </w:rPr>
      </w:pPr>
    </w:p>
    <w:p>
      <w:pPr>
        <w:ind w:left="1000" w:right="319" w:hanging="348"/>
        <w:spacing w:after="0" w:line="282" w:lineRule="auto"/>
        <w:tabs>
          <w:tab w:leader="none" w:pos="10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Ads: Ad solutions on the Weedmaps marketplace designed for clients to amplify their businesses and reach more highly engaged cannabis consumers throughout their buying journey including:</w:t>
      </w:r>
    </w:p>
    <w:p>
      <w:pPr>
        <w:spacing w:after="0" w:line="53" w:lineRule="exact"/>
        <w:rPr>
          <w:rFonts w:ascii="Times New Roman" w:cs="Times New Roman" w:eastAsia="Times New Roman" w:hAnsi="Times New Roman"/>
          <w:sz w:val="18"/>
          <w:szCs w:val="18"/>
          <w:color w:val="auto"/>
        </w:rPr>
      </w:pPr>
    </w:p>
    <w:p>
      <w:pPr>
        <w:jc w:val="both"/>
        <w:ind w:left="1360" w:right="319" w:hanging="348"/>
        <w:spacing w:after="0" w:line="239" w:lineRule="auto"/>
        <w:tabs>
          <w:tab w:leader="none" w:pos="1360" w:val="left"/>
        </w:tabs>
        <w:numPr>
          <w:ilvl w:val="1"/>
          <w:numId w:val="1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Featured Listings: Premium placement ad solutions on high visibility locations on the Weedmaps marketplace (desktop and mobile) to amplify our clients’ businesses and maximize clients’ listings and deal presence.</w:t>
      </w:r>
    </w:p>
    <w:p>
      <w:pPr>
        <w:sectPr>
          <w:pgSz w:w="11900" w:h="16838" w:orient="portrait"/>
          <w:cols w:equalWidth="0" w:num="1">
            <w:col w:w="9019"/>
          </w:cols>
          <w:pgMar w:left="1440" w:top="114" w:right="1440" w:bottom="1440" w:gutter="0" w:footer="0" w:header="0"/>
        </w:sectPr>
      </w:pPr>
    </w:p>
    <w:p>
      <w:pPr>
        <w:spacing w:after="0" w:line="9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jc w:val="both"/>
        <w:ind w:right="319"/>
        <w:spacing w:after="0" w:line="266" w:lineRule="auto"/>
        <w:rPr>
          <w:sz w:val="20"/>
          <w:szCs w:val="20"/>
          <w:color w:val="auto"/>
        </w:rPr>
      </w:pPr>
      <w:r>
        <w:rPr>
          <w:rFonts w:ascii="Times New Roman" w:cs="Times New Roman" w:eastAsia="Times New Roman" w:hAnsi="Times New Roman"/>
          <w:sz w:val="18"/>
          <w:szCs w:val="18"/>
          <w:color w:val="auto"/>
        </w:rPr>
        <w:t>WM Deals: Discount and promotion pricing tools that let clients strategically reach prospective price-conscious cannabis customers with deals or discounts to drive conversion. In some jurisdictions, it is required by applicable law to showcase discounts.</w:t>
      </w:r>
    </w:p>
    <w:p>
      <w:pPr>
        <w:spacing w:after="0" w:line="68" w:lineRule="exact"/>
        <w:rPr>
          <w:sz w:val="20"/>
          <w:szCs w:val="20"/>
          <w:color w:val="auto"/>
        </w:rPr>
      </w:pPr>
    </w:p>
    <w:p>
      <w:pPr>
        <w:jc w:val="both"/>
        <w:ind w:right="319"/>
        <w:spacing w:after="0" w:line="266" w:lineRule="auto"/>
        <w:rPr>
          <w:sz w:val="20"/>
          <w:szCs w:val="20"/>
          <w:color w:val="auto"/>
        </w:rPr>
      </w:pPr>
      <w:r>
        <w:rPr>
          <w:rFonts w:ascii="Times New Roman" w:cs="Times New Roman" w:eastAsia="Times New Roman" w:hAnsi="Times New Roman"/>
          <w:sz w:val="18"/>
          <w:szCs w:val="18"/>
          <w:color w:val="auto"/>
        </w:rPr>
        <w:t>Other WM Ads solutions: Includes banner ads and promotion tiles on our marketplace as well as banner ads that can be tied to keyword searches. These products provide clients with targeted ad solutions in highly visible slots across our digital surfaces.</w:t>
      </w:r>
    </w:p>
    <w:p>
      <w:pPr>
        <w:spacing w:after="0" w:line="68" w:lineRule="exact"/>
        <w:rPr>
          <w:sz w:val="20"/>
          <w:szCs w:val="20"/>
          <w:color w:val="auto"/>
        </w:rPr>
      </w:pPr>
    </w:p>
    <w:p>
      <w:pPr>
        <w:sectPr>
          <w:pgSz w:w="11900" w:h="16838" w:orient="portrait"/>
          <w:cols w:equalWidth="0" w:num="2">
            <w:col w:w="1080" w:space="280"/>
            <w:col w:w="7659"/>
          </w:cols>
          <w:pgMar w:left="1440" w:top="114" w:right="1440" w:bottom="1440" w:gutter="0" w:footer="0" w:header="0"/>
          <w:type w:val="continuous"/>
        </w:sectPr>
      </w:pPr>
    </w:p>
    <w:p>
      <w:pPr>
        <w:jc w:val="both"/>
        <w:ind w:left="1000" w:right="319" w:hanging="348"/>
        <w:spacing w:after="0" w:line="266" w:lineRule="auto"/>
        <w:tabs>
          <w:tab w:leader="none" w:pos="10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Dispatch: Compliant, automated and optimized logistics and fulfillment last-mile delivery software (including driver apps) that helps clients manage their delivery fleets. This product streamlines the delivery experience from in-store to front-door.</w:t>
      </w:r>
    </w:p>
    <w:p>
      <w:pPr>
        <w:spacing w:after="0" w:line="68"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In December 2023, we completed the sunset of WM AdSuite, WM CRM and WM Screens product offerings as we continue to focus our efforts on other Weedmaps for Business products that support the Weedmaps marketplace and improve the eCommerce experience for our clients and users.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187" w:name="page188"/>
    <w:bookmarkEnd w:id="1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summarizes the Company’s disaggregated net revenue information (in thousands):</w:t>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180" w:type="dxa"/>
            <w:vAlign w:val="bottom"/>
          </w:tcPr>
          <w:p>
            <w:pPr>
              <w:spacing w:after="0"/>
              <w:rPr>
                <w:sz w:val="16"/>
                <w:szCs w:val="16"/>
                <w:color w:val="auto"/>
              </w:rPr>
            </w:pPr>
          </w:p>
        </w:tc>
        <w:tc>
          <w:tcPr>
            <w:tcW w:w="224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61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7"/>
        </w:trPr>
        <w:tc>
          <w:tcPr>
            <w:tcW w:w="6180" w:type="dxa"/>
            <w:vAlign w:val="bottom"/>
          </w:tcPr>
          <w:p>
            <w:pPr>
              <w:spacing w:after="0"/>
              <w:rPr>
                <w:sz w:val="19"/>
                <w:szCs w:val="19"/>
                <w:color w:val="auto"/>
              </w:rPr>
            </w:pP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9"/>
                <w:szCs w:val="19"/>
                <w:color w:val="auto"/>
              </w:rPr>
            </w:pPr>
          </w:p>
        </w:tc>
        <w:tc>
          <w:tcPr>
            <w:tcW w:w="6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6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9"/>
                <w:szCs w:val="19"/>
                <w:color w:val="auto"/>
              </w:rPr>
            </w:pPr>
          </w:p>
        </w:tc>
      </w:tr>
      <w:tr>
        <w:trPr>
          <w:trHeight w:val="50"/>
        </w:trPr>
        <w:tc>
          <w:tcPr>
            <w:tcW w:w="61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6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Featured and deal listings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$126,546</w:t>
            </w:r>
          </w:p>
        </w:tc>
        <w:tc>
          <w:tcPr>
            <w:tcW w:w="1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$149,621</w:t>
            </w:r>
          </w:p>
        </w:tc>
        <w:tc>
          <w:tcPr>
            <w:tcW w:w="10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$138,480</w:t>
            </w:r>
          </w:p>
        </w:tc>
      </w:tr>
      <w:tr>
        <w:trPr>
          <w:trHeight w:val="54"/>
        </w:trPr>
        <w:tc>
          <w:tcPr>
            <w:tcW w:w="6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6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Weedmaps for Business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46,730</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50,662</w:t>
            </w:r>
          </w:p>
        </w:tc>
        <w:tc>
          <w:tcPr>
            <w:tcW w:w="1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42,611</w:t>
            </w:r>
          </w:p>
        </w:tc>
      </w:tr>
      <w:tr>
        <w:trPr>
          <w:trHeight w:val="61"/>
        </w:trPr>
        <w:tc>
          <w:tcPr>
            <w:tcW w:w="618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84"/>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173,276</w:t>
            </w: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200,283</w:t>
            </w:r>
          </w:p>
        </w:tc>
        <w:tc>
          <w:tcPr>
            <w:tcW w:w="10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181,091</w:t>
            </w:r>
          </w:p>
        </w:tc>
      </w:tr>
      <w:tr>
        <w:trPr>
          <w:trHeight w:val="54"/>
        </w:trPr>
        <w:tc>
          <w:tcPr>
            <w:tcW w:w="6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6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ad solutions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14,717</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15,248</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12,055</w:t>
            </w:r>
          </w:p>
        </w:tc>
      </w:tr>
      <w:tr>
        <w:trPr>
          <w:trHeight w:val="61"/>
        </w:trPr>
        <w:tc>
          <w:tcPr>
            <w:tcW w:w="61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311"/>
        </w:trPr>
        <w:tc>
          <w:tcPr>
            <w:tcW w:w="6180" w:type="dxa"/>
            <w:vAlign w:val="bottom"/>
          </w:tcPr>
          <w:p>
            <w:pPr>
              <w:ind w:left="360"/>
              <w:spacing w:after="0" w:line="310" w:lineRule="exact"/>
              <w:rPr>
                <w:sz w:val="20"/>
                <w:szCs w:val="20"/>
                <w:color w:val="auto"/>
              </w:rPr>
            </w:pPr>
            <w:r>
              <w:rPr>
                <w:rFonts w:ascii="Times New Roman" w:cs="Times New Roman" w:eastAsia="Times New Roman" w:hAnsi="Times New Roman"/>
                <w:sz w:val="18"/>
                <w:szCs w:val="18"/>
                <w:color w:val="auto"/>
              </w:rPr>
              <w:t>Total net revenues</w:t>
            </w:r>
            <w:r>
              <w:rPr>
                <w:rFonts w:ascii="Times New Roman" w:cs="Times New Roman" w:eastAsia="Times New Roman" w:hAnsi="Times New Roman"/>
                <w:sz w:val="29"/>
                <w:szCs w:val="29"/>
                <w:color w:val="auto"/>
                <w:vertAlign w:val="superscript"/>
              </w:rPr>
              <w:t>1</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187,993</w:t>
            </w:r>
          </w:p>
        </w:tc>
        <w:tc>
          <w:tcPr>
            <w:tcW w:w="12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215,531</w:t>
            </w:r>
          </w:p>
        </w:tc>
        <w:tc>
          <w:tcPr>
            <w:tcW w:w="100" w:type="dxa"/>
            <w:vAlign w:val="bottom"/>
          </w:tcPr>
          <w:p>
            <w:pPr>
              <w:spacing w:after="0"/>
              <w:rPr>
                <w:sz w:val="24"/>
                <w:szCs w:val="24"/>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193,146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-1276985</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-1276985</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-1276985</wp:posOffset>
            </wp:positionV>
            <wp:extent cx="342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128905</wp:posOffset>
            </wp:positionV>
            <wp:extent cx="82296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7" w:lineRule="exact"/>
        <w:rPr>
          <w:sz w:val="20"/>
          <w:szCs w:val="20"/>
          <w:color w:val="auto"/>
        </w:rPr>
      </w:pPr>
    </w:p>
    <w:p>
      <w:pPr>
        <w:jc w:val="both"/>
        <w:ind w:left="640" w:right="299" w:hanging="348"/>
        <w:spacing w:after="0" w:line="241" w:lineRule="auto"/>
        <w:tabs>
          <w:tab w:leader="none" w:pos="64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revenues are net of discounts of $4.2 million in 2023, $4.5 million in 2022 and $2.6 million in 2021, primary related to the Company’s Teal program. See “Revenue Recognition” of Note 2, “Summary of Significant Accounting Policies” to the consolidated financial statements for further discussion.</w:t>
      </w:r>
    </w:p>
    <w:p>
      <w:pPr>
        <w:spacing w:after="0" w:line="316"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Deferred revenue primarily consists of billings or payments received in advance of revenue recognition from subscription offerings, as described above, and is recognized as the revenue recognition criteria are met. The deferred revenue balance as of December 31, 2023 was $5.9 million and is expected to be fully recognized within the next twelve months. The deferred revenue balances as of December 31, 2022 and 2021 were $6.3 million and $8.1 million, respectively, and were fully recognized in the first quarter of the following fiscal year.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8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revenue has been generated in the United States for the years ended December 31, 2023, 2022 and 2021. For the year ended December 31, 2023, approximately 52% of the Company’s net revenue originated in California compared with 56% for the year ended December 31, 2022 and 61% for the year ended December 31, 2021.</w:t>
      </w:r>
    </w:p>
    <w:p>
      <w:pPr>
        <w:spacing w:after="0" w:line="176" w:lineRule="exact"/>
        <w:rPr>
          <w:sz w:val="20"/>
          <w:szCs w:val="20"/>
          <w:color w:val="auto"/>
        </w:rPr>
      </w:pPr>
    </w:p>
    <w:p>
      <w:pPr>
        <w:ind w:left="640" w:hanging="348"/>
        <w:spacing w:after="0"/>
        <w:tabs>
          <w:tab w:leader="none" w:pos="64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Effective January 1, 2021, the Company adopted ASC 842 -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using the modified retrospective transition approach for recording ROU assets and operating lease liabilities for its operating leases. The Company’s operating leases consist of office space located primarily in the United States. The Company does not have any leases classified as financing leases.</w:t>
      </w:r>
    </w:p>
    <w:p>
      <w:pPr>
        <w:spacing w:after="0" w:line="7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components of lease related costs, net for the years ended December 31, 2023, 2022 and 2021 are as follows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2120" w:type="dxa"/>
            <w:vAlign w:val="bottom"/>
            <w:gridSpan w:val="8"/>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0"/>
        </w:trPr>
        <w:tc>
          <w:tcPr>
            <w:tcW w:w="630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7"/>
        </w:trPr>
        <w:tc>
          <w:tcPr>
            <w:tcW w:w="6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9"/>
                <w:szCs w:val="19"/>
                <w:color w:val="auto"/>
              </w:rPr>
            </w:pPr>
          </w:p>
        </w:tc>
      </w:tr>
      <w:tr>
        <w:trPr>
          <w:trHeight w:val="50"/>
        </w:trPr>
        <w:tc>
          <w:tcPr>
            <w:tcW w:w="63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6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$7,208</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2"/>
              </w:rPr>
              <w:t>$7,537</w:t>
            </w: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$ 9,229</w:t>
            </w:r>
          </w:p>
        </w:tc>
      </w:tr>
      <w:tr>
        <w:trPr>
          <w:trHeight w:val="25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20" w:type="dxa"/>
            <w:vAlign w:val="bottom"/>
          </w:tcPr>
          <w:p>
            <w:pPr>
              <w:spacing w:after="0"/>
              <w:rPr>
                <w:sz w:val="22"/>
                <w:szCs w:val="22"/>
                <w:color w:val="auto"/>
              </w:rPr>
            </w:pPr>
          </w:p>
        </w:tc>
      </w:tr>
      <w:tr>
        <w:trPr>
          <w:trHeight w:val="61"/>
        </w:trPr>
        <w:tc>
          <w:tcPr>
            <w:tcW w:w="630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63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9,062</w:t>
            </w:r>
          </w:p>
        </w:tc>
        <w:tc>
          <w:tcPr>
            <w:tcW w:w="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11,446</w:t>
            </w:r>
          </w:p>
        </w:tc>
      </w:tr>
      <w:tr>
        <w:trPr>
          <w:trHeight w:val="25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r>
      <w:tr>
        <w:trPr>
          <w:trHeight w:val="61"/>
        </w:trPr>
        <w:tc>
          <w:tcPr>
            <w:tcW w:w="630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cost, net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8,846</w:t>
            </w: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9,074</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11,534</w:t>
            </w:r>
          </w:p>
        </w:tc>
      </w:tr>
      <w:tr>
        <w:trPr>
          <w:trHeight w:val="48"/>
        </w:trPr>
        <w:tc>
          <w:tcPr>
            <w:tcW w:w="630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-1079500</wp:posOffset>
            </wp:positionV>
            <wp:extent cx="15430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-1079500</wp:posOffset>
            </wp:positionV>
            <wp:extent cx="17145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-1079500</wp:posOffset>
            </wp:positionV>
            <wp:extent cx="8572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rent expense is included in general and administrative expense in the accompanying consolidated statements of operations. During the years ended December 31, 2023, 2022 and 2021, the Company made cash payments of $9.9 million, $9.6 million and $8.2 million respectively, on its operating leases, all of which were included in cash flows from operating activities within the consolidated statements of cash flows.</w:t>
      </w:r>
    </w:p>
    <w:p>
      <w:pPr>
        <w:spacing w:after="0" w:line="7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Sublease rental income is recognized as a reduction to the related lease expense on a straight-line basis over the sublease term. For the years ended December 31, 2023, 2022 and 2021, the Company recorded rent income related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014" w:gutter="0" w:footer="0" w:header="0"/>
        </w:sectPr>
      </w:pPr>
    </w:p>
    <w:bookmarkStart w:id="188" w:name="page189"/>
    <w:bookmarkEnd w:id="1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to a sublease of $2.2 million, $1.9 million and $0.2 million, respectively. In 2022, the Company entered into a sublease agreement with an affiliate of the Executive Chair. The sublease commenced on June 1, 2022, and the term is for the remainder of the original lease and will expire on February 28, 2025, or sooner in the event that the original lease is cancelled prior to the expiration date. See Note 17, “Related Party Transactions,” to these consolidated financial statements for additional information.</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of December 31, 2023, future minimum payments for the next five years and thereafter are as follows (in thousands):</w:t>
      </w:r>
    </w:p>
    <w:p>
      <w:pPr>
        <w:spacing w:after="0" w:line="39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70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90"/>
        </w:trPr>
        <w:tc>
          <w:tcPr>
            <w:tcW w:w="7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50"/>
        </w:trPr>
        <w:tc>
          <w:tcPr>
            <w:tcW w:w="77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7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Years Ending December 31,</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7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13,016</w:t>
            </w: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r>
      <w:tr>
        <w:trPr>
          <w:trHeight w:val="61"/>
        </w:trPr>
        <w:tc>
          <w:tcPr>
            <w:tcW w:w="7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284"/>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
        </w:trPr>
        <w:tc>
          <w:tcPr>
            <w:tcW w:w="772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7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(11,923)</w:t>
            </w:r>
          </w:p>
        </w:tc>
      </w:tr>
      <w:tr>
        <w:trPr>
          <w:trHeight w:val="75"/>
        </w:trPr>
        <w:tc>
          <w:tcPr>
            <w:tcW w:w="77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83"/>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33,043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-2091055</wp:posOffset>
            </wp:positionV>
            <wp:extent cx="13716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As of December 31, 2023 and 2022, the Company’s operating leases had a weighted average remaining lease term of 6.3 years and 6.8 years and a weighted-average discount rate of 9.8%. The Company’s lease agreements do not provide an implicit rate and as a result, the Company used an estimated incremental borrowing rate, which was derived from third-party information available at the time the Company adopted ASC 842 in determining the present value of future lease payments. The rate used is for a secured borrowing of a similar term as the right of use asset. The fair value was estimated using an income approach based on management’s forecast of future cash flows expected to be derived based on current sublease market rent.</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assesses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fair values of ROU assets were estimated using an income approach based on management’s forecast of future cash flows expected to be derived based on the sublease market rent. First, the Company tests the asset group for recoverability by comparing the undiscounted cash flows of the asset group, which include expected future lease payments related to the lease agreement offset by expected sublease income, to the carrying amount of the asset group. If the first step of the long-lived asset impairment test concludes that the carrying amount of the asset group is not recoverable, the Company performs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the Company relies on a discounted cash flow approach using market participant assumptions of the expected cash flows.</w:t>
      </w:r>
    </w:p>
    <w:p>
      <w:pPr>
        <w:spacing w:after="0" w:line="8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2023, the Company recognized a ROU asset impairment charge of $10.9 million and impairment of related leasehold improvements of $1.3 million, driven by updated sublease assumptions for our second headquarter space in Los Angeles, California, pursuant to an operating lease that expires in 2031. In addition, the Company recognized ROU asset impairment charges of $0.6 million and $2.4 million during the years ended December 31, 2022 and 2021, respectively, related to certain ROU assets reducing the carrying values of the lease assets to their estimated fair values based on the discounted cash flows of estimated net rental income for the office spaces subleased. The ROU impairment charges are included in asset impairment charges in the consolidated statements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9" w:name="page190"/>
    <w:bookmarkEnd w:id="1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has minimum outstanding purchase obligations of $7.1 million in 2024, $7.3 million in 2025 and $7.5 million in 2026, due under software license agreements, of which the majority relates to the Company’s three-year AWS Enterprise agreement.</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Termination Costs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Company approved plans to reduce the workforce based on cost-reduction initiatives intended to reduce operating expenses and sharpen the Company’s focus on key growth priorities. The Company also incurred termination costs related to the departures of the Company’s former executives.</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provides a roll forward of employee termination costs:</w:t>
      </w:r>
    </w:p>
    <w:p>
      <w:pPr>
        <w:spacing w:after="0" w:line="200" w:lineRule="exact"/>
        <w:rPr>
          <w:sz w:val="20"/>
          <w:szCs w:val="20"/>
          <w:color w:val="auto"/>
        </w:rPr>
      </w:pPr>
    </w:p>
    <w:p>
      <w:pPr>
        <w:spacing w:after="0" w:line="24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Employee</w:t>
            </w:r>
          </w:p>
        </w:tc>
      </w:tr>
      <w:tr>
        <w:trPr>
          <w:trHeight w:val="190"/>
        </w:trPr>
        <w:tc>
          <w:tcPr>
            <w:tcW w:w="7280" w:type="dxa"/>
            <w:vAlign w:val="bottom"/>
          </w:tcPr>
          <w:p>
            <w:pPr>
              <w:spacing w:after="0"/>
              <w:rPr>
                <w:sz w:val="16"/>
                <w:szCs w:val="16"/>
                <w:color w:val="auto"/>
              </w:rPr>
            </w:pPr>
          </w:p>
        </w:tc>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Costs</w:t>
            </w:r>
          </w:p>
        </w:tc>
      </w:tr>
      <w:tr>
        <w:trPr>
          <w:trHeight w:val="51"/>
        </w:trPr>
        <w:tc>
          <w:tcPr>
            <w:tcW w:w="72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r>
      <w:tr>
        <w:trPr>
          <w:trHeight w:val="311"/>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employee termination costs, January 1, 2022</w:t>
            </w: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Employee termination costs - severance and other cash costs</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54"/>
        </w:trPr>
        <w:tc>
          <w:tcPr>
            <w:tcW w:w="7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18"/>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paid</w:t>
            </w:r>
          </w:p>
        </w:tc>
        <w:tc>
          <w:tcPr>
            <w:tcW w:w="3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240" w:type="dxa"/>
            <w:vAlign w:val="bottom"/>
            <w:tcBorders>
              <w:bottom w:val="single" w:sz="8" w:color="CCEEFF"/>
            </w:tcBorders>
            <w:shd w:val="clear" w:color="auto" w:fill="CCEEFF"/>
          </w:tcPr>
          <w:p>
            <w:pPr>
              <w:spacing w:after="0"/>
              <w:rPr>
                <w:sz w:val="24"/>
                <w:szCs w:val="24"/>
                <w:color w:val="auto"/>
              </w:rPr>
            </w:pPr>
          </w:p>
        </w:tc>
      </w:tr>
      <w:tr>
        <w:trPr>
          <w:trHeight w:val="28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Unpaid employee termination costs, December 31, 2022</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3,646</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54"/>
        </w:trPr>
        <w:tc>
          <w:tcPr>
            <w:tcW w:w="7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304"/>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termination costs - severance and other cash costs</w:t>
            </w:r>
          </w:p>
        </w:tc>
        <w:tc>
          <w:tcPr>
            <w:tcW w:w="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r>
      <w:tr>
        <w:trPr>
          <w:trHeight w:val="27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Total paid</w:t>
            </w: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240" w:type="dxa"/>
            <w:vAlign w:val="bottom"/>
          </w:tcPr>
          <w:p>
            <w:pPr>
              <w:spacing w:after="0"/>
              <w:rPr>
                <w:sz w:val="23"/>
                <w:szCs w:val="23"/>
                <w:color w:val="auto"/>
              </w:rPr>
            </w:pPr>
          </w:p>
        </w:tc>
      </w:tr>
      <w:tr>
        <w:trPr>
          <w:trHeight w:val="48"/>
        </w:trPr>
        <w:tc>
          <w:tcPr>
            <w:tcW w:w="7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r>
      <w:tr>
        <w:trPr>
          <w:trHeight w:val="283"/>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employee termination costs, December 31, 2023</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34"/>
        </w:trPr>
        <w:tc>
          <w:tcPr>
            <w:tcW w:w="7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4694555</wp:posOffset>
            </wp:positionH>
            <wp:positionV relativeFrom="paragraph">
              <wp:posOffset>-1490980</wp:posOffset>
            </wp:positionV>
            <wp:extent cx="12001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13"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Employee termination costs are included in general and administrative expenses on the consolidated statements of operations.</w:t>
      </w:r>
    </w:p>
    <w:p>
      <w:pPr>
        <w:spacing w:after="0" w:line="158" w:lineRule="exact"/>
        <w:rPr>
          <w:sz w:val="20"/>
          <w:szCs w:val="20"/>
          <w:color w:val="auto"/>
        </w:rPr>
      </w:pPr>
    </w:p>
    <w:p>
      <w:pPr>
        <w:ind w:left="640" w:hanging="348"/>
        <w:spacing w:after="0"/>
        <w:tabs>
          <w:tab w:leader="none" w:pos="64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9" w:lineRule="exact"/>
        <w:rPr>
          <w:sz w:val="20"/>
          <w:szCs w:val="20"/>
          <w:color w:val="auto"/>
        </w:rPr>
      </w:pPr>
    </w:p>
    <w:p>
      <w:pPr>
        <w:jc w:val="both"/>
        <w:ind w:left="300" w:right="299"/>
        <w:spacing w:after="0" w:line="284" w:lineRule="auto"/>
        <w:rPr>
          <w:sz w:val="20"/>
          <w:szCs w:val="20"/>
          <w:color w:val="auto"/>
        </w:rPr>
      </w:pPr>
      <w:r>
        <w:rPr>
          <w:rFonts w:ascii="Times New Roman" w:cs="Times New Roman" w:eastAsia="Times New Roman" w:hAnsi="Times New Roman"/>
          <w:sz w:val="18"/>
          <w:szCs w:val="18"/>
          <w:color w:val="auto"/>
        </w:rPr>
        <w:t xml:space="preserve">The Company follows the guidance in ASC 820 -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w:t>
      </w:r>
    </w:p>
    <w:p>
      <w:pPr>
        <w:spacing w:after="0" w:line="5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84" w:lineRule="exact"/>
        <w:rPr>
          <w:sz w:val="20"/>
          <w:szCs w:val="20"/>
          <w:color w:val="auto"/>
        </w:rPr>
      </w:pPr>
    </w:p>
    <w:p>
      <w:pPr>
        <w:jc w:val="both"/>
        <w:ind w:left="1000" w:right="299" w:hanging="348"/>
        <w:spacing w:after="0" w:line="266" w:lineRule="auto"/>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based on the Company assessment of the assumptions that market participants would use in pricing the asset or liability.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0" w:name="page191"/>
    <w:bookmarkEnd w:id="190"/>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1300" w:right="1300"/>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liabilities that are measured at fair value on a recurring basis at December 31, 2023 and 2022, and indicates the fair value hierarchy of the valuation inputs the Company utilized to determine such fair value (in thousands):</w:t>
      </w:r>
    </w:p>
    <w:p>
      <w:pPr>
        <w:spacing w:after="0" w:line="200" w:lineRule="exact"/>
        <w:rPr>
          <w:sz w:val="20"/>
          <w:szCs w:val="20"/>
          <w:color w:val="auto"/>
        </w:rPr>
      </w:pPr>
    </w:p>
    <w:p>
      <w:pPr>
        <w:spacing w:after="0" w:line="226"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37"/>
        </w:trPr>
        <w:tc>
          <w:tcPr>
            <w:tcW w:w="53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r>
      <w:tr>
        <w:trPr>
          <w:trHeight w:val="284"/>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r>
      <w:tr>
        <w:trPr>
          <w:trHeight w:val="257"/>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 Public Warrants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$1,250</w:t>
            </w:r>
          </w:p>
        </w:tc>
      </w:tr>
      <w:tr>
        <w:trPr>
          <w:trHeight w:val="41"/>
        </w:trPr>
        <w:tc>
          <w:tcPr>
            <w:tcW w:w="5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r>
      <w:tr>
        <w:trPr>
          <w:trHeight w:val="290"/>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 Private Placement Warrants</w:t>
            </w:r>
          </w:p>
        </w:tc>
        <w:tc>
          <w:tcPr>
            <w:tcW w:w="3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4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340" w:type="dxa"/>
            <w:vAlign w:val="bottom"/>
            <w:tcBorders>
              <w:bottom w:val="single" w:sz="8" w:color="CCEEFF"/>
            </w:tcBorders>
            <w:shd w:val="clear" w:color="auto" w:fill="CCEEFF"/>
          </w:tcPr>
          <w:p>
            <w:pPr>
              <w:spacing w:after="0"/>
              <w:rPr>
                <w:sz w:val="24"/>
                <w:szCs w:val="24"/>
                <w:color w:val="auto"/>
              </w:rPr>
            </w:pPr>
          </w:p>
        </w:tc>
      </w:tr>
      <w:tr>
        <w:trPr>
          <w:trHeight w:val="257"/>
        </w:trPr>
        <w:tc>
          <w:tcPr>
            <w:tcW w:w="5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warrant liability</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585</w:t>
            </w: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2,090</w:t>
            </w:r>
          </w:p>
        </w:tc>
      </w:tr>
      <w:tr>
        <w:trPr>
          <w:trHeight w:val="20"/>
        </w:trPr>
        <w:tc>
          <w:tcPr>
            <w:tcW w:w="5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5320665</wp:posOffset>
            </wp:positionH>
            <wp:positionV relativeFrom="paragraph">
              <wp:posOffset>-762000</wp:posOffset>
            </wp:positionV>
            <wp:extent cx="10287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4463415</wp:posOffset>
            </wp:positionH>
            <wp:positionV relativeFrom="paragraph">
              <wp:posOffset>-762000</wp:posOffset>
            </wp:positionV>
            <wp:extent cx="11176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4180840</wp:posOffset>
            </wp:positionH>
            <wp:positionV relativeFrom="paragraph">
              <wp:posOffset>-762000</wp:posOffset>
            </wp:positionV>
            <wp:extent cx="6032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tables summarize the changes in the fair value of the warrant liabilities (in thousands):</w:t>
      </w:r>
    </w:p>
    <w:p>
      <w:pPr>
        <w:spacing w:after="0" w:line="200" w:lineRule="exact"/>
        <w:rPr>
          <w:sz w:val="20"/>
          <w:szCs w:val="20"/>
          <w:color w:val="auto"/>
        </w:rPr>
      </w:pPr>
    </w:p>
    <w:p>
      <w:pPr>
        <w:spacing w:after="0" w:line="262"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5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40" w:type="dxa"/>
            <w:vAlign w:val="bottom"/>
            <w:gridSpan w:val="21"/>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0" w:type="dxa"/>
            <w:vAlign w:val="bottom"/>
          </w:tcPr>
          <w:p>
            <w:pPr>
              <w:spacing w:after="0"/>
              <w:rPr>
                <w:sz w:val="1"/>
                <w:szCs w:val="1"/>
                <w:color w:val="auto"/>
              </w:rPr>
            </w:pPr>
          </w:p>
        </w:tc>
      </w:tr>
      <w:tr>
        <w:trPr>
          <w:trHeight w:val="37"/>
        </w:trPr>
        <w:tc>
          <w:tcPr>
            <w:tcW w:w="5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Private</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7"/>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37"/>
        </w:trPr>
        <w:tc>
          <w:tcPr>
            <w:tcW w:w="576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720" w:type="dxa"/>
            <w:vAlign w:val="bottom"/>
            <w:tcBorders>
              <w:bottom w:val="single" w:sz="8" w:color="CCEEFF"/>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$1,250</w:t>
            </w: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$ 840</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$ 2,090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7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90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(630)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(1,505)</w:t>
            </w:r>
          </w:p>
        </w:tc>
        <w:tc>
          <w:tcPr>
            <w:tcW w:w="0" w:type="dxa"/>
            <w:vAlign w:val="bottom"/>
          </w:tcPr>
          <w:p>
            <w:pPr>
              <w:spacing w:after="0"/>
              <w:rPr>
                <w:sz w:val="1"/>
                <w:szCs w:val="1"/>
                <w:color w:val="auto"/>
              </w:rPr>
            </w:pPr>
          </w:p>
        </w:tc>
      </w:tr>
      <w:tr>
        <w:trPr>
          <w:trHeight w:val="34"/>
        </w:trPr>
        <w:tc>
          <w:tcPr>
            <w:tcW w:w="5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end of period</w:t>
            </w:r>
          </w:p>
        </w:tc>
        <w:tc>
          <w:tcPr>
            <w:tcW w:w="72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375</w:t>
            </w:r>
          </w:p>
        </w:tc>
        <w:tc>
          <w:tcPr>
            <w:tcW w:w="40" w:type="dxa"/>
            <w:vAlign w:val="bottom"/>
            <w:shd w:val="clear" w:color="auto" w:fill="CCEEFF"/>
          </w:tcPr>
          <w:p>
            <w:pPr>
              <w:spacing w:after="0"/>
              <w:rPr>
                <w:sz w:val="23"/>
                <w:szCs w:val="23"/>
                <w:color w:val="auto"/>
              </w:rPr>
            </w:pPr>
          </w:p>
        </w:tc>
        <w:tc>
          <w:tcPr>
            <w:tcW w:w="8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$ 210</w:t>
            </w: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4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7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42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98"/>
        </w:trPr>
        <w:tc>
          <w:tcPr>
            <w:tcW w:w="5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40" w:type="dxa"/>
            <w:vAlign w:val="bottom"/>
            <w:gridSpan w:val="21"/>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0" w:type="dxa"/>
            <w:vAlign w:val="bottom"/>
          </w:tcPr>
          <w:p>
            <w:pPr>
              <w:spacing w:after="0"/>
              <w:rPr>
                <w:sz w:val="1"/>
                <w:szCs w:val="1"/>
                <w:color w:val="auto"/>
              </w:rPr>
            </w:pPr>
          </w:p>
        </w:tc>
      </w:tr>
      <w:tr>
        <w:trPr>
          <w:trHeight w:val="37"/>
        </w:trPr>
        <w:tc>
          <w:tcPr>
            <w:tcW w:w="57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Private</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0" w:type="dxa"/>
            <w:vAlign w:val="bottom"/>
          </w:tcPr>
          <w:p>
            <w:pPr>
              <w:spacing w:after="0"/>
              <w:rPr>
                <w:sz w:val="1"/>
                <w:szCs w:val="1"/>
                <w:color w:val="auto"/>
              </w:rPr>
            </w:pPr>
          </w:p>
        </w:tc>
      </w:tr>
      <w:tr>
        <w:trPr>
          <w:trHeight w:val="148"/>
        </w:trPr>
        <w:tc>
          <w:tcPr>
            <w:tcW w:w="5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9"/>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760" w:type="dxa"/>
            <w:vAlign w:val="bottom"/>
          </w:tcPr>
          <w:p>
            <w:pPr>
              <w:spacing w:after="0"/>
              <w:rPr>
                <w:sz w:val="16"/>
                <w:szCs w:val="16"/>
                <w:color w:val="auto"/>
              </w:rPr>
            </w:pPr>
          </w:p>
        </w:tc>
        <w:tc>
          <w:tcPr>
            <w:tcW w:w="760" w:type="dxa"/>
            <w:vAlign w:val="bottom"/>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8"/>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220" w:type="dxa"/>
            <w:vAlign w:val="bottom"/>
          </w:tcPr>
          <w:p>
            <w:pPr>
              <w:spacing w:after="0"/>
              <w:rPr>
                <w:sz w:val="16"/>
                <w:szCs w:val="16"/>
                <w:color w:val="auto"/>
              </w:rPr>
            </w:pPr>
          </w:p>
        </w:tc>
        <w:tc>
          <w:tcPr>
            <w:tcW w:w="720" w:type="dxa"/>
            <w:vAlign w:val="bottom"/>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37"/>
        </w:trPr>
        <w:tc>
          <w:tcPr>
            <w:tcW w:w="57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gridSpan w:val="2"/>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gridSpan w:val="2"/>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beginning of period</w:t>
            </w:r>
          </w:p>
        </w:tc>
        <w:tc>
          <w:tcPr>
            <w:tcW w:w="6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$ 16,750</w:t>
            </w: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7"/>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$10,710</w:t>
            </w: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$ 27,460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(15,500)</w:t>
            </w:r>
          </w:p>
        </w:tc>
        <w:tc>
          <w:tcPr>
            <w:tcW w:w="40" w:type="dxa"/>
            <w:vAlign w:val="bottom"/>
          </w:tcPr>
          <w:p>
            <w:pPr>
              <w:spacing w:after="0"/>
              <w:rPr>
                <w:sz w:val="22"/>
                <w:szCs w:val="22"/>
                <w:color w:val="auto"/>
              </w:rPr>
            </w:pPr>
          </w:p>
        </w:tc>
        <w:tc>
          <w:tcPr>
            <w:tcW w:w="90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(9,870)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(25,370)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576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end of period</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1,250</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840</w:t>
            </w: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2,090</w:t>
            </w: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57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auto"/>
            </w:tcBorders>
            <w:shd w:val="clear" w:color="auto" w:fill="CCEEFF"/>
          </w:tcPr>
          <w:p>
            <w:pPr>
              <w:spacing w:after="0"/>
              <w:rPr>
                <w:sz w:val="2"/>
                <w:szCs w:val="2"/>
                <w:color w:val="auto"/>
              </w:rPr>
            </w:pPr>
          </w:p>
        </w:tc>
        <w:tc>
          <w:tcPr>
            <w:tcW w:w="120" w:type="dxa"/>
            <w:vAlign w:val="bottom"/>
            <w:tcBorders>
              <w:top w:val="single" w:sz="8" w:color="auto"/>
            </w:tcBorders>
            <w:shd w:val="clear" w:color="auto" w:fill="CCEEFF"/>
          </w:tcPr>
          <w:p>
            <w:pPr>
              <w:spacing w:after="0"/>
              <w:rPr>
                <w:sz w:val="2"/>
                <w:szCs w:val="2"/>
                <w:color w:val="auto"/>
              </w:rPr>
            </w:pPr>
          </w:p>
        </w:tc>
        <w:tc>
          <w:tcPr>
            <w:tcW w:w="42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5569585</wp:posOffset>
            </wp:positionH>
            <wp:positionV relativeFrom="paragraph">
              <wp:posOffset>-1979295</wp:posOffset>
            </wp:positionV>
            <wp:extent cx="18859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4969510</wp:posOffset>
            </wp:positionH>
            <wp:positionV relativeFrom="paragraph">
              <wp:posOffset>-1979295</wp:posOffset>
            </wp:positionV>
            <wp:extent cx="18859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4489450</wp:posOffset>
            </wp:positionH>
            <wp:positionV relativeFrom="paragraph">
              <wp:posOffset>-1979295</wp:posOffset>
            </wp:positionV>
            <wp:extent cx="939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5543550</wp:posOffset>
            </wp:positionH>
            <wp:positionV relativeFrom="paragraph">
              <wp:posOffset>-607695</wp:posOffset>
            </wp:positionV>
            <wp:extent cx="17145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-607695</wp:posOffset>
            </wp:positionV>
            <wp:extent cx="17145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4403725</wp:posOffset>
            </wp:positionH>
            <wp:positionV relativeFrom="paragraph">
              <wp:posOffset>-607695</wp:posOffset>
            </wp:positionV>
            <wp:extent cx="8572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21" w:lineRule="exact"/>
        <w:rPr>
          <w:sz w:val="20"/>
          <w:szCs w:val="20"/>
          <w:color w:val="auto"/>
        </w:rPr>
      </w:pPr>
    </w:p>
    <w:p>
      <w:pPr>
        <w:jc w:val="both"/>
        <w:ind w:left="1300" w:right="1320"/>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the Public Warrants, based on the publicly listed trading price of such warrants as of the valuation date. Accordingly, the Public Warrants are classified as Level 1 financial instruments.</w:t>
      </w:r>
    </w:p>
    <w:p>
      <w:pPr>
        <w:spacing w:after="0" w:line="2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21" w:lineRule="exact"/>
        <w:rPr>
          <w:sz w:val="20"/>
          <w:szCs w:val="20"/>
          <w:color w:val="auto"/>
        </w:rPr>
      </w:pPr>
    </w:p>
    <w:p>
      <w:pPr>
        <w:jc w:val="both"/>
        <w:ind w:left="1300" w:right="1300"/>
        <w:spacing w:after="0" w:line="253" w:lineRule="auto"/>
        <w:rPr>
          <w:sz w:val="20"/>
          <w:szCs w:val="20"/>
          <w:color w:val="auto"/>
        </w:rPr>
      </w:pPr>
      <w:r>
        <w:rPr>
          <w:rFonts w:ascii="Times New Roman" w:cs="Times New Roman" w:eastAsia="Times New Roman" w:hAnsi="Times New Roman"/>
          <w:sz w:val="18"/>
          <w:szCs w:val="18"/>
          <w:color w:val="auto"/>
        </w:rPr>
        <w:t>The estimated fair value of the Private Placement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84" w:lineRule="exact"/>
        <w:rPr>
          <w:sz w:val="20"/>
          <w:szCs w:val="20"/>
          <w:color w:val="auto"/>
        </w:rPr>
      </w:pPr>
    </w:p>
    <w:p>
      <w:pPr>
        <w:jc w:val="both"/>
        <w:ind w:left="1300" w:right="1320"/>
        <w:spacing w:after="0" w:line="282" w:lineRule="auto"/>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at their measurement dates: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300" w:type="dxa"/>
            <w:vAlign w:val="bottom"/>
          </w:tcPr>
          <w:p>
            <w:pPr>
              <w:spacing w:after="0"/>
              <w:rPr>
                <w:sz w:val="16"/>
                <w:szCs w:val="16"/>
                <w:color w:val="auto"/>
              </w:rPr>
            </w:pPr>
          </w:p>
        </w:tc>
      </w:tr>
      <w:tr>
        <w:trPr>
          <w:trHeight w:val="37"/>
        </w:trPr>
        <w:tc>
          <w:tcPr>
            <w:tcW w:w="1300" w:type="dxa"/>
            <w:vAlign w:val="bottom"/>
          </w:tcPr>
          <w:p>
            <w:pPr>
              <w:spacing w:after="0"/>
              <w:rPr>
                <w:sz w:val="3"/>
                <w:szCs w:val="3"/>
                <w:color w:val="auto"/>
              </w:rPr>
            </w:pPr>
          </w:p>
        </w:tc>
        <w:tc>
          <w:tcPr>
            <w:tcW w:w="2800" w:type="dxa"/>
            <w:vAlign w:val="bottom"/>
            <w:tcBorders>
              <w:bottom w:val="single" w:sz="8" w:color="CCEEFF"/>
            </w:tcBorders>
          </w:tcPr>
          <w:p>
            <w:pPr>
              <w:spacing w:after="0"/>
              <w:rPr>
                <w:sz w:val="3"/>
                <w:szCs w:val="3"/>
                <w:color w:val="auto"/>
              </w:rPr>
            </w:pPr>
          </w:p>
        </w:tc>
        <w:tc>
          <w:tcPr>
            <w:tcW w:w="308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300" w:type="dxa"/>
            <w:vAlign w:val="bottom"/>
          </w:tcPr>
          <w:p>
            <w:pPr>
              <w:spacing w:after="0"/>
              <w:rPr>
                <w:sz w:val="3"/>
                <w:szCs w:val="3"/>
                <w:color w:val="auto"/>
              </w:rPr>
            </w:pPr>
          </w:p>
        </w:tc>
      </w:tr>
      <w:tr>
        <w:trPr>
          <w:trHeight w:val="284"/>
        </w:trPr>
        <w:tc>
          <w:tcPr>
            <w:tcW w:w="1300" w:type="dxa"/>
            <w:vAlign w:val="bottom"/>
          </w:tcPr>
          <w:p>
            <w:pPr>
              <w:spacing w:after="0"/>
              <w:rPr>
                <w:sz w:val="24"/>
                <w:szCs w:val="24"/>
                <w:color w:val="auto"/>
              </w:rPr>
            </w:pPr>
          </w:p>
        </w:tc>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4260" w:type="dxa"/>
            <w:vAlign w:val="bottom"/>
            <w:tcBorders>
              <w:bottom w:val="single" w:sz="8" w:color="CCEEFF"/>
            </w:tcBorders>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$11.50</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0.72</w:t>
            </w:r>
          </w:p>
        </w:tc>
        <w:tc>
          <w:tcPr>
            <w:tcW w:w="1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1.01</w:t>
            </w:r>
          </w:p>
        </w:tc>
        <w:tc>
          <w:tcPr>
            <w:tcW w:w="1300" w:type="dxa"/>
            <w:vAlign w:val="bottom"/>
          </w:tcPr>
          <w:p>
            <w:pPr>
              <w:spacing w:after="0"/>
              <w:rPr>
                <w:sz w:val="22"/>
                <w:szCs w:val="22"/>
                <w:color w:val="auto"/>
              </w:rPr>
            </w:pPr>
          </w:p>
        </w:tc>
      </w:tr>
      <w:tr>
        <w:trPr>
          <w:trHeight w:val="40"/>
        </w:trPr>
        <w:tc>
          <w:tcPr>
            <w:tcW w:w="1300" w:type="dxa"/>
            <w:vAlign w:val="bottom"/>
          </w:tcPr>
          <w:p>
            <w:pPr>
              <w:spacing w:after="0"/>
              <w:rPr>
                <w:sz w:val="3"/>
                <w:szCs w:val="3"/>
                <w:color w:val="auto"/>
              </w:rPr>
            </w:pPr>
          </w:p>
        </w:tc>
        <w:tc>
          <w:tcPr>
            <w:tcW w:w="2800" w:type="dxa"/>
            <w:vAlign w:val="bottom"/>
          </w:tcPr>
          <w:p>
            <w:pPr>
              <w:spacing w:after="0"/>
              <w:rPr>
                <w:sz w:val="3"/>
                <w:szCs w:val="3"/>
                <w:color w:val="auto"/>
              </w:rPr>
            </w:pPr>
          </w:p>
        </w:tc>
        <w:tc>
          <w:tcPr>
            <w:tcW w:w="30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77"/>
        </w:trPr>
        <w:tc>
          <w:tcPr>
            <w:tcW w:w="1300" w:type="dxa"/>
            <w:vAlign w:val="bottom"/>
          </w:tcPr>
          <w:p>
            <w:pPr>
              <w:spacing w:after="0"/>
              <w:rPr>
                <w:sz w:val="24"/>
                <w:szCs w:val="24"/>
                <w:color w:val="auto"/>
              </w:rPr>
            </w:pPr>
          </w:p>
        </w:tc>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30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87.5%</w:t>
            </w:r>
          </w:p>
        </w:tc>
        <w:tc>
          <w:tcPr>
            <w:tcW w:w="1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82.3%</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Term (years)</w:t>
            </w:r>
          </w:p>
        </w:tc>
        <w:tc>
          <w:tcPr>
            <w:tcW w:w="30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3.46</w:t>
            </w:r>
          </w:p>
        </w:tc>
        <w:tc>
          <w:tcPr>
            <w:tcW w:w="1300" w:type="dxa"/>
            <w:vAlign w:val="bottom"/>
          </w:tcPr>
          <w:p>
            <w:pPr>
              <w:spacing w:after="0"/>
              <w:rPr>
                <w:sz w:val="22"/>
                <w:szCs w:val="22"/>
                <w:color w:val="auto"/>
              </w:rPr>
            </w:pPr>
          </w:p>
        </w:tc>
      </w:tr>
      <w:tr>
        <w:trPr>
          <w:trHeight w:val="41"/>
        </w:trPr>
        <w:tc>
          <w:tcPr>
            <w:tcW w:w="1300" w:type="dxa"/>
            <w:vAlign w:val="bottom"/>
          </w:tcPr>
          <w:p>
            <w:pPr>
              <w:spacing w:after="0"/>
              <w:rPr>
                <w:sz w:val="3"/>
                <w:szCs w:val="3"/>
                <w:color w:val="auto"/>
              </w:rPr>
            </w:pPr>
          </w:p>
        </w:tc>
        <w:tc>
          <w:tcPr>
            <w:tcW w:w="2800" w:type="dxa"/>
            <w:vAlign w:val="bottom"/>
          </w:tcPr>
          <w:p>
            <w:pPr>
              <w:spacing w:after="0"/>
              <w:rPr>
                <w:sz w:val="3"/>
                <w:szCs w:val="3"/>
                <w:color w:val="auto"/>
              </w:rPr>
            </w:pPr>
          </w:p>
        </w:tc>
        <w:tc>
          <w:tcPr>
            <w:tcW w:w="30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91"/>
        </w:trPr>
        <w:tc>
          <w:tcPr>
            <w:tcW w:w="1300" w:type="dxa"/>
            <w:vAlign w:val="bottom"/>
          </w:tcPr>
          <w:p>
            <w:pPr>
              <w:spacing w:after="0"/>
              <w:rPr>
                <w:sz w:val="24"/>
                <w:szCs w:val="24"/>
                <w:color w:val="auto"/>
              </w:rPr>
            </w:pPr>
          </w:p>
        </w:tc>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0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4.13%</w:t>
            </w:r>
          </w:p>
        </w:tc>
        <w:tc>
          <w:tcPr>
            <w:tcW w:w="16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4.17%</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560" w:type="dxa"/>
            <w:vAlign w:val="bottom"/>
            <w:gridSpan w:val="2"/>
          </w:tcPr>
          <w:p>
            <w:pPr>
              <w:jc w:val="right"/>
              <w:ind w:right="1908"/>
              <w:spacing w:after="0"/>
              <w:rPr>
                <w:sz w:val="20"/>
                <w:szCs w:val="20"/>
                <w:color w:val="auto"/>
              </w:rPr>
            </w:pPr>
            <w:r>
              <w:rPr>
                <w:rFonts w:ascii="Times New Roman" w:cs="Times New Roman" w:eastAsia="Times New Roman" w:hAnsi="Times New Roman"/>
                <w:sz w:val="18"/>
                <w:szCs w:val="18"/>
                <w:color w:val="auto"/>
              </w:rPr>
              <w:t>F-51</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5303520</wp:posOffset>
            </wp:positionH>
            <wp:positionV relativeFrom="paragraph">
              <wp:posOffset>-1379220</wp:posOffset>
            </wp:positionV>
            <wp:extent cx="10287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-1379220</wp:posOffset>
            </wp:positionV>
            <wp:extent cx="5143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020"/>
          </w:cols>
          <w:pgMar w:left="440" w:top="263" w:right="439" w:bottom="501" w:gutter="0" w:footer="0" w:header="0"/>
        </w:sectPr>
      </w:pPr>
    </w:p>
    <w:bookmarkStart w:id="191" w:name="page192"/>
    <w:bookmarkEnd w:id="19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Significant changes in the volatility would result in a significant lower or higher fair value measurement, respectively.</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There were no transfers in or out of Level 3 from other levels in the fair value hierarchy.</w:t>
      </w:r>
    </w:p>
    <w:p>
      <w:pPr>
        <w:spacing w:after="0" w:line="221" w:lineRule="exact"/>
        <w:rPr>
          <w:sz w:val="20"/>
          <w:szCs w:val="20"/>
          <w:color w:val="auto"/>
        </w:rPr>
      </w:pPr>
    </w:p>
    <w:p>
      <w:pPr>
        <w:ind w:left="640" w:hanging="348"/>
        <w:spacing w:after="0"/>
        <w:tabs>
          <w:tab w:leader="none" w:pos="64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121"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the Business Combination was accounted for as a reverse recapitalization in accordance with GAAP (the “Reverse Recapitalization”). Under this method of accounting, Silver Spike was treated as the acquired company and Legacy WMH was treated as the acquirer for financial statement reporting purposes.</w:t>
      </w:r>
    </w:p>
    <w:p>
      <w:pPr>
        <w:spacing w:after="0" w:line="6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Accordingly, for accounting purposes, the Reverse Recapitalization was treated as the equivalent of Legacy WMH issuing stock for the net assets of Silver Spike, accompanied by a recapitalization.</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Legacy WMH was determined to be the accounting acquirer based on evaluation of the following facts and circumstances:</w:t>
      </w:r>
    </w:p>
    <w:p>
      <w:pPr>
        <w:spacing w:after="0" w:line="54" w:lineRule="exact"/>
        <w:rPr>
          <w:sz w:val="20"/>
          <w:szCs w:val="20"/>
          <w:color w:val="auto"/>
        </w:rPr>
      </w:pPr>
    </w:p>
    <w:p>
      <w:pPr>
        <w:ind w:left="1000" w:right="319" w:hanging="348"/>
        <w:spacing w:after="0" w:line="282" w:lineRule="auto"/>
        <w:tabs>
          <w:tab w:leader="none" w:pos="10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Class A Unit holders, through their ownership of the Class V Common Stock, had the greatest voting interest in the Company with over 50% of the voting interest;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selected the majority of the new board of directors of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senior management was the senior management of the Company; and</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WMH was the larger entity based on historical operating activity and had the larger employee base.</w:t>
      </w:r>
    </w:p>
    <w:p>
      <w:pPr>
        <w:spacing w:after="0" w:line="54"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Thus, the financial statements included in this annual report reflect (i) the historical operating results of Legacy WMH prior to the Business Combination; (ii) the combined results of the WMH LLC and Silver Spike following the Business Combination; and (iii) the acquired assets and liabilities of Silver Spike stated at historical cost, with no goodwill or other intangible assets recorded.</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connection with the Closing, the following occurred:</w:t>
      </w:r>
    </w:p>
    <w:p>
      <w:pPr>
        <w:spacing w:after="0" w:line="117" w:lineRule="exact"/>
        <w:rPr>
          <w:sz w:val="20"/>
          <w:szCs w:val="20"/>
          <w:color w:val="auto"/>
        </w:rPr>
      </w:pPr>
    </w:p>
    <w:p>
      <w:pPr>
        <w:ind w:left="1000" w:right="319" w:hanging="348"/>
        <w:spacing w:after="0" w:line="282" w:lineRule="auto"/>
        <w:tabs>
          <w:tab w:leader="none" w:pos="10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Silver Spike was domesticated and continues as a Delaware corporation, changing its name to “WM Technology, Inc.”</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consummated the sale of 32,500,000 shares of Class A Common Stock for a purchase price of $10.00 per share (together, the “PIPE Financing”) pursuant to certain subscription agreements dated as of December 10, 2020, for an aggregate price of $325.0 million.</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contributed approximately $80.3 million of cash to WMH LLC, representing (a) the net amount held in the Company’s trust account following the redemption of 10,012 shares of Class A Common Stock originally sold in the Silver Spike’s initial public offering, less (b) cash consideration of $455.2 million paid to Legacy WMH Class A equity holders, plus (c) $325.0 million in aggregate proceeds from the PIPE Financing, less (d) the aggregate amount of transaction expenses incurred by the parties to the Business Combination Agreement.</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transferred $455.2 million to the Legacy WMH equity holders as cash consideration.</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Legacy WMH equity holders retained an aggregate of 65,502,347 Class A Units and 25,896,042 Class P Units.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65,502,347 shares of Class V Common Stock to Class A Unit holders, representing the same number of Class A Units retained by the Legacy WMH equity holders.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89" w:lineRule="auto"/>
        <w:tabs>
          <w:tab w:leader="none" w:pos="100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the Holder Representative and the Class A Unit holders entered into the TRA, pursuant to which WM Technology, Inc. will pay to WMH LLC Class A equity holders 85% of the net income tax savings that WM Technology, Inc. actually realizes as a result of increases in the tax basis of WMH LLC’s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2" w:name="page193"/>
    <w:bookmarkEnd w:id="19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assets as a result of the exchange of Units for cash in the Business Combination and future exchanges of the Class A Units for shares of Class A Common Stock or cash pursuant to the Exchange Agreement, and certain other tax attributes of WMH LLC and tax benefits related to the TRA, including tax benefits attributable to payments under the TRA.</w:t>
      </w:r>
    </w:p>
    <w:p>
      <w:pPr>
        <w:spacing w:after="0" w:line="72"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Concurrently with the closing of the Business Combination, the Unit holders entered into the Exchange Agreement. The terms of the Exchange Agreement, among other things, provide the Unit holders (or certain permitted transferees thereof) with the right from time to time at and after 180 days following the Business Combination to exchange their vested Paired Interests (as defined in Note 14, “Stock-based Compensation” to our consolidated financial statements included herein),for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8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elements of the Business Combination to the consolidated statements of cash flows and the consolidated statements of equity for the year ended December 31, 2021 (in thousands):</w:t>
      </w:r>
    </w:p>
    <w:p>
      <w:pPr>
        <w:spacing w:after="0" w:line="39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Business</w:t>
            </w:r>
          </w:p>
        </w:tc>
      </w:tr>
      <w:tr>
        <w:trPr>
          <w:trHeight w:val="190"/>
        </w:trPr>
        <w:tc>
          <w:tcPr>
            <w:tcW w:w="7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Combination</w:t>
            </w:r>
          </w:p>
        </w:tc>
      </w:tr>
      <w:tr>
        <w:trPr>
          <w:trHeight w:val="37"/>
        </w:trPr>
        <w:tc>
          <w:tcPr>
            <w:tcW w:w="72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71"/>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Silver Spike trust and cash, net of redemptions</w:t>
            </w:r>
          </w:p>
        </w:tc>
        <w:tc>
          <w:tcPr>
            <w:tcW w:w="11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$ 254,203</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Cash - PIPE Financing</w:t>
            </w:r>
          </w:p>
        </w:tc>
        <w:tc>
          <w:tcPr>
            <w:tcW w:w="11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325,000</w:t>
            </w:r>
          </w:p>
        </w:tc>
        <w:tc>
          <w:tcPr>
            <w:tcW w:w="2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cash consideration paid to Legacy WMH equity holders</w:t>
            </w:r>
          </w:p>
        </w:tc>
        <w:tc>
          <w:tcPr>
            <w:tcW w:w="11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(455,182)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29"/>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Less: transaction costs and advisory fees</w:t>
            </w:r>
          </w:p>
        </w:tc>
        <w:tc>
          <w:tcPr>
            <w:tcW w:w="11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(44,052)</w:t>
            </w:r>
          </w:p>
        </w:tc>
      </w:tr>
      <w:tr>
        <w:trPr>
          <w:trHeight w:val="48"/>
        </w:trPr>
        <w:tc>
          <w:tcPr>
            <w:tcW w:w="7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77"/>
        </w:trPr>
        <w:tc>
          <w:tcPr>
            <w:tcW w:w="7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proceeds from the Business Combination</w:t>
            </w:r>
          </w:p>
        </w:tc>
        <w:tc>
          <w:tcPr>
            <w:tcW w:w="11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79,969</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Less: initial fair value of warrant liability recognized in the Business Combination</w:t>
            </w: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(193,978)</w:t>
            </w:r>
          </w:p>
        </w:tc>
        <w:tc>
          <w:tcPr>
            <w:tcW w:w="2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transaction costs allocated to Warrants</w:t>
            </w:r>
          </w:p>
        </w:tc>
        <w:tc>
          <w:tcPr>
            <w:tcW w:w="11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5,547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Add: non-cash assets assumed from Silver Spike</w:t>
            </w:r>
          </w:p>
        </w:tc>
        <w:tc>
          <w:tcPr>
            <w:tcW w:w="11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1,053</w:t>
            </w:r>
          </w:p>
        </w:tc>
        <w:tc>
          <w:tcPr>
            <w:tcW w:w="20" w:type="dxa"/>
            <w:vAlign w:val="bottom"/>
          </w:tcPr>
          <w:p>
            <w:pPr>
              <w:spacing w:after="0"/>
              <w:rPr>
                <w:sz w:val="21"/>
                <w:szCs w:val="21"/>
                <w:color w:val="auto"/>
              </w:rPr>
            </w:pPr>
          </w:p>
        </w:tc>
      </w:tr>
      <w:tr>
        <w:trPr>
          <w:trHeight w:val="27"/>
        </w:trPr>
        <w:tc>
          <w:tcPr>
            <w:tcW w:w="7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deferred tax asset</w:t>
            </w:r>
          </w:p>
        </w:tc>
        <w:tc>
          <w:tcPr>
            <w:tcW w:w="11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151,255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Less: tax receivable agreement liability</w:t>
            </w: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(128,567)</w:t>
            </w:r>
          </w:p>
        </w:tc>
        <w:tc>
          <w:tcPr>
            <w:tcW w:w="20" w:type="dxa"/>
            <w:vAlign w:val="bottom"/>
          </w:tcPr>
          <w:p>
            <w:pPr>
              <w:spacing w:after="0"/>
              <w:rPr>
                <w:sz w:val="19"/>
                <w:szCs w:val="19"/>
                <w:color w:val="auto"/>
              </w:rPr>
            </w:pPr>
          </w:p>
        </w:tc>
      </w:tr>
      <w:tr>
        <w:trPr>
          <w:trHeight w:val="48"/>
        </w:trPr>
        <w:tc>
          <w:tcPr>
            <w:tcW w:w="7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adjustment to total equity from the Business Combination</w:t>
            </w:r>
          </w:p>
        </w:tc>
        <w:tc>
          <w:tcPr>
            <w:tcW w:w="11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(84,721)</w:t>
            </w:r>
          </w:p>
        </w:tc>
        <w:tc>
          <w:tcPr>
            <w:tcW w:w="20" w:type="dxa"/>
            <w:vAlign w:val="bottom"/>
            <w:shd w:val="clear" w:color="auto" w:fill="CCEEFF"/>
          </w:tcPr>
          <w:p>
            <w:pPr>
              <w:spacing w:after="0"/>
              <w:rPr>
                <w:sz w:val="24"/>
                <w:szCs w:val="24"/>
                <w:color w:val="auto"/>
              </w:rPr>
            </w:pPr>
          </w:p>
        </w:tc>
      </w:tr>
      <w:tr>
        <w:trPr>
          <w:trHeight w:val="324"/>
        </w:trPr>
        <w:tc>
          <w:tcPr>
            <w:tcW w:w="72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 number of shares of common stock issued immediately following the Closing:</w:t>
            </w: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638"/>
        </w:trPr>
        <w:tc>
          <w:tcPr>
            <w:tcW w:w="7280" w:type="dxa"/>
            <w:vAlign w:val="bottom"/>
          </w:tcPr>
          <w:p>
            <w:pPr>
              <w:spacing w:after="0"/>
              <w:rPr>
                <w:sz w:val="24"/>
                <w:szCs w:val="24"/>
                <w:color w:val="auto"/>
              </w:rPr>
            </w:pPr>
          </w:p>
        </w:tc>
        <w:tc>
          <w:tcPr>
            <w:tcW w:w="1140" w:type="dxa"/>
            <w:vAlign w:val="bottom"/>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Number of Shares</w:t>
            </w:r>
          </w:p>
        </w:tc>
      </w:tr>
      <w:tr>
        <w:trPr>
          <w:trHeight w:val="50"/>
        </w:trPr>
        <w:tc>
          <w:tcPr>
            <w:tcW w:w="72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outstanding prior to the Business Combination</w:t>
            </w:r>
          </w:p>
        </w:tc>
        <w:tc>
          <w:tcPr>
            <w:tcW w:w="10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24,998,575</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Less: redemption of shares of Silver Spike’s Class A common stock</w:t>
            </w:r>
          </w:p>
        </w:tc>
        <w:tc>
          <w:tcPr>
            <w:tcW w:w="112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10,012</w:t>
            </w:r>
          </w:p>
        </w:tc>
        <w:tc>
          <w:tcPr>
            <w:tcW w:w="20" w:type="dxa"/>
            <w:vAlign w:val="bottom"/>
          </w:tcPr>
          <w:p>
            <w:pPr>
              <w:spacing w:after="0"/>
              <w:rPr>
                <w:sz w:val="22"/>
                <w:szCs w:val="22"/>
                <w:color w:val="auto"/>
              </w:rPr>
            </w:pPr>
          </w:p>
        </w:tc>
      </w:tr>
      <w:tr>
        <w:trPr>
          <w:trHeight w:val="61"/>
        </w:trPr>
        <w:tc>
          <w:tcPr>
            <w:tcW w:w="7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7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of Silver Spike’s Class A common stock</w:t>
            </w:r>
          </w:p>
        </w:tc>
        <w:tc>
          <w:tcPr>
            <w:tcW w:w="10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24,988,563</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Shares of Class A Common Stock held by Silver Spike’s Sponsor</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6,250,000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Class A Common Stock issued in the PIPE Financing</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32,500,000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61"/>
        </w:trPr>
        <w:tc>
          <w:tcPr>
            <w:tcW w:w="7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84"/>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of Class A Common Stock issued in the Business Combination</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63,738,563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
        </w:trPr>
        <w:tc>
          <w:tcPr>
            <w:tcW w:w="7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Class V Common Stock issued to Legacy WMH equity holders</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65,502,347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61"/>
        </w:trPr>
        <w:tc>
          <w:tcPr>
            <w:tcW w:w="72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68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70"/>
        </w:trPr>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shares of common stock issued in the Business Combination</w:t>
            </w:r>
          </w:p>
        </w:tc>
        <w:tc>
          <w:tcPr>
            <w:tcW w:w="120" w:type="dxa"/>
            <w:vAlign w:val="bottom"/>
          </w:tcPr>
          <w:p>
            <w:pPr>
              <w:spacing w:after="0"/>
              <w:rPr>
                <w:sz w:val="23"/>
                <w:szCs w:val="23"/>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7"/>
              </w:rPr>
              <w:t>129,240,910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4848860</wp:posOffset>
            </wp:positionH>
            <wp:positionV relativeFrom="paragraph">
              <wp:posOffset>-4319905</wp:posOffset>
            </wp:positionV>
            <wp:extent cx="15430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-1679575</wp:posOffset>
            </wp:positionV>
            <wp:extent cx="4318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2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Net income for the period from June 16, 2021 (Closing Date) to December 31, 2021 was $137.1 million, which includes change in fair value of warrant liability of $166.5 million, stock-based compensation expense of $29.3 million and transaction costs related to the warrant liability of $5.5 million. The transaction costs related to the warrant liability is included in other expense, net on the consolidated statements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3" w:name="page194"/>
    <w:bookmarkEnd w:id="1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Eyechronic</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On January 14, 2022, the Company acquired all the equity interests of Eyechronic LLC (“Eyechronic”) d/b/a Enlighten and rebranded as WM Screens, a Delaware limited liability company and a provider of software, digital signage services and multi-media offerings to dispensaries and brands, for total consideration of approximately $29.4 million. The Company accounted for the Eyechronic acquisition as an acquisition of a business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The acquired assets and liabilities of Eyechronic were recorded at their acquisition date fair values.</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consideration and the estimated fair value of assets acquired (in thousands):</w:t>
      </w:r>
    </w:p>
    <w:p>
      <w:pPr>
        <w:spacing w:after="0" w:line="3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Consideration Transferred:</w:t>
      </w:r>
    </w:p>
    <w:p>
      <w:pPr>
        <w:spacing w:after="0" w:line="80" w:lineRule="exact"/>
        <w:rPr>
          <w:sz w:val="20"/>
          <w:szCs w:val="20"/>
          <w:color w:val="auto"/>
        </w:rPr>
      </w:pPr>
    </w:p>
    <w:tbl>
      <w:tblPr>
        <w:tblLayout w:type="fixed"/>
        <w:tblInd w:w="300" w:type="dxa"/>
        <w:tblCellMar>
          <w:top w:w="0" w:type="dxa"/>
          <w:left w:w="0" w:type="dxa"/>
          <w:bottom w:w="0" w:type="dxa"/>
          <w:right w:w="0" w:type="dxa"/>
        </w:tblCellMar>
      </w:tblPr>
      <w:tr>
        <w:trPr>
          <w:trHeight w:val="37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w:t>
            </w:r>
            <w:r>
              <w:rPr>
                <w:rFonts w:ascii="Times New Roman" w:cs="Times New Roman" w:eastAsia="Times New Roman" w:hAnsi="Times New Roman"/>
                <w:sz w:val="29"/>
                <w:szCs w:val="29"/>
                <w:color w:val="auto"/>
                <w:vertAlign w:val="superscript"/>
              </w:rPr>
              <w:t>(1)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20" w:type="dxa"/>
            <w:vAlign w:val="bottom"/>
            <w:shd w:val="clear" w:color="auto" w:fill="CCEEFF"/>
          </w:tcPr>
          <w:p>
            <w:pPr>
              <w:spacing w:after="0"/>
              <w:rPr>
                <w:sz w:val="24"/>
                <w:szCs w:val="24"/>
                <w:color w:val="auto"/>
              </w:rPr>
            </w:pPr>
          </w:p>
        </w:tc>
      </w:tr>
      <w:tr>
        <w:trPr>
          <w:trHeight w:val="310"/>
        </w:trPr>
        <w:tc>
          <w:tcPr>
            <w:tcW w:w="7820" w:type="dxa"/>
            <w:vAlign w:val="bottom"/>
          </w:tcPr>
          <w:p>
            <w:pPr>
              <w:spacing w:after="0" w:line="310" w:lineRule="exact"/>
              <w:rPr>
                <w:sz w:val="20"/>
                <w:szCs w:val="20"/>
                <w:color w:val="auto"/>
              </w:rPr>
            </w:pPr>
            <w:r>
              <w:rPr>
                <w:rFonts w:ascii="Times New Roman" w:cs="Times New Roman" w:eastAsia="Times New Roman" w:hAnsi="Times New Roman"/>
                <w:sz w:val="18"/>
                <w:szCs w:val="18"/>
                <w:color w:val="auto"/>
              </w:rPr>
              <w:t>Share consideration</w:t>
            </w:r>
            <w:r>
              <w:rPr>
                <w:rFonts w:ascii="Times New Roman" w:cs="Times New Roman" w:eastAsia="Times New Roman" w:hAnsi="Times New Roman"/>
                <w:sz w:val="29"/>
                <w:szCs w:val="29"/>
                <w:color w:val="auto"/>
                <w:vertAlign w:val="superscript"/>
              </w:rPr>
              <w:t>(2)</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28,725</w:t>
            </w:r>
          </w:p>
        </w:tc>
        <w:tc>
          <w:tcPr>
            <w:tcW w:w="20" w:type="dxa"/>
            <w:vAlign w:val="bottom"/>
          </w:tcPr>
          <w:p>
            <w:pPr>
              <w:spacing w:after="0"/>
              <w:rPr>
                <w:sz w:val="24"/>
                <w:szCs w:val="24"/>
                <w:color w:val="auto"/>
              </w:rPr>
            </w:pPr>
          </w:p>
        </w:tc>
      </w:tr>
      <w:tr>
        <w:trPr>
          <w:trHeight w:val="48"/>
        </w:trPr>
        <w:tc>
          <w:tcPr>
            <w:tcW w:w="7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83"/>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consideration</w:t>
            </w:r>
          </w:p>
        </w:tc>
        <w:tc>
          <w:tcPr>
            <w:tcW w:w="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29,422</w:t>
            </w:r>
          </w:p>
        </w:tc>
      </w:tr>
      <w:tr>
        <w:trPr>
          <w:trHeight w:val="34"/>
        </w:trPr>
        <w:tc>
          <w:tcPr>
            <w:tcW w:w="78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auto"/>
            </w:tcBorders>
            <w:shd w:val="clear" w:color="auto" w:fill="CCEEFF"/>
          </w:tcPr>
          <w:p>
            <w:pPr>
              <w:spacing w:after="0"/>
              <w:rPr>
                <w:sz w:val="2"/>
                <w:szCs w:val="2"/>
                <w:color w:val="auto"/>
              </w:rPr>
            </w:pPr>
          </w:p>
        </w:tc>
        <w:tc>
          <w:tcPr>
            <w:tcW w:w="38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319" w:hanging="348"/>
        <w:spacing w:after="0" w:line="261" w:lineRule="auto"/>
        <w:tabs>
          <w:tab w:leader="none" w:pos="64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$0.2 million settlement of pre-existing accounts payable with Eyechronic and holdback of $0.1 million recorded within other current liabilities on the Company’s accompanying consolidated balance sheets.</w:t>
      </w:r>
    </w:p>
    <w:p>
      <w:pPr>
        <w:ind w:left="640" w:right="319" w:hanging="348"/>
        <w:spacing w:after="0" w:line="261" w:lineRule="auto"/>
        <w:tabs>
          <w:tab w:leader="none" w:pos="64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share consideration was calculated based on 5,399,553 shares of Class A common stock multiplied by the share price on the closing date of $5.32. This includes 677,847 of holdback shares to be issued subject to customary indemnification obligations.</w:t>
      </w:r>
    </w:p>
    <w:p>
      <w:pPr>
        <w:spacing w:after="0" w:line="200" w:lineRule="exact"/>
        <w:rPr>
          <w:sz w:val="20"/>
          <w:szCs w:val="20"/>
          <w:color w:val="auto"/>
        </w:rPr>
      </w:pP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Estimated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50800</wp:posOffset>
            </wp:positionV>
            <wp:extent cx="5349240" cy="21463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349240" cy="214630"/>
                    </a:xfrm>
                    <a:prstGeom prst="rect">
                      <a:avLst/>
                    </a:prstGeom>
                    <a:noFill/>
                  </pic:spPr>
                </pic:pic>
              </a:graphicData>
            </a:graphic>
          </wp:anchor>
        </w:drawing>
      </w:r>
    </w:p>
    <w:p>
      <w:pPr>
        <w:spacing w:after="0" w:line="1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Assets acquired:</w:t>
      </w:r>
    </w:p>
    <w:p>
      <w:pPr>
        <w:spacing w:after="0" w:line="11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20"/>
                <w:szCs w:val="20"/>
                <w:color w:val="auto"/>
              </w:rPr>
            </w:pP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23"/>
                <w:szCs w:val="2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assets</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Software technology</w:t>
            </w: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 name</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Order Backlog</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23,073</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61"/>
        </w:trPr>
        <w:tc>
          <w:tcPr>
            <w:tcW w:w="7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31,658</w:t>
            </w:r>
          </w:p>
        </w:tc>
        <w:tc>
          <w:tcPr>
            <w:tcW w:w="20" w:type="dxa"/>
            <w:vAlign w:val="bottom"/>
            <w:shd w:val="clear" w:color="auto" w:fill="CCEEFF"/>
          </w:tcPr>
          <w:p>
            <w:pPr>
              <w:spacing w:after="0"/>
              <w:rPr>
                <w:sz w:val="23"/>
                <w:szCs w:val="23"/>
                <w:color w:val="auto"/>
              </w:rPr>
            </w:pPr>
          </w:p>
        </w:tc>
      </w:tr>
      <w:tr>
        <w:trPr>
          <w:trHeight w:val="61"/>
        </w:trPr>
        <w:tc>
          <w:tcPr>
            <w:tcW w:w="7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8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(460)</w:t>
            </w: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Pr>
          <w:p>
            <w:pPr>
              <w:spacing w:after="0"/>
              <w:rPr>
                <w:sz w:val="23"/>
                <w:szCs w:val="23"/>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spacing w:after="0"/>
              <w:rPr>
                <w:sz w:val="23"/>
                <w:szCs w:val="23"/>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54"/>
        </w:trPr>
        <w:tc>
          <w:tcPr>
            <w:tcW w:w="7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6"/>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liabilities</w:t>
            </w:r>
          </w:p>
        </w:tc>
        <w:tc>
          <w:tcPr>
            <w:tcW w:w="10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(1,650)</w:t>
            </w:r>
          </w:p>
        </w:tc>
        <w:tc>
          <w:tcPr>
            <w:tcW w:w="20" w:type="dxa"/>
            <w:vAlign w:val="bottom"/>
            <w:tcBorders>
              <w:bottom w:val="single" w:sz="8" w:color="CCEEFF"/>
            </w:tcBorders>
            <w:shd w:val="clear" w:color="auto" w:fill="CCEEFF"/>
          </w:tcPr>
          <w:p>
            <w:pPr>
              <w:spacing w:after="0"/>
              <w:rPr>
                <w:sz w:val="22"/>
                <w:szCs w:val="22"/>
                <w:color w:val="auto"/>
              </w:rPr>
            </w:pPr>
          </w:p>
        </w:tc>
      </w:tr>
      <w:tr>
        <w:trPr>
          <w:trHeight w:val="61"/>
        </w:trPr>
        <w:tc>
          <w:tcPr>
            <w:tcW w:w="77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8"/>
              </w:rPr>
              <w:t>(2,236)</w:t>
            </w:r>
          </w:p>
        </w:tc>
      </w:tr>
      <w:tr>
        <w:trPr>
          <w:trHeight w:val="61"/>
        </w:trPr>
        <w:tc>
          <w:tcPr>
            <w:tcW w:w="7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assets acquired</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29,422</w:t>
            </w:r>
          </w:p>
        </w:tc>
        <w:tc>
          <w:tcPr>
            <w:tcW w:w="20" w:type="dxa"/>
            <w:vAlign w:val="bottom"/>
            <w:shd w:val="clear" w:color="auto" w:fill="CCEEFF"/>
          </w:tcPr>
          <w:p>
            <w:pPr>
              <w:spacing w:after="0"/>
              <w:rPr>
                <w:sz w:val="23"/>
                <w:szCs w:val="23"/>
                <w:color w:val="auto"/>
              </w:rPr>
            </w:pPr>
          </w:p>
        </w:tc>
      </w:tr>
      <w:tr>
        <w:trPr>
          <w:trHeight w:val="48"/>
        </w:trPr>
        <w:tc>
          <w:tcPr>
            <w:tcW w:w="7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90"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fourth quarter of 2022, the Company made an adjustment to the purchase price allocation of Eyechronic related to certain pre-acquisition deferred tax and other sales tax liabilities that resulted in an increase of long-term liabilities of $1.7 million.</w:t>
      </w:r>
    </w:p>
    <w:p>
      <w:pPr>
        <w:spacing w:after="0" w:line="68"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Company incurred transaction expenses associated with the Eyechronic acquisition of $0.1 million, which is included in general and administrative expenses in the accompanying consolidated statements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4" w:name="page195"/>
    <w:bookmarkEnd w:id="1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revenue and operating loss from Eyechronic included the Company’s consolidated statements of operations for the year ended December 31, 2022 were not material. Pro forma revenue and earnings amounts on a combined basis have not been presented as they are not material to the Company’s historical pre-acquisition financial statements.</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For acquisitions, 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72"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 fair values of the trade name and software technology intangible assets are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these assets. Owning these intangible assets means that the underlying entity wouldn’t have to pay for the privilege of deploying those assets. Therefore, a portion of the acquired entity’s earnings, equal to the after-tax royalty that would have been paid for the use of the assets, can be attributed to the firm’s ownership. The fair values of the customer relationships and customer backlog assets were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w:t>
      </w:r>
    </w:p>
    <w:p>
      <w:pPr>
        <w:spacing w:after="0" w:line="8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December 31, 2023, the Company completed the sunset of certain product offerings including WM Screens, a product offering associated with our acquisition of Eyechronic, as the Company continues to focus the efforts on other Weedmaps for Business products that support the Weedmaps marketplace and improve the eCommerce experience for the Company’s clients and users. For the year ended December 31, 2023 the Company recorded impairment charges of $3.8 million related to intangible assets and $2.6 million related to property and equipment associated with the sunset of WM Screens, which is included in asset impairment charges in the consolidated statements of operations.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Transport Logistics Holding</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On September 29, 2021, the Company acquired all of the equity interests of Transport Logistics Holding Company, LLC (“TLH”), a logistics platform that enables the compliant delivery of cannabis, for total consideration of approximately $15.1 million. The Company accounted for the TLH acquisition as an acquisition of a business under ASC 805.</w:t>
      </w:r>
    </w:p>
    <w:p>
      <w:pPr>
        <w:spacing w:after="0" w:line="9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consideration and the fair value of assets acquired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208280</wp:posOffset>
            </wp:positionV>
            <wp:extent cx="5349240" cy="22288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349240" cy="222885"/>
                    </a:xfrm>
                    <a:prstGeom prst="rect">
                      <a:avLst/>
                    </a:prstGeom>
                    <a:noFill/>
                  </pic:spPr>
                </pic:pic>
              </a:graphicData>
            </a:graphic>
          </wp:anchor>
        </w:drawing>
      </w:r>
    </w:p>
    <w:p>
      <w:pPr>
        <w:spacing w:after="0" w:line="3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Consideration Transferred:</w:t>
      </w:r>
    </w:p>
    <w:p>
      <w:pPr>
        <w:spacing w:after="0" w:line="35" w:lineRule="exact"/>
        <w:rPr>
          <w:sz w:val="20"/>
          <w:szCs w:val="20"/>
          <w:color w:val="auto"/>
        </w:rPr>
      </w:pPr>
    </w:p>
    <w:tbl>
      <w:tblPr>
        <w:tblLayout w:type="fixed"/>
        <w:tblInd w:w="300" w:type="dxa"/>
        <w:tblCellMar>
          <w:top w:w="0" w:type="dxa"/>
          <w:left w:w="0" w:type="dxa"/>
          <w:bottom w:w="0" w:type="dxa"/>
          <w:right w:w="0" w:type="dxa"/>
        </w:tblCellMar>
      </w:tblPr>
      <w:tr>
        <w:trPr>
          <w:trHeight w:val="333"/>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w:t>
            </w:r>
            <w:r>
              <w:rPr>
                <w:rFonts w:ascii="Times New Roman" w:cs="Times New Roman" w:eastAsia="Times New Roman" w:hAnsi="Times New Roman"/>
                <w:sz w:val="29"/>
                <w:szCs w:val="29"/>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24"/>
                <w:szCs w:val="24"/>
                <w:color w:val="auto"/>
              </w:rPr>
            </w:pPr>
          </w:p>
        </w:tc>
      </w:tr>
      <w:tr>
        <w:trPr>
          <w:trHeight w:val="323"/>
        </w:trPr>
        <w:tc>
          <w:tcPr>
            <w:tcW w:w="7820" w:type="dxa"/>
            <w:vAlign w:val="bottom"/>
            <w:tcBorders>
              <w:bottom w:val="single" w:sz="8" w:color="CCEEFF"/>
            </w:tcBorders>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Share consideration</w:t>
            </w:r>
            <w:r>
              <w:rPr>
                <w:rFonts w:ascii="Times New Roman" w:cs="Times New Roman" w:eastAsia="Times New Roman" w:hAnsi="Times New Roman"/>
                <w:sz w:val="29"/>
                <w:szCs w:val="29"/>
                <w:color w:val="auto"/>
                <w:vertAlign w:val="superscript"/>
              </w:rPr>
              <w:t>(2)</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10,126</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56"/>
        </w:trPr>
        <w:tc>
          <w:tcPr>
            <w:tcW w:w="782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consideration</w:t>
            </w:r>
          </w:p>
        </w:tc>
        <w:tc>
          <w:tcPr>
            <w:tcW w:w="580" w:type="dxa"/>
            <w:vAlign w:val="bottom"/>
            <w:tcBorders>
              <w:top w:val="single" w:sz="8" w:color="CCEEFF"/>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15,126</w:t>
            </w:r>
          </w:p>
        </w:tc>
        <w:tc>
          <w:tcPr>
            <w:tcW w:w="20" w:type="dxa"/>
            <w:vAlign w:val="bottom"/>
            <w:tcBorders>
              <w:top w:val="single" w:sz="8" w:color="CCEEFF"/>
            </w:tcBorders>
          </w:tcPr>
          <w:p>
            <w:pPr>
              <w:spacing w:after="0"/>
              <w:rPr>
                <w:sz w:val="22"/>
                <w:szCs w:val="22"/>
                <w:color w:val="auto"/>
              </w:rPr>
            </w:pPr>
          </w:p>
        </w:tc>
      </w:tr>
      <w:tr>
        <w:trPr>
          <w:trHeight w:val="372"/>
        </w:trPr>
        <w:tc>
          <w:tcPr>
            <w:tcW w:w="7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43"/>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r>
      <w:tr>
        <w:trPr>
          <w:trHeight w:val="243"/>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tcPr>
          <w:p>
            <w:pPr>
              <w:spacing w:after="0"/>
              <w:rPr>
                <w:sz w:val="21"/>
                <w:szCs w:val="21"/>
                <w:color w:val="auto"/>
              </w:rPr>
            </w:pPr>
          </w:p>
        </w:tc>
      </w:tr>
      <w:tr>
        <w:trPr>
          <w:trHeight w:val="27"/>
        </w:trPr>
        <w:tc>
          <w:tcPr>
            <w:tcW w:w="78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20" w:type="dxa"/>
            <w:vAlign w:val="bottom"/>
          </w:tcPr>
          <w:p>
            <w:pPr>
              <w:spacing w:after="0"/>
              <w:rPr>
                <w:sz w:val="2"/>
                <w:szCs w:val="2"/>
                <w:color w:val="auto"/>
              </w:rPr>
            </w:pPr>
          </w:p>
        </w:tc>
      </w:tr>
      <w:tr>
        <w:trPr>
          <w:trHeight w:val="282"/>
        </w:trPr>
        <w:tc>
          <w:tcPr>
            <w:tcW w:w="7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14,648</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56"/>
        </w:trPr>
        <w:tc>
          <w:tcPr>
            <w:tcW w:w="78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 acquired</w:t>
            </w:r>
          </w:p>
        </w:tc>
        <w:tc>
          <w:tcPr>
            <w:tcW w:w="580" w:type="dxa"/>
            <w:vAlign w:val="bottom"/>
            <w:tcBorders>
              <w:top w:val="single" w:sz="8" w:color="CCEEFF"/>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15,126</w:t>
            </w:r>
          </w:p>
        </w:tc>
        <w:tc>
          <w:tcPr>
            <w:tcW w:w="20" w:type="dxa"/>
            <w:vAlign w:val="bottom"/>
            <w:tcBorders>
              <w:top w:val="single" w:sz="8" w:color="CCEEFF"/>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ind w:left="640" w:hanging="348"/>
        <w:spacing w:after="0"/>
        <w:tabs>
          <w:tab w:leader="none" w:pos="64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holdback of $1.0 million, which was paid during the second quarter of 2022.</w:t>
      </w:r>
    </w:p>
    <w:p>
      <w:pPr>
        <w:spacing w:after="0" w:line="41"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share consideration issued in connection with the TLH acquisition was calculated based on 694,540 shares of Class A common stock issued multiplied by the share price on the closing date of $14.58.</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5" w:name="page196"/>
    <w:bookmarkEnd w:id="1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Goodwill is primarily attributable to the expected synergies from combining operations. Goodwill recognized was allocated to the Company’s one operating segment and is generally deductible for tax purposes.</w:t>
      </w:r>
    </w:p>
    <w:p>
      <w:pPr>
        <w:spacing w:after="0" w:line="54"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fair values of the trade name intangible assets were determined using an “income approach”, specifically, the relief-from royalty approach, as described above. The fair value of the software technology intangible asset was also determined using an “income approach”, specifically a multi-period excess earnings approach, as described above. The fair value of the customer relationships was determined using an “income approach”, as described above.</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Sprout</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On September 3, 2021, the Company acquired certain assets of the Sprout business (“Sprout”), a leading, cloud-based customer relationship management (“CRM”) and marketing platform for the cannabis industry, for total consideration of approximately $31.2 million. The Company accounted for the Sprout acquisition as an acquisition of a business under ASC 805.</w:t>
      </w:r>
    </w:p>
    <w:p>
      <w:pPr>
        <w:spacing w:after="0" w:line="9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consideration and the fair value of assets acquired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208280</wp:posOffset>
            </wp:positionV>
            <wp:extent cx="5349240" cy="24003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349240" cy="240030"/>
                    </a:xfrm>
                    <a:prstGeom prst="rect">
                      <a:avLst/>
                    </a:prstGeom>
                    <a:noFill/>
                  </pic:spPr>
                </pic:pic>
              </a:graphicData>
            </a:graphic>
          </wp:anchor>
        </w:drawing>
      </w:r>
    </w:p>
    <w:p>
      <w:pPr>
        <w:spacing w:after="0" w:line="3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Consideration Transferred:</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$12,000</w:t>
            </w:r>
          </w:p>
        </w:tc>
      </w:tr>
      <w:tr>
        <w:trPr>
          <w:trHeight w:val="54"/>
        </w:trPr>
        <w:tc>
          <w:tcPr>
            <w:tcW w:w="776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97"/>
        </w:trPr>
        <w:tc>
          <w:tcPr>
            <w:tcW w:w="7760" w:type="dxa"/>
            <w:vAlign w:val="bottom"/>
            <w:shd w:val="clear" w:color="auto" w:fill="CCEEFF"/>
          </w:tcPr>
          <w:p>
            <w:pPr>
              <w:spacing w:after="0" w:line="296" w:lineRule="exact"/>
              <w:rPr>
                <w:sz w:val="20"/>
                <w:szCs w:val="20"/>
                <w:color w:val="auto"/>
              </w:rPr>
            </w:pPr>
            <w:r>
              <w:rPr>
                <w:rFonts w:ascii="Times New Roman" w:cs="Times New Roman" w:eastAsia="Times New Roman" w:hAnsi="Times New Roman"/>
                <w:sz w:val="18"/>
                <w:szCs w:val="18"/>
                <w:color w:val="auto"/>
              </w:rPr>
              <w:t>Share consideration</w:t>
            </w:r>
            <w:r>
              <w:rPr>
                <w:rFonts w:ascii="Times New Roman" w:cs="Times New Roman" w:eastAsia="Times New Roman" w:hAnsi="Times New Roman"/>
                <w:sz w:val="29"/>
                <w:szCs w:val="29"/>
                <w:color w:val="auto"/>
                <w:vertAlign w:val="superscript"/>
              </w:rPr>
              <w:t>(1)</w:t>
            </w: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19,186</w:t>
            </w:r>
          </w:p>
        </w:tc>
        <w:tc>
          <w:tcPr>
            <w:tcW w:w="20" w:type="dxa"/>
            <w:vAlign w:val="bottom"/>
            <w:shd w:val="clear" w:color="auto" w:fill="CCEEFF"/>
          </w:tcPr>
          <w:p>
            <w:pPr>
              <w:spacing w:after="0"/>
              <w:rPr>
                <w:sz w:val="24"/>
                <w:szCs w:val="24"/>
                <w:color w:val="auto"/>
              </w:rPr>
            </w:pPr>
          </w:p>
        </w:tc>
      </w:tr>
      <w:tr>
        <w:trPr>
          <w:trHeight w:val="61"/>
        </w:trPr>
        <w:tc>
          <w:tcPr>
            <w:tcW w:w="77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consideration</w:t>
            </w:r>
          </w:p>
        </w:tc>
        <w:tc>
          <w:tcPr>
            <w:tcW w:w="6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31,186</w:t>
            </w:r>
          </w:p>
        </w:tc>
      </w:tr>
      <w:tr>
        <w:trPr>
          <w:trHeight w:val="372"/>
        </w:trPr>
        <w:tc>
          <w:tcPr>
            <w:tcW w:w="7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Acquired and Liabilities Assumed:</w:t>
            </w:r>
          </w:p>
        </w:tc>
        <w:tc>
          <w:tcPr>
            <w:tcW w:w="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Asset acquired:</w:t>
            </w: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Software technology</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$ 2,973</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5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26,686</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61"/>
        </w:trPr>
        <w:tc>
          <w:tcPr>
            <w:tcW w:w="776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31,286</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7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bottom w:val="single" w:sz="8" w:color="CCEEFF"/>
            </w:tcBorders>
            <w:shd w:val="clear" w:color="auto" w:fill="CCEEFF"/>
          </w:tcPr>
          <w:p>
            <w:pPr>
              <w:spacing w:after="0"/>
              <w:rPr>
                <w:sz w:val="22"/>
                <w:szCs w:val="22"/>
                <w:color w:val="auto"/>
              </w:rPr>
            </w:pPr>
          </w:p>
        </w:tc>
      </w:tr>
      <w:tr>
        <w:trPr>
          <w:trHeight w:val="61"/>
        </w:trPr>
        <w:tc>
          <w:tcPr>
            <w:tcW w:w="77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r>
      <w:tr>
        <w:trPr>
          <w:trHeight w:val="27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Total net assets acquired</w:t>
            </w:r>
          </w:p>
        </w:tc>
        <w:tc>
          <w:tcPr>
            <w:tcW w:w="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31,186</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180340</wp:posOffset>
            </wp:positionV>
            <wp:extent cx="82296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08" w:lineRule="exact"/>
        <w:rPr>
          <w:sz w:val="20"/>
          <w:szCs w:val="20"/>
          <w:color w:val="auto"/>
        </w:rPr>
      </w:pPr>
    </w:p>
    <w:p>
      <w:pPr>
        <w:ind w:left="640" w:right="319" w:hanging="348"/>
        <w:spacing w:after="0" w:line="261" w:lineRule="auto"/>
        <w:tabs>
          <w:tab w:leader="none" w:pos="64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of share consideration issued in connection with the Spout acquisition was calculated based on 1,244,258 shares of Class A common stock issued multiplied by the share price on the closing date of $15.42.</w:t>
      </w:r>
    </w:p>
    <w:p>
      <w:pPr>
        <w:spacing w:after="0" w:line="5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Goodwill is primarily attributable to the expected synergies from combining operations. Goodwill recognized was allocated to the Company’s one operating segment and is generally deductible for tax purposes.</w:t>
      </w:r>
    </w:p>
    <w:p>
      <w:pPr>
        <w:spacing w:after="0" w:line="54"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fair values of the trade name intangible assets were determined using an “income approach”, specifically, the relief-from royalty approach, as described above. The fair value of the software technology intangible asset was also determined using an “income approach”, specifically a multi-period excess earnings approach, as described above. The fair value of the customer relationships was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82"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In December 31, 2023, the Company completed the sunset of certain product offerings including WM CRM, a product offering associated with the acquisition of Sprout, as the Company continues to focus the efforts on other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6" w:name="page197"/>
    <w:bookmarkEnd w:id="196"/>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1300" w:right="1300"/>
        <w:spacing w:after="0" w:line="261" w:lineRule="auto"/>
        <w:rPr>
          <w:sz w:val="20"/>
          <w:szCs w:val="20"/>
          <w:color w:val="auto"/>
        </w:rPr>
      </w:pPr>
      <w:r>
        <w:rPr>
          <w:rFonts w:ascii="Times New Roman" w:cs="Times New Roman" w:eastAsia="Times New Roman" w:hAnsi="Times New Roman"/>
          <w:sz w:val="18"/>
          <w:szCs w:val="18"/>
          <w:color w:val="auto"/>
        </w:rPr>
        <w:t>Weedmaps for Business products that support the Weedmaps marketplace and improve the eCommerce experience for the Company’s clients and users. For the year ended December 31, 2023 the Company recorded an impairment charge of $2.3 million related to intangible assets and $0.1 million related to property and equipment associated with WM CRM, which is included in asset impairment charges in the consolidated statements of operations.</w:t>
      </w:r>
    </w:p>
    <w:p>
      <w:pPr>
        <w:spacing w:after="0" w:line="2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Pro Forma Results and Acquisition-Related Costs</w:t>
      </w:r>
    </w:p>
    <w:p>
      <w:pPr>
        <w:spacing w:after="0" w:line="121" w:lineRule="exact"/>
        <w:rPr>
          <w:sz w:val="20"/>
          <w:szCs w:val="20"/>
          <w:color w:val="auto"/>
        </w:rPr>
      </w:pPr>
    </w:p>
    <w:p>
      <w:pPr>
        <w:jc w:val="both"/>
        <w:ind w:left="1300" w:right="132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for the years ended December 31, 2023, 2022 and 2021 include the financial results of the above acquisitions from the date of the acquisitions. Pro forma financial results have not been presented since these acquisitions were not material to our financial results.</w:t>
      </w:r>
    </w:p>
    <w:p>
      <w:pPr>
        <w:spacing w:after="0" w:line="172" w:lineRule="exact"/>
        <w:rPr>
          <w:sz w:val="20"/>
          <w:szCs w:val="20"/>
          <w:color w:val="auto"/>
        </w:rPr>
      </w:pPr>
    </w:p>
    <w:p>
      <w:pPr>
        <w:ind w:left="1640" w:hanging="348"/>
        <w:spacing w:after="0"/>
        <w:tabs>
          <w:tab w:leader="none" w:pos="164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jc w:val="both"/>
        <w:ind w:left="1300" w:right="1320"/>
        <w:spacing w:after="0" w:line="282" w:lineRule="auto"/>
        <w:rPr>
          <w:sz w:val="20"/>
          <w:szCs w:val="20"/>
          <w:color w:val="auto"/>
        </w:rPr>
      </w:pPr>
      <w:r>
        <w:rPr>
          <w:rFonts w:ascii="Times New Roman" w:cs="Times New Roman" w:eastAsia="Times New Roman" w:hAnsi="Times New Roman"/>
          <w:sz w:val="18"/>
          <w:szCs w:val="18"/>
          <w:color w:val="auto"/>
        </w:rPr>
        <w:t>Goodwill totaled $68.4 million as of December 31, 2023 and 2022. No goodwill impairment charges were recorded for the years ended December 31, 2023, 2022 and 2021.</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3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Intangible assets consisted of the following for the periods presented below (in thousands):</w:t>
      </w:r>
    </w:p>
    <w:p>
      <w:pPr>
        <w:spacing w:after="0" w:line="200" w:lineRule="exact"/>
        <w:rPr>
          <w:sz w:val="20"/>
          <w:szCs w:val="20"/>
          <w:color w:val="auto"/>
        </w:rPr>
      </w:pPr>
    </w:p>
    <w:p>
      <w:pPr>
        <w:spacing w:after="0" w:line="275" w:lineRule="exact"/>
        <w:rPr>
          <w:sz w:val="20"/>
          <w:szCs w:val="20"/>
          <w:color w:val="auto"/>
        </w:rPr>
      </w:pPr>
    </w:p>
    <w:tbl>
      <w:tblPr>
        <w:tblLayout w:type="fixed"/>
        <w:tblInd w:w="1300" w:type="dxa"/>
        <w:tblCellMar>
          <w:top w:w="0" w:type="dxa"/>
          <w:left w:w="0" w:type="dxa"/>
          <w:bottom w:w="0" w:type="dxa"/>
          <w:right w:w="0" w:type="dxa"/>
        </w:tblCellMar>
      </w:tblPr>
      <w:tr>
        <w:trPr>
          <w:trHeight w:val="190"/>
        </w:trPr>
        <w:tc>
          <w:tcPr>
            <w:tcW w:w="39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920" w:type="dxa"/>
            <w:vAlign w:val="bottom"/>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180" w:type="dxa"/>
            <w:vAlign w:val="bottom"/>
            <w:gridSpan w:val="6"/>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Gross Intangible</w:t>
            </w:r>
          </w:p>
        </w:tc>
        <w:tc>
          <w:tcPr>
            <w:tcW w:w="9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gridSpan w:val="5"/>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Net Intangible</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 Period</w:t>
            </w:r>
          </w:p>
        </w:tc>
        <w:tc>
          <w:tcPr>
            <w:tcW w:w="1180" w:type="dxa"/>
            <w:vAlign w:val="bottom"/>
            <w:gridSpan w:val="6"/>
            <w:vMerge w:val="continue"/>
          </w:tcPr>
          <w:p>
            <w:pPr>
              <w:spacing w:after="0"/>
              <w:rPr>
                <w:sz w:val="12"/>
                <w:szCs w:val="12"/>
                <w:color w:val="auto"/>
              </w:rPr>
            </w:pPr>
          </w:p>
        </w:tc>
        <w:tc>
          <w:tcPr>
            <w:tcW w:w="960" w:type="dxa"/>
            <w:vAlign w:val="bottom"/>
            <w:gridSpan w:val="6"/>
            <w:vMerge w:val="continue"/>
          </w:tcPr>
          <w:p>
            <w:pPr>
              <w:spacing w:after="0"/>
              <w:rPr>
                <w:sz w:val="12"/>
                <w:szCs w:val="12"/>
                <w:color w:val="auto"/>
              </w:rPr>
            </w:pPr>
          </w:p>
        </w:tc>
        <w:tc>
          <w:tcPr>
            <w:tcW w:w="9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92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37"/>
        </w:trPr>
        <w:tc>
          <w:tcPr>
            <w:tcW w:w="392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1300" w:type="dxa"/>
            <w:vAlign w:val="bottom"/>
            <w:tcBorders>
              <w:bottom w:val="single" w:sz="8" w:color="CCEEFF"/>
            </w:tcBorders>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3"/>
            <w:shd w:val="clear" w:color="auto" w:fill="CCEEFF"/>
          </w:tcPr>
          <w:p>
            <w:pPr>
              <w:jc w:val="center"/>
              <w:ind w:left="174"/>
              <w:spacing w:after="0"/>
              <w:rPr>
                <w:sz w:val="20"/>
                <w:szCs w:val="20"/>
                <w:color w:val="auto"/>
              </w:rPr>
            </w:pPr>
            <w:r>
              <w:rPr>
                <w:rFonts w:ascii="Times New Roman" w:cs="Times New Roman" w:eastAsia="Times New Roman" w:hAnsi="Times New Roman"/>
                <w:sz w:val="18"/>
                <w:szCs w:val="18"/>
                <w:color w:val="auto"/>
              </w:rPr>
              <w:t>$7,256</w:t>
            </w:r>
          </w:p>
        </w:tc>
        <w:tc>
          <w:tcPr>
            <w:tcW w:w="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4"/>
            <w:shd w:val="clear" w:color="auto" w:fill="CCEEFF"/>
          </w:tcPr>
          <w:p>
            <w:pPr>
              <w:jc w:val="center"/>
              <w:ind w:left="75"/>
              <w:spacing w:after="0"/>
              <w:rPr>
                <w:sz w:val="20"/>
                <w:szCs w:val="20"/>
                <w:color w:val="auto"/>
              </w:rPr>
            </w:pPr>
            <w:r>
              <w:rPr>
                <w:rFonts w:ascii="Times New Roman" w:cs="Times New Roman" w:eastAsia="Times New Roman" w:hAnsi="Times New Roman"/>
                <w:sz w:val="18"/>
                <w:szCs w:val="18"/>
                <w:color w:val="auto"/>
              </w:rPr>
              <w:t>$2,248</w:t>
            </w:r>
          </w:p>
        </w:tc>
        <w:tc>
          <w:tcPr>
            <w:tcW w:w="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130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760" w:type="dxa"/>
            <w:vAlign w:val="bottom"/>
            <w:gridSpan w:val="3"/>
          </w:tcPr>
          <w:p>
            <w:pPr>
              <w:jc w:val="center"/>
              <w:ind w:left="394"/>
              <w:spacing w:after="0"/>
              <w:rPr>
                <w:sz w:val="20"/>
                <w:szCs w:val="20"/>
                <w:color w:val="auto"/>
              </w:rPr>
            </w:pPr>
            <w:r>
              <w:rPr>
                <w:rFonts w:ascii="Times New Roman" w:cs="Times New Roman" w:eastAsia="Times New Roman" w:hAnsi="Times New Roman"/>
                <w:sz w:val="18"/>
                <w:szCs w:val="18"/>
                <w:color w:val="auto"/>
              </w:rPr>
              <w:t>249</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300" w:type="dxa"/>
            <w:vAlign w:val="bottom"/>
            <w:tcBorders>
              <w:bottom w:val="single" w:sz="8" w:color="CCEEFF"/>
            </w:tcBorders>
            <w:shd w:val="clear" w:color="auto" w:fill="CCEEFF"/>
          </w:tcPr>
          <w:p>
            <w:pPr>
              <w:jc w:val="right"/>
              <w:ind w:right="437"/>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gridSpan w:val="2"/>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center"/>
              <w:ind w:left="139"/>
              <w:spacing w:after="0"/>
              <w:rPr>
                <w:sz w:val="20"/>
                <w:szCs w:val="20"/>
                <w:color w:val="auto"/>
              </w:rPr>
            </w:pPr>
            <w:r>
              <w:rPr>
                <w:rFonts w:ascii="Times New Roman" w:cs="Times New Roman" w:eastAsia="Times New Roman" w:hAnsi="Times New Roman"/>
                <w:sz w:val="18"/>
                <w:szCs w:val="18"/>
                <w:color w:val="auto"/>
              </w:rPr>
              <w:t>170</w:t>
            </w:r>
          </w:p>
        </w:tc>
        <w:tc>
          <w:tcPr>
            <w:tcW w:w="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gridSpan w:val="2"/>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300" w:type="dxa"/>
            <w:vAlign w:val="bottom"/>
          </w:tcPr>
          <w:p>
            <w:pPr>
              <w:jc w:val="right"/>
              <w:ind w:right="417"/>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2"/>
                <w:szCs w:val="22"/>
                <w:color w:val="auto"/>
              </w:rPr>
            </w:pPr>
          </w:p>
        </w:tc>
        <w:tc>
          <w:tcPr>
            <w:tcW w:w="260" w:type="dxa"/>
            <w:vAlign w:val="bottom"/>
            <w:gridSpan w:val="2"/>
          </w:tcPr>
          <w:p>
            <w:pPr>
              <w:spacing w:after="0"/>
              <w:rPr>
                <w:sz w:val="22"/>
                <w:szCs w:val="2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7,675</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gridSpan w:val="2"/>
          </w:tcPr>
          <w:p>
            <w:pPr>
              <w:spacing w:after="0"/>
              <w:rPr>
                <w:sz w:val="22"/>
                <w:szCs w:val="22"/>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(5,168)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gridSpan w:val="4"/>
          </w:tcPr>
          <w:p>
            <w:pPr>
              <w:jc w:val="center"/>
              <w:ind w:left="75"/>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2,507</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5"/>
        </w:trPr>
        <w:tc>
          <w:tcPr>
            <w:tcW w:w="3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920" w:type="dxa"/>
            <w:vAlign w:val="bottom"/>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180" w:type="dxa"/>
            <w:vAlign w:val="bottom"/>
            <w:gridSpan w:val="6"/>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Gross Intangible</w:t>
            </w:r>
          </w:p>
        </w:tc>
        <w:tc>
          <w:tcPr>
            <w:tcW w:w="9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gridSpan w:val="5"/>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Net Intangible</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 Period</w:t>
            </w:r>
          </w:p>
        </w:tc>
        <w:tc>
          <w:tcPr>
            <w:tcW w:w="1180" w:type="dxa"/>
            <w:vAlign w:val="bottom"/>
            <w:gridSpan w:val="6"/>
            <w:vMerge w:val="continue"/>
          </w:tcPr>
          <w:p>
            <w:pPr>
              <w:spacing w:after="0"/>
              <w:rPr>
                <w:sz w:val="12"/>
                <w:szCs w:val="12"/>
                <w:color w:val="auto"/>
              </w:rPr>
            </w:pPr>
          </w:p>
        </w:tc>
        <w:tc>
          <w:tcPr>
            <w:tcW w:w="960" w:type="dxa"/>
            <w:vAlign w:val="bottom"/>
            <w:gridSpan w:val="6"/>
            <w:vMerge w:val="continue"/>
          </w:tcPr>
          <w:p>
            <w:pPr>
              <w:spacing w:after="0"/>
              <w:rPr>
                <w:sz w:val="12"/>
                <w:szCs w:val="12"/>
                <w:color w:val="auto"/>
              </w:rPr>
            </w:pPr>
          </w:p>
        </w:tc>
        <w:tc>
          <w:tcPr>
            <w:tcW w:w="9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92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gridSpan w:val="4"/>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9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37"/>
        </w:trPr>
        <w:tc>
          <w:tcPr>
            <w:tcW w:w="392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domain names</w:t>
            </w:r>
          </w:p>
        </w:tc>
        <w:tc>
          <w:tcPr>
            <w:tcW w:w="1300" w:type="dxa"/>
            <w:vAlign w:val="bottom"/>
            <w:tcBorders>
              <w:bottom w:val="single" w:sz="8" w:color="CCEEFF"/>
            </w:tcBorders>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4"/>
            <w:shd w:val="clear" w:color="auto" w:fill="CCEEFF"/>
          </w:tcPr>
          <w:p>
            <w:pPr>
              <w:jc w:val="center"/>
              <w:ind w:left="134"/>
              <w:spacing w:after="0"/>
              <w:rPr>
                <w:sz w:val="20"/>
                <w:szCs w:val="20"/>
                <w:color w:val="auto"/>
              </w:rPr>
            </w:pPr>
            <w:r>
              <w:rPr>
                <w:rFonts w:ascii="Times New Roman" w:cs="Times New Roman" w:eastAsia="Times New Roman" w:hAnsi="Times New Roman"/>
                <w:sz w:val="18"/>
                <w:szCs w:val="18"/>
                <w:color w:val="auto"/>
              </w:rPr>
              <w:t>$ 7,635</w:t>
            </w:r>
          </w:p>
        </w:tc>
        <w:tc>
          <w:tcPr>
            <w:tcW w:w="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(4,699)</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$ 2,936</w:t>
            </w:r>
          </w:p>
        </w:tc>
        <w:tc>
          <w:tcPr>
            <w:tcW w:w="2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Software technology</w:t>
            </w:r>
          </w:p>
        </w:tc>
        <w:tc>
          <w:tcPr>
            <w:tcW w:w="130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1"/>
                <w:szCs w:val="21"/>
                <w:color w:val="auto"/>
              </w:rPr>
            </w:pPr>
          </w:p>
        </w:tc>
        <w:tc>
          <w:tcPr>
            <w:tcW w:w="800" w:type="dxa"/>
            <w:vAlign w:val="bottom"/>
            <w:gridSpan w:val="4"/>
          </w:tcPr>
          <w:p>
            <w:pPr>
              <w:jc w:val="center"/>
              <w:ind w:left="314"/>
              <w:spacing w:after="0"/>
              <w:rPr>
                <w:sz w:val="20"/>
                <w:szCs w:val="20"/>
                <w:color w:val="auto"/>
              </w:rPr>
            </w:pPr>
            <w:r>
              <w:rPr>
                <w:rFonts w:ascii="Times New Roman" w:cs="Times New Roman" w:eastAsia="Times New Roman" w:hAnsi="Times New Roman"/>
                <w:sz w:val="18"/>
                <w:szCs w:val="18"/>
                <w:color w:val="auto"/>
                <w:w w:val="98"/>
              </w:rPr>
              <w:t>7,516</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300" w:type="dxa"/>
            <w:vAlign w:val="bottom"/>
            <w:tcBorders>
              <w:bottom w:val="single" w:sz="8" w:color="CCEEFF"/>
            </w:tcBorders>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4"/>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8"/>
              </w:rPr>
              <w:t>5,211</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Order Backlog</w:t>
            </w:r>
          </w:p>
        </w:tc>
        <w:tc>
          <w:tcPr>
            <w:tcW w:w="1300" w:type="dxa"/>
            <w:vAlign w:val="bottom"/>
          </w:tcPr>
          <w:p>
            <w:pPr>
              <w:jc w:val="right"/>
              <w:ind w:right="437"/>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800" w:type="dxa"/>
            <w:vAlign w:val="bottom"/>
            <w:gridSpan w:val="4"/>
          </w:tcPr>
          <w:p>
            <w:pPr>
              <w:jc w:val="center"/>
              <w:ind w:left="134"/>
              <w:spacing w:after="0"/>
              <w:rPr>
                <w:sz w:val="20"/>
                <w:szCs w:val="20"/>
                <w:color w:val="auto"/>
              </w:rPr>
            </w:pPr>
            <w:r>
              <w:rPr>
                <w:rFonts w:ascii="Times New Roman" w:cs="Times New Roman" w:eastAsia="Times New Roman" w:hAnsi="Times New Roman"/>
                <w:sz w:val="18"/>
                <w:szCs w:val="18"/>
                <w:color w:val="auto"/>
              </w:rPr>
              <w:t>$   210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3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130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22"/>
                <w:szCs w:val="22"/>
                <w:color w:val="auto"/>
              </w:rPr>
            </w:pPr>
          </w:p>
        </w:tc>
        <w:tc>
          <w:tcPr>
            <w:tcW w:w="1060" w:type="dxa"/>
            <w:vAlign w:val="bottom"/>
            <w:gridSpan w:val="5"/>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20,572</w:t>
            </w:r>
          </w:p>
        </w:tc>
        <w:tc>
          <w:tcPr>
            <w:tcW w:w="120" w:type="dxa"/>
            <w:vAlign w:val="bottom"/>
            <w:shd w:val="clear" w:color="auto" w:fill="CCEEFF"/>
          </w:tcPr>
          <w:p>
            <w:pPr>
              <w:spacing w:after="0"/>
              <w:rPr>
                <w:sz w:val="22"/>
                <w:szCs w:val="22"/>
                <w:color w:val="auto"/>
              </w:rPr>
            </w:pP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(10,233)</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10,339</w:t>
            </w:r>
          </w:p>
        </w:tc>
        <w:tc>
          <w:tcPr>
            <w:tcW w:w="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8"/>
        </w:trPr>
        <w:tc>
          <w:tcPr>
            <w:tcW w:w="392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right w:val="single" w:sz="8" w:color="CCEEFF"/>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5509260</wp:posOffset>
            </wp:positionH>
            <wp:positionV relativeFrom="paragraph">
              <wp:posOffset>-2459355</wp:posOffset>
            </wp:positionV>
            <wp:extent cx="6858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4892040</wp:posOffset>
            </wp:positionH>
            <wp:positionV relativeFrom="paragraph">
              <wp:posOffset>-2459355</wp:posOffset>
            </wp:positionV>
            <wp:extent cx="6858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-2459355</wp:posOffset>
            </wp:positionV>
            <wp:extent cx="6858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3280410</wp:posOffset>
            </wp:positionH>
            <wp:positionV relativeFrom="paragraph">
              <wp:posOffset>-2459355</wp:posOffset>
            </wp:positionV>
            <wp:extent cx="3429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5509260</wp:posOffset>
            </wp:positionH>
            <wp:positionV relativeFrom="paragraph">
              <wp:posOffset>-933450</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4892040</wp:posOffset>
            </wp:positionH>
            <wp:positionV relativeFrom="paragraph">
              <wp:posOffset>-933450</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-933450</wp:posOffset>
            </wp:positionV>
            <wp:extent cx="685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3280410</wp:posOffset>
            </wp:positionH>
            <wp:positionV relativeFrom="paragraph">
              <wp:posOffset>-933450</wp:posOffset>
            </wp:positionV>
            <wp:extent cx="3429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70" w:lineRule="exact"/>
        <w:rPr>
          <w:sz w:val="20"/>
          <w:szCs w:val="20"/>
          <w:color w:val="auto"/>
        </w:rPr>
      </w:pPr>
    </w:p>
    <w:p>
      <w:pPr>
        <w:jc w:val="both"/>
        <w:ind w:left="1300" w:right="1300"/>
        <w:spacing w:after="0" w:line="256" w:lineRule="auto"/>
        <w:rPr>
          <w:sz w:val="20"/>
          <w:szCs w:val="20"/>
          <w:color w:val="auto"/>
        </w:rPr>
      </w:pPr>
      <w:r>
        <w:rPr>
          <w:rFonts w:ascii="Times New Roman" w:cs="Times New Roman" w:eastAsia="Times New Roman" w:hAnsi="Times New Roman"/>
          <w:sz w:val="18"/>
          <w:szCs w:val="18"/>
          <w:color w:val="auto"/>
        </w:rPr>
        <w:t>Amortization expense for intangible assets was $7.8 million, $2.7 million and $1.3 million for the years ended December 31, 2023, 2022 and 2021, respectively. The Company recorded an impairment charge of $6.1 million for the year ended December 31, 2023 related to intangible assets associated with certain product offerings that were sunset in December 2023, which is included in asset impairment charges in the consolidated statements of operations. No intangible asset impairment charges have been recorded for the years ended December 31, 2022 and 2021.</w:t>
      </w: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estimated future amortization expense of intangible assets as of December 31, 2023 is as follows (in thousands):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8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300" w:type="dxa"/>
            <w:vAlign w:val="bottom"/>
          </w:tcPr>
          <w:p>
            <w:pPr>
              <w:spacing w:after="0"/>
              <w:rPr>
                <w:sz w:val="16"/>
                <w:szCs w:val="16"/>
                <w:color w:val="auto"/>
              </w:rPr>
            </w:pPr>
          </w:p>
        </w:tc>
      </w:tr>
      <w:tr>
        <w:trPr>
          <w:trHeight w:val="37"/>
        </w:trPr>
        <w:tc>
          <w:tcPr>
            <w:tcW w:w="1300" w:type="dxa"/>
            <w:vAlign w:val="bottom"/>
          </w:tcPr>
          <w:p>
            <w:pPr>
              <w:spacing w:after="0"/>
              <w:rPr>
                <w:sz w:val="3"/>
                <w:szCs w:val="3"/>
                <w:color w:val="auto"/>
              </w:rPr>
            </w:pPr>
          </w:p>
        </w:tc>
        <w:tc>
          <w:tcPr>
            <w:tcW w:w="2980" w:type="dxa"/>
            <w:vAlign w:val="bottom"/>
            <w:tcBorders>
              <w:bottom w:val="single" w:sz="8" w:color="CCEEFF"/>
            </w:tcBorders>
          </w:tcPr>
          <w:p>
            <w:pPr>
              <w:spacing w:after="0"/>
              <w:rPr>
                <w:sz w:val="3"/>
                <w:szCs w:val="3"/>
                <w:color w:val="auto"/>
              </w:rPr>
            </w:pPr>
          </w:p>
        </w:tc>
        <w:tc>
          <w:tcPr>
            <w:tcW w:w="46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Pr>
          <w:p>
            <w:pPr>
              <w:spacing w:after="0"/>
              <w:rPr>
                <w:sz w:val="3"/>
                <w:szCs w:val="3"/>
                <w:color w:val="auto"/>
              </w:rPr>
            </w:pPr>
          </w:p>
        </w:tc>
      </w:tr>
      <w:tr>
        <w:trPr>
          <w:trHeight w:val="270"/>
        </w:trPr>
        <w:tc>
          <w:tcPr>
            <w:tcW w:w="1300" w:type="dxa"/>
            <w:vAlign w:val="bottom"/>
          </w:tcPr>
          <w:p>
            <w:pPr>
              <w:spacing w:after="0"/>
              <w:rPr>
                <w:sz w:val="23"/>
                <w:szCs w:val="23"/>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Years ended December 31,</w:t>
            </w:r>
          </w:p>
        </w:tc>
        <w:tc>
          <w:tcPr>
            <w:tcW w:w="46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243"/>
        </w:trPr>
        <w:tc>
          <w:tcPr>
            <w:tcW w:w="1300" w:type="dxa"/>
            <w:vAlign w:val="bottom"/>
          </w:tcPr>
          <w:p>
            <w:pPr>
              <w:spacing w:after="0"/>
              <w:rPr>
                <w:sz w:val="21"/>
                <w:szCs w:val="21"/>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300" w:type="dxa"/>
            <w:vAlign w:val="bottom"/>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6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555</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543</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300" w:type="dxa"/>
            <w:vAlign w:val="bottom"/>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6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505</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4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3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1300" w:type="dxa"/>
            <w:vAlign w:val="bottom"/>
          </w:tcPr>
          <w:p>
            <w:pPr>
              <w:spacing w:after="0"/>
              <w:rPr>
                <w:sz w:val="19"/>
                <w:szCs w:val="19"/>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shd w:val="clear" w:color="auto" w:fill="CCEEFF"/>
          </w:tcPr>
          <w:p>
            <w:pPr>
              <w:spacing w:after="0"/>
              <w:rPr>
                <w:sz w:val="19"/>
                <w:szCs w:val="19"/>
                <w:color w:val="auto"/>
              </w:rPr>
            </w:pPr>
          </w:p>
        </w:tc>
        <w:tc>
          <w:tcPr>
            <w:tcW w:w="1300" w:type="dxa"/>
            <w:vAlign w:val="bottom"/>
          </w:tcPr>
          <w:p>
            <w:pPr>
              <w:spacing w:after="0"/>
              <w:rPr>
                <w:sz w:val="19"/>
                <w:szCs w:val="19"/>
                <w:color w:val="auto"/>
              </w:rPr>
            </w:pPr>
          </w:p>
        </w:tc>
      </w:tr>
      <w:tr>
        <w:trPr>
          <w:trHeight w:val="48"/>
        </w:trPr>
        <w:tc>
          <w:tcPr>
            <w:tcW w:w="1300" w:type="dxa"/>
            <w:vAlign w:val="bottom"/>
          </w:tcPr>
          <w:p>
            <w:pPr>
              <w:spacing w:after="0"/>
              <w:rPr>
                <w:sz w:val="4"/>
                <w:szCs w:val="4"/>
                <w:color w:val="auto"/>
              </w:rPr>
            </w:pPr>
          </w:p>
        </w:tc>
        <w:tc>
          <w:tcPr>
            <w:tcW w:w="2980" w:type="dxa"/>
            <w:vAlign w:val="bottom"/>
            <w:tcBorders>
              <w:top w:val="single" w:sz="8" w:color="CCEEFF"/>
            </w:tcBorders>
            <w:shd w:val="clear" w:color="auto" w:fill="CCEEFF"/>
          </w:tcPr>
          <w:p>
            <w:pPr>
              <w:spacing w:after="0"/>
              <w:rPr>
                <w:sz w:val="4"/>
                <w:szCs w:val="4"/>
                <w:color w:val="auto"/>
              </w:rPr>
            </w:pPr>
          </w:p>
        </w:tc>
        <w:tc>
          <w:tcPr>
            <w:tcW w:w="46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00" w:type="dxa"/>
            <w:vAlign w:val="bottom"/>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4760" w:type="dxa"/>
            <w:vAlign w:val="bottom"/>
            <w:gridSpan w:val="2"/>
          </w:tcPr>
          <w:p>
            <w:pPr>
              <w:spacing w:after="0"/>
              <w:rPr>
                <w:sz w:val="22"/>
                <w:szCs w:val="22"/>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2,507</w:t>
            </w: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480"/>
        </w:trPr>
        <w:tc>
          <w:tcPr>
            <w:tcW w:w="13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920" w:type="dxa"/>
            <w:vAlign w:val="bottom"/>
            <w:gridSpan w:val="3"/>
          </w:tcPr>
          <w:p>
            <w:pPr>
              <w:jc w:val="right"/>
              <w:ind w:right="3430"/>
              <w:spacing w:after="0"/>
              <w:rPr>
                <w:sz w:val="20"/>
                <w:szCs w:val="20"/>
                <w:color w:val="auto"/>
              </w:rPr>
            </w:pPr>
            <w:r>
              <w:rPr>
                <w:rFonts w:ascii="Times New Roman" w:cs="Times New Roman" w:eastAsia="Times New Roman" w:hAnsi="Times New Roman"/>
                <w:sz w:val="18"/>
                <w:szCs w:val="18"/>
                <w:color w:val="auto"/>
              </w:rPr>
              <w:t>F-57</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c>
          <w:tcPr>
            <w:tcW w:w="4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5560695</wp:posOffset>
            </wp:positionH>
            <wp:positionV relativeFrom="paragraph">
              <wp:posOffset>-1851025</wp:posOffset>
            </wp:positionV>
            <wp:extent cx="7747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020"/>
          </w:cols>
          <w:pgMar w:left="440" w:top="263" w:right="439" w:bottom="447" w:gutter="0" w:footer="0" w:header="0"/>
        </w:sectPr>
      </w:pPr>
    </w:p>
    <w:bookmarkStart w:id="197" w:name="page198"/>
    <w:bookmarkEnd w:id="1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ind w:left="300" w:right="2179" w:firstLine="1832"/>
        <w:spacing w:after="0" w:line="260"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 10. Prepaid Expenses and Other Current Assets</w:t>
      </w:r>
    </w:p>
    <w:p>
      <w:pPr>
        <w:spacing w:after="0" w:line="73"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as of</w:t>
            </w:r>
          </w:p>
        </w:tc>
        <w:tc>
          <w:tcPr>
            <w:tcW w:w="31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December 31, 2023 and 2022 consisted</w:t>
            </w: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of the following</w:t>
            </w: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624"/>
        </w:trPr>
        <w:tc>
          <w:tcPr>
            <w:tcW w:w="38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24"/>
                <w:szCs w:val="24"/>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50"/>
        </w:trPr>
        <w:tc>
          <w:tcPr>
            <w:tcW w:w="3840" w:type="dxa"/>
            <w:vAlign w:val="bottom"/>
            <w:tcBorders>
              <w:bottom w:val="single" w:sz="8" w:color="CCEEFF"/>
            </w:tcBorders>
          </w:tcPr>
          <w:p>
            <w:pPr>
              <w:spacing w:after="0"/>
              <w:rPr>
                <w:sz w:val="4"/>
                <w:szCs w:val="4"/>
                <w:color w:val="auto"/>
              </w:rPr>
            </w:pPr>
          </w:p>
        </w:tc>
        <w:tc>
          <w:tcPr>
            <w:tcW w:w="20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r>
      <w:tr>
        <w:trPr>
          <w:trHeight w:val="311"/>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3180" w:type="dxa"/>
            <w:vAlign w:val="bottom"/>
            <w:tcBorders>
              <w:bottom w:val="single" w:sz="8" w:color="CCEEFF"/>
            </w:tcBorders>
            <w:gridSpan w:val="4"/>
            <w:shd w:val="clear" w:color="auto" w:fill="CCEEFF"/>
          </w:tcPr>
          <w:p>
            <w:pPr>
              <w:jc w:val="center"/>
              <w:ind w:left="1950"/>
              <w:spacing w:after="0"/>
              <w:rPr>
                <w:sz w:val="20"/>
                <w:szCs w:val="20"/>
                <w:color w:val="auto"/>
              </w:rPr>
            </w:pPr>
            <w:r>
              <w:rPr>
                <w:rFonts w:ascii="Times New Roman" w:cs="Times New Roman" w:eastAsia="Times New Roman" w:hAnsi="Times New Roman"/>
                <w:sz w:val="18"/>
                <w:szCs w:val="18"/>
                <w:color w:val="auto"/>
              </w:rPr>
              <w:t>$1,530</w:t>
            </w:r>
          </w:p>
        </w:tc>
        <w:tc>
          <w:tcPr>
            <w:tcW w:w="1400" w:type="dxa"/>
            <w:vAlign w:val="bottom"/>
            <w:tcBorders>
              <w:bottom w:val="single" w:sz="8" w:color="CCEEFF"/>
            </w:tcBorders>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$2,869</w:t>
            </w:r>
          </w:p>
        </w:tc>
      </w:tr>
      <w:tr>
        <w:trPr>
          <w:trHeight w:val="27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Prepaid marketing</w:t>
            </w:r>
          </w:p>
        </w:tc>
        <w:tc>
          <w:tcPr>
            <w:tcW w:w="2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34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340" w:type="dxa"/>
            <w:vAlign w:val="bottom"/>
          </w:tcPr>
          <w:p>
            <w:pPr>
              <w:spacing w:after="0"/>
              <w:rPr>
                <w:sz w:val="23"/>
                <w:szCs w:val="23"/>
                <w:color w:val="auto"/>
              </w:rPr>
            </w:pPr>
          </w:p>
        </w:tc>
      </w:tr>
      <w:tr>
        <w:trPr>
          <w:trHeight w:val="54"/>
        </w:trPr>
        <w:tc>
          <w:tcPr>
            <w:tcW w:w="38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r>
      <w:tr>
        <w:trPr>
          <w:trHeight w:val="304"/>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software</w:t>
            </w:r>
          </w:p>
        </w:tc>
        <w:tc>
          <w:tcPr>
            <w:tcW w:w="28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3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2,762</w:t>
            </w:r>
          </w:p>
        </w:tc>
        <w:tc>
          <w:tcPr>
            <w:tcW w:w="340" w:type="dxa"/>
            <w:vAlign w:val="bottom"/>
            <w:tcBorders>
              <w:bottom w:val="single" w:sz="8" w:color="CCEEFF"/>
            </w:tcBorders>
            <w:shd w:val="clear" w:color="auto" w:fill="CCEEFF"/>
          </w:tcPr>
          <w:p>
            <w:pPr>
              <w:spacing w:after="0"/>
              <w:rPr>
                <w:sz w:val="24"/>
                <w:szCs w:val="24"/>
                <w:color w:val="auto"/>
              </w:rPr>
            </w:pPr>
          </w:p>
        </w:tc>
      </w:tr>
      <w:tr>
        <w:trPr>
          <w:trHeight w:val="27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2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34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340" w:type="dxa"/>
            <w:vAlign w:val="bottom"/>
          </w:tcPr>
          <w:p>
            <w:pPr>
              <w:spacing w:after="0"/>
              <w:rPr>
                <w:sz w:val="23"/>
                <w:szCs w:val="23"/>
                <w:color w:val="auto"/>
              </w:rPr>
            </w:pPr>
          </w:p>
        </w:tc>
      </w:tr>
      <w:tr>
        <w:trPr>
          <w:trHeight w:val="48"/>
        </w:trPr>
        <w:tc>
          <w:tcPr>
            <w:tcW w:w="38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r>
      <w:tr>
        <w:trPr>
          <w:trHeight w:val="283"/>
        </w:trPr>
        <w:tc>
          <w:tcPr>
            <w:tcW w:w="3840" w:type="dxa"/>
            <w:vAlign w:val="bottom"/>
            <w:shd w:val="clear" w:color="auto" w:fill="CCEEFF"/>
          </w:tcPr>
          <w:p>
            <w:pPr>
              <w:spacing w:after="0"/>
              <w:rPr>
                <w:sz w:val="24"/>
                <w:szCs w:val="24"/>
                <w:color w:val="auto"/>
              </w:rPr>
            </w:pPr>
          </w:p>
        </w:tc>
        <w:tc>
          <w:tcPr>
            <w:tcW w:w="3180" w:type="dxa"/>
            <w:vAlign w:val="bottom"/>
            <w:gridSpan w:val="4"/>
            <w:shd w:val="clear" w:color="auto" w:fill="CCEEFF"/>
          </w:tcPr>
          <w:p>
            <w:pPr>
              <w:jc w:val="center"/>
              <w:ind w:left="195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5,978</w:t>
            </w:r>
          </w:p>
        </w:tc>
        <w:tc>
          <w:tcPr>
            <w:tcW w:w="140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8,962</w:t>
            </w:r>
          </w:p>
        </w:tc>
      </w:tr>
      <w:tr>
        <w:trPr>
          <w:trHeight w:val="34"/>
        </w:trPr>
        <w:tc>
          <w:tcPr>
            <w:tcW w:w="3840" w:type="dxa"/>
            <w:vAlign w:val="bottom"/>
            <w:tcBorders>
              <w:top w:val="single" w:sz="8" w:color="CCEEFF"/>
            </w:tcBorders>
            <w:shd w:val="clear" w:color="auto" w:fill="CCEEFF"/>
          </w:tcPr>
          <w:p>
            <w:pPr>
              <w:spacing w:after="0"/>
              <w:rPr>
                <w:sz w:val="2"/>
                <w:szCs w:val="2"/>
                <w:color w:val="auto"/>
              </w:rPr>
            </w:pPr>
          </w:p>
        </w:tc>
        <w:tc>
          <w:tcPr>
            <w:tcW w:w="20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auto"/>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auto"/>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-1062355</wp:posOffset>
            </wp:positionV>
            <wp:extent cx="13716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-1062355</wp:posOffset>
            </wp:positionV>
            <wp:extent cx="68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Company capitalizes implementation costs incurred in cloud computing arrangements that are service contracts if they meet certain requirements. Those requirements are similar to the requirements for capitalizing implementation costs incurred to develop internal-use software. Amortization is computed using the straight-line method over the term of the associated hosting arrangement. These implementation costs are classified on the balance sheet in prepaid and other current assets, and the related cash flows are presented as cash outflows from operations. Impairment is recognized and measured when it is no longer probable that the computer software project will be completed and placed in service.</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No impairment charge was recognized during the year ended December 31, 2023, related to certain capitalized implementation costs for a cloud computing arrangement that was abandoned. The Company recognized an impairment charge of $0.8 million during the year ended December 31, 2022, related to certain capitalized implementation costs for a cloud computing arrangement that was abandoned.</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11.  Accounts Payable and Accrued Expenses</w:t>
      </w:r>
    </w:p>
    <w:p>
      <w:pPr>
        <w:spacing w:after="0" w:line="148"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Accounts payable and accrued liabilities as of December 31, 2023 and 2022 consisted of the following (in thousands):</w:t>
      </w:r>
    </w:p>
    <w:p>
      <w:pPr>
        <w:spacing w:after="0" w:line="39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3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50"/>
        </w:trPr>
        <w:tc>
          <w:tcPr>
            <w:tcW w:w="58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311"/>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$ 7,323</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$ 9,561</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r>
      <w:tr>
        <w:trPr>
          <w:trHeight w:val="27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expenses</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13,859</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24,074</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48"/>
        </w:trPr>
        <w:tc>
          <w:tcPr>
            <w:tcW w:w="58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r>
      <w:tr>
        <w:trPr>
          <w:trHeight w:val="283"/>
        </w:trPr>
        <w:tc>
          <w:tcPr>
            <w:tcW w:w="586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21,182</w:t>
            </w:r>
          </w:p>
        </w:tc>
        <w:tc>
          <w:tcPr>
            <w:tcW w:w="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33,635</w:t>
            </w:r>
          </w:p>
        </w:tc>
        <w:tc>
          <w:tcPr>
            <w:tcW w:w="280" w:type="dxa"/>
            <w:vAlign w:val="bottom"/>
            <w:shd w:val="clear" w:color="auto" w:fill="CCEEFF"/>
          </w:tcPr>
          <w:p>
            <w:pPr>
              <w:spacing w:after="0"/>
              <w:rPr>
                <w:sz w:val="24"/>
                <w:szCs w:val="24"/>
                <w:color w:val="auto"/>
              </w:rPr>
            </w:pPr>
          </w:p>
        </w:tc>
      </w:tr>
      <w:tr>
        <w:trPr>
          <w:trHeight w:val="34"/>
        </w:trPr>
        <w:tc>
          <w:tcPr>
            <w:tcW w:w="58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-650875</wp:posOffset>
            </wp:positionV>
            <wp:extent cx="13716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-650875</wp:posOffset>
            </wp:positionV>
            <wp:extent cx="6858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Accrued employee expenses include accrued bonuses of $2.6 million and $9.9 million as of December 31, 2023 and 2022, respectively, primarily related to certain employment agreements entered into in connection with prior acquisitions. The decrease in accrued employee expenses as of December 31, 2023 compared with December 31, 2022 is primarily due to a decline in bonuses accrual of $5.9 million related to certain employment agreements entered into in connection with prior acquisitions, payment of employee termination cost of $3.6 million and a decline in other employee bonuses of $0.6 million due to a decrease in employee headcount.</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12.  Warrant Liability</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At December 31, 2023, there were 12,499,973 Public Warrants outstanding and 7,000,000 Private Placement Warrants outstanding.</w:t>
      </w:r>
    </w:p>
    <w:p>
      <w:pPr>
        <w:spacing w:after="0" w:line="5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 part of Silver Spike’s initial public offering, 12,500,000 Public Warrants were sold. 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7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8" w:name="page199"/>
    <w:bookmarkEnd w:id="1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6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Simultaneously with Silver Spike’s initial public offering, Silver Spike consummated a private placement of 7,000,000 Private Placement Warrants with Silver Spike’s sponsor (“Silver Spike Sponsor”). 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8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Company may exercise its redemption right even if it is unable to register or qualify the underlying securities for sale under all applicable state securities laws.</w:t>
      </w:r>
    </w:p>
    <w:p>
      <w:pPr>
        <w:spacing w:after="0" w:line="5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 xml:space="preserve">The Company concluded the Public Warrants and Private Placement Warrants, or the Warrants, meet the definition of a derivative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 described in Note 2) and are recorded as liabilities. Upon the Closing, the fair value of the Warrants was recorded on the balance sheet. The fair value of the Warrants is remeasured as of each balance sheet date, which resulted in non-cash gain of $1.5 million, $25.4 million and $166.5 million in the consolidated statements of operations for the years ended December 31, 2023, 2022 and 2021, respectively. For additional information, see Note 6, “Fair Value Measurements.”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13.  Equity</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9" w:name="page200"/>
    <w:bookmarkEnd w:id="1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the Company’s board of directors.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upon Liquidation, Dissolution and Winding-Up</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are not entitled to receive any of the Company’s assets.</w:t>
      </w: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Preemptive or Other Rights</w:t>
      </w:r>
    </w:p>
    <w:p>
      <w:pPr>
        <w:spacing w:after="0" w:line="11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Issuance and Retirement of Class V Common Stock</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December 31, 2023, there were no shares of preferred stock issued or outstanding.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0" w:name="page201"/>
    <w:bookmarkEnd w:id="2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noncontrolling interest represents the Units held by holders other than the Company. As of December 31, 2023, the noncontrolling interests owned 37.2% of the Units outstanding. The noncontrolling interests’ ownership percentage can fluctuate over time, including as the WMH LLC equity holders elect to exchange Units for Class A Common Stock. The Company has consolidated the financial position and results of operations of WMH LLC and reflected the proportionate interest held by the WMH LLC Unit equity holders as noncontrolling interests. Net income for the period prior to the Business Combination from January 1, 2021 to June 15, 2021 is allocated to net income attributable to noncontrolling interests on the consolidated statements of operations for the year ended December 31, 2021.</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14.  Stock-based Compensation</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WM Holding Company, LLC Equity Incentive Plan</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accounted for the issuance of Class A-3 and Class B Units issued under the WM Holding Company, LLC Equity Incentive Plan in accordance with ASC 718 - </w:t>
      </w:r>
      <w:r>
        <w:rPr>
          <w:rFonts w:ascii="Times New Roman" w:cs="Times New Roman" w:eastAsia="Times New Roman" w:hAnsi="Times New Roman"/>
          <w:sz w:val="18"/>
          <w:szCs w:val="18"/>
          <w:i w:val="1"/>
          <w:iCs w:val="1"/>
          <w:color w:val="auto"/>
        </w:rPr>
        <w:t>Stock Based Compensation</w:t>
      </w:r>
      <w:r>
        <w:rPr>
          <w:rFonts w:ascii="Times New Roman" w:cs="Times New Roman" w:eastAsia="Times New Roman" w:hAnsi="Times New Roman"/>
          <w:sz w:val="18"/>
          <w:szCs w:val="18"/>
          <w:color w:val="auto"/>
        </w:rPr>
        <w:t>. The Company considered the limitation on the exercisability of the Class A-3 and Class B Units to be a performance condition and recorded compensation cost when it became probable that the performance condition would be met.</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8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summary of the Class P Unit activity for the periods presented is as follows:</w:t>
      </w:r>
    </w:p>
    <w:p>
      <w:pPr>
        <w:spacing w:after="0" w:line="200" w:lineRule="exact"/>
        <w:rPr>
          <w:sz w:val="20"/>
          <w:szCs w:val="20"/>
          <w:color w:val="auto"/>
        </w:rPr>
      </w:pPr>
    </w:p>
    <w:p>
      <w:pPr>
        <w:spacing w:after="0" w:line="26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Number of Units</w:t>
            </w:r>
          </w:p>
        </w:tc>
      </w:tr>
      <w:tr>
        <w:trPr>
          <w:trHeight w:val="50"/>
        </w:trPr>
        <w:tc>
          <w:tcPr>
            <w:tcW w:w="73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Class P Units, December 31, 2022</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15,125,429</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Cancellations</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(75,922)</w:t>
            </w:r>
          </w:p>
        </w:tc>
        <w:tc>
          <w:tcPr>
            <w:tcW w:w="80" w:type="dxa"/>
            <w:vAlign w:val="bottom"/>
          </w:tcPr>
          <w:p>
            <w:pPr>
              <w:spacing w:after="0"/>
              <w:rPr>
                <w:sz w:val="23"/>
                <w:szCs w:val="23"/>
                <w:color w:val="auto"/>
              </w:rPr>
            </w:pPr>
          </w:p>
        </w:tc>
      </w:tr>
      <w:tr>
        <w:trPr>
          <w:trHeight w:val="54"/>
        </w:trPr>
        <w:tc>
          <w:tcPr>
            <w:tcW w:w="7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Exchanged for Class A Common Stock</w:t>
            </w:r>
          </w:p>
        </w:tc>
        <w:tc>
          <w:tcPr>
            <w:tcW w:w="120" w:type="dxa"/>
            <w:vAlign w:val="bottom"/>
            <w:shd w:val="clear" w:color="auto" w:fill="CCEEFF"/>
          </w:tcPr>
          <w:p>
            <w:pPr>
              <w:spacing w:after="0"/>
              <w:rPr>
                <w:sz w:val="24"/>
                <w:szCs w:val="24"/>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(245,000)</w:t>
            </w:r>
          </w:p>
        </w:tc>
      </w:tr>
      <w:tr>
        <w:trPr>
          <w:trHeight w:val="284"/>
        </w:trPr>
        <w:tc>
          <w:tcPr>
            <w:tcW w:w="73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Class P Units, December 31, 2023</w:t>
            </w:r>
          </w:p>
        </w:tc>
        <w:tc>
          <w:tcPr>
            <w:tcW w:w="120" w:type="dxa"/>
            <w:vAlign w:val="bottom"/>
            <w:tcBorders>
              <w:top w:val="single" w:sz="8" w:color="CCEEFF"/>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14,804,507</w:t>
            </w: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48"/>
        </w:trPr>
        <w:tc>
          <w:tcPr>
            <w:tcW w:w="7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83"/>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December 31, 2023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14,723,936</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34"/>
        </w:trPr>
        <w:tc>
          <w:tcPr>
            <w:tcW w:w="73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auto"/>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-1079500</wp:posOffset>
            </wp:positionV>
            <wp:extent cx="11176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of December 31, 2023, unrecognized stock-based compensation expense for non-vested Class P Units were $0.2 million, which is expected to be recognized over a weighted-average period of 0.9 years. For the years ended December 31, 2023, 2022 and 2021, the Company recorded stock-based compensation expense for the Class P Units of $0.5 million, $2.3 million and $20.9 million, respectively. Due to the Business Combination completed in the second quarter of 2021, certain limitations on exercisability related to the Company’s Class P equity awards issued to employees and consultants were removed and as a result the Company recognized the life-to-date expense on units vested through the Business Combination date on those equity awards. The stock-based compensation expense recognized during the year ended December 31, 2021 includes a one-time incremental expense of $4.1 million related to an award modification as a result of an advisory agreement entered into with a former executive.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1" w:name="page202"/>
    <w:bookmarkEnd w:id="2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WM Technology, Inc. Equity Incentive Plan</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December 31, 2023, 33,146,412 shares of Class A Common Stock are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As of December 31, 2023, 19,530,046 shares of Class A Common Stock are available for future issuance.</w:t>
      </w:r>
    </w:p>
    <w:p>
      <w:pPr>
        <w:spacing w:after="0" w:line="1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summary of the restricted stock unit (“RSU”) activity for the year ended December 31, 2023 is as follows:</w:t>
      </w:r>
    </w:p>
    <w:p>
      <w:pPr>
        <w:spacing w:after="0" w:line="200" w:lineRule="exact"/>
        <w:rPr>
          <w:sz w:val="20"/>
          <w:szCs w:val="20"/>
          <w:color w:val="auto"/>
        </w:rPr>
      </w:pPr>
    </w:p>
    <w:p>
      <w:pPr>
        <w:spacing w:after="0" w:line="26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3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0"/>
        </w:trPr>
        <w:tc>
          <w:tcPr>
            <w:tcW w:w="5940" w:type="dxa"/>
            <w:vAlign w:val="bottom"/>
          </w:tcPr>
          <w:p>
            <w:pPr>
              <w:spacing w:after="0"/>
              <w:rPr>
                <w:sz w:val="16"/>
                <w:szCs w:val="16"/>
                <w:color w:val="auto"/>
              </w:rPr>
            </w:pPr>
          </w:p>
        </w:tc>
        <w:tc>
          <w:tcPr>
            <w:tcW w:w="1360" w:type="dxa"/>
            <w:vAlign w:val="bottom"/>
            <w:gridSpan w:val="5"/>
            <w:vMerge w:val="continue"/>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50"/>
        </w:trPr>
        <w:tc>
          <w:tcPr>
            <w:tcW w:w="59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9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6,269,868</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7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6,634,013</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54"/>
        </w:trPr>
        <w:tc>
          <w:tcPr>
            <w:tcW w:w="5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(2,245,844)</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297"/>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57"/>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Cancelled/Forfeited/Expired</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(2,974,439)</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61"/>
        </w:trPr>
        <w:tc>
          <w:tcPr>
            <w:tcW w:w="5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7,683,598</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48"/>
        </w:trPr>
        <w:tc>
          <w:tcPr>
            <w:tcW w:w="59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-1062355</wp:posOffset>
            </wp:positionV>
            <wp:extent cx="18859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-1062355</wp:posOffset>
            </wp:positionV>
            <wp:extent cx="9398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As of December 31, 2023, unrecognized stock-based compensation expense for non-vested RSUs was $20.6 million, which is expected to be recognized over a weighted-average period of 1.8 years. For the years ended December 31, 2023, 2022 and 2021, the Company recorded stock-based compensation expense for the RSUs of $13.1 million, $21.2 million and $8.0 million, respectively. Stock-based compensation recognized during the year ended December 31, 2022 included a $0.6 million expense related to an award modification as a result of the departure of the Company’s former chief executive officer.</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grants performance-based restricted stock units (“PRSUs”) with performance and service-based vesting conditions. The level of achievement of such goals may cause the actual number of units that ultimately vest to range from 0% to 200% of the original units granted. The Company recognizes expense ratably over the vesting period for the PRSUs when it is probable that the performance criteria specified will be achieved. The fair value is equal to the market price of the Company’s common stock on the date of grant.</w:t>
      </w:r>
    </w:p>
    <w:p>
      <w:pPr>
        <w:spacing w:after="0" w:line="1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summary of the PRSU activity for the year ended December 31, 2023 is as follows:</w:t>
      </w:r>
    </w:p>
    <w:p>
      <w:pPr>
        <w:spacing w:after="0" w:line="200" w:lineRule="exact"/>
        <w:rPr>
          <w:sz w:val="20"/>
          <w:szCs w:val="20"/>
          <w:color w:val="auto"/>
        </w:rPr>
      </w:pPr>
    </w:p>
    <w:p>
      <w:pPr>
        <w:spacing w:after="0" w:line="26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3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 PRSUs</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90"/>
        </w:trPr>
        <w:tc>
          <w:tcPr>
            <w:tcW w:w="5880" w:type="dxa"/>
            <w:vAlign w:val="bottom"/>
          </w:tcPr>
          <w:p>
            <w:pPr>
              <w:spacing w:after="0"/>
              <w:rPr>
                <w:sz w:val="16"/>
                <w:szCs w:val="16"/>
                <w:color w:val="auto"/>
              </w:rPr>
            </w:pPr>
          </w:p>
        </w:tc>
        <w:tc>
          <w:tcPr>
            <w:tcW w:w="1380" w:type="dxa"/>
            <w:vAlign w:val="bottom"/>
            <w:gridSpan w:val="5"/>
            <w:vMerge w:val="continue"/>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50"/>
        </w:trPr>
        <w:tc>
          <w:tcPr>
            <w:tcW w:w="58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2022</w:t>
            </w:r>
          </w:p>
        </w:tc>
        <w:tc>
          <w:tcPr>
            <w:tcW w:w="9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859,375</w:t>
            </w:r>
          </w:p>
        </w:tc>
        <w:tc>
          <w:tcPr>
            <w:tcW w:w="1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357"/>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7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60" w:type="dxa"/>
            <w:vAlign w:val="bottom"/>
          </w:tcPr>
          <w:p>
            <w:pPr>
              <w:spacing w:after="0"/>
              <w:rPr>
                <w:sz w:val="23"/>
                <w:szCs w:val="23"/>
                <w:color w:val="auto"/>
              </w:rPr>
            </w:pPr>
          </w:p>
        </w:tc>
        <w:tc>
          <w:tcPr>
            <w:tcW w:w="1120" w:type="dxa"/>
            <w:vAlign w:val="bottom"/>
            <w:gridSpan w:val="4"/>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5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2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5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Cancelled/Forfeited/Expired</w:t>
            </w: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(625,000)</w:t>
            </w:r>
          </w:p>
        </w:tc>
        <w:tc>
          <w:tcPr>
            <w:tcW w:w="240" w:type="dxa"/>
            <w:vAlign w:val="bottom"/>
          </w:tcPr>
          <w:p>
            <w:pPr>
              <w:spacing w:after="0"/>
              <w:rPr>
                <w:sz w:val="22"/>
                <w:szCs w:val="22"/>
                <w:color w:val="auto"/>
              </w:rPr>
            </w:pPr>
          </w:p>
        </w:tc>
        <w:tc>
          <w:tcPr>
            <w:tcW w:w="1160" w:type="dxa"/>
            <w:vAlign w:val="bottom"/>
          </w:tcPr>
          <w:p>
            <w:pPr>
              <w:jc w:val="right"/>
              <w:ind w:right="357"/>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61"/>
        </w:trPr>
        <w:tc>
          <w:tcPr>
            <w:tcW w:w="58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December 31, 2023</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234,375</w:t>
            </w:r>
          </w:p>
        </w:tc>
        <w:tc>
          <w:tcPr>
            <w:tcW w:w="1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57"/>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48"/>
        </w:trPr>
        <w:tc>
          <w:tcPr>
            <w:tcW w:w="58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-1062355</wp:posOffset>
            </wp:positionV>
            <wp:extent cx="15430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-1062355</wp:posOffset>
            </wp:positionV>
            <wp:extent cx="7747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Based on the probability of attainment as of December 31, 2023, the unrecognized stock-based compensation expense for non-vested PRSUs was nil. For the years ended December 31, 2023 and 2022, the Company recorded stock-based compensation credit of $0.1 million and less than $0.1 million, respectively, related to the PRSUs. For the year ended December 31, 2021, the Company recorded stock-based compensation expense of $0.4 million related to the PRSUs. Stock-based compensation expense related to these PRSUs decreased due to the reassessment of vesting probability and the forfeitures resulting from the executive departures.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2" w:name="page203"/>
    <w:bookmarkEnd w:id="2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cost related to the Class P Units, RSUs and PRSUs in the following expense categories on the consolidated statements of operations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20" w:type="dxa"/>
            <w:vAlign w:val="bottom"/>
          </w:tcPr>
          <w:p>
            <w:pPr>
              <w:spacing w:after="0"/>
              <w:rPr>
                <w:sz w:val="16"/>
                <w:szCs w:val="16"/>
                <w:color w:val="auto"/>
              </w:rPr>
            </w:pPr>
          </w:p>
        </w:tc>
        <w:tc>
          <w:tcPr>
            <w:tcW w:w="2600" w:type="dxa"/>
            <w:vAlign w:val="bottom"/>
            <w:gridSpan w:val="7"/>
          </w:tcPr>
          <w:p>
            <w:pPr>
              <w:ind w:left="4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37"/>
        </w:trPr>
        <w:tc>
          <w:tcPr>
            <w:tcW w:w="582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213"/>
        </w:trPr>
        <w:tc>
          <w:tcPr>
            <w:tcW w:w="5820" w:type="dxa"/>
            <w:vAlign w:val="bottom"/>
          </w:tcPr>
          <w:p>
            <w:pPr>
              <w:spacing w:after="0"/>
              <w:rPr>
                <w:sz w:val="18"/>
                <w:szCs w:val="18"/>
                <w:color w:val="auto"/>
              </w:rPr>
            </w:pP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8"/>
                <w:szCs w:val="18"/>
                <w:color w:val="auto"/>
              </w:rPr>
            </w:pPr>
          </w:p>
        </w:tc>
        <w:tc>
          <w:tcPr>
            <w:tcW w:w="98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8"/>
                <w:szCs w:val="18"/>
                <w:color w:val="auto"/>
              </w:rPr>
            </w:pPr>
          </w:p>
        </w:tc>
      </w:tr>
      <w:tr>
        <w:trPr>
          <w:trHeight w:val="37"/>
        </w:trPr>
        <w:tc>
          <w:tcPr>
            <w:tcW w:w="582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r>
      <w:tr>
        <w:trPr>
          <w:trHeight w:val="270"/>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$ 2,706</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$ 6,358</w:t>
            </w:r>
          </w:p>
        </w:tc>
        <w:tc>
          <w:tcPr>
            <w:tcW w:w="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$ 6,021</w:t>
            </w:r>
          </w:p>
        </w:tc>
        <w:tc>
          <w:tcPr>
            <w:tcW w:w="40" w:type="dxa"/>
            <w:vAlign w:val="bottom"/>
            <w:tcBorders>
              <w:bottom w:val="single" w:sz="8" w:color="CCEEFF"/>
            </w:tcBorders>
            <w:shd w:val="clear" w:color="auto" w:fill="CCEEFF"/>
          </w:tcPr>
          <w:p>
            <w:pPr>
              <w:spacing w:after="0"/>
              <w:rPr>
                <w:sz w:val="23"/>
                <w:szCs w:val="23"/>
                <w:color w:val="auto"/>
              </w:rPr>
            </w:pPr>
          </w:p>
        </w:tc>
      </w:tr>
      <w:tr>
        <w:trPr>
          <w:trHeight w:val="243"/>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5,260</w:t>
            </w:r>
          </w:p>
        </w:tc>
        <w:tc>
          <w:tcPr>
            <w:tcW w:w="2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40" w:type="dxa"/>
            <w:vAlign w:val="bottom"/>
          </w:tcPr>
          <w:p>
            <w:pPr>
              <w:spacing w:after="0"/>
              <w:rPr>
                <w:sz w:val="21"/>
                <w:szCs w:val="21"/>
                <w:color w:val="auto"/>
              </w:rPr>
            </w:pPr>
          </w:p>
        </w:tc>
      </w:tr>
      <w:tr>
        <w:trPr>
          <w:trHeight w:val="27"/>
        </w:trPr>
        <w:tc>
          <w:tcPr>
            <w:tcW w:w="5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40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18,200</w:t>
            </w:r>
          </w:p>
        </w:tc>
        <w:tc>
          <w:tcPr>
            <w:tcW w:w="40" w:type="dxa"/>
            <w:vAlign w:val="bottom"/>
            <w:shd w:val="clear" w:color="auto" w:fill="CCEEFF"/>
          </w:tcPr>
          <w:p>
            <w:pPr>
              <w:spacing w:after="0"/>
              <w:rPr>
                <w:sz w:val="24"/>
                <w:szCs w:val="24"/>
                <w:color w:val="auto"/>
              </w:rPr>
            </w:pPr>
          </w:p>
        </w:tc>
      </w:tr>
      <w:tr>
        <w:trPr>
          <w:trHeight w:val="270"/>
        </w:trPr>
        <w:tc>
          <w:tcPr>
            <w:tcW w:w="582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400" w:type="dxa"/>
            <w:vAlign w:val="bottom"/>
            <w:tcBorders>
              <w:top w:val="single" w:sz="8" w:color="CCEEFF"/>
            </w:tcBorders>
          </w:tcPr>
          <w:p>
            <w:pPr>
              <w:spacing w:after="0"/>
              <w:rPr>
                <w:sz w:val="23"/>
                <w:szCs w:val="2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23,493</w:t>
            </w:r>
          </w:p>
        </w:tc>
        <w:tc>
          <w:tcPr>
            <w:tcW w:w="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29,324</w:t>
            </w:r>
          </w:p>
        </w:tc>
        <w:tc>
          <w:tcPr>
            <w:tcW w:w="40" w:type="dxa"/>
            <w:vAlign w:val="bottom"/>
            <w:tcBorders>
              <w:top w:val="single" w:sz="8" w:color="CCEEFF"/>
            </w:tcBorders>
          </w:tcPr>
          <w:p>
            <w:pPr>
              <w:spacing w:after="0"/>
              <w:rPr>
                <w:sz w:val="23"/>
                <w:szCs w:val="23"/>
                <w:color w:val="auto"/>
              </w:rPr>
            </w:pPr>
          </w:p>
        </w:tc>
      </w:tr>
      <w:tr>
        <w:trPr>
          <w:trHeight w:val="27"/>
        </w:trPr>
        <w:tc>
          <w:tcPr>
            <w:tcW w:w="5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7"/>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 capitalized to software development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4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40" w:type="dxa"/>
            <w:vAlign w:val="bottom"/>
            <w:tcBorders>
              <w:bottom w:val="single" w:sz="8" w:color="CCEEFF"/>
            </w:tcBorders>
            <w:shd w:val="clear" w:color="auto" w:fill="CCEEFF"/>
          </w:tcPr>
          <w:p>
            <w:pPr>
              <w:spacing w:after="0"/>
              <w:rPr>
                <w:sz w:val="24"/>
                <w:szCs w:val="24"/>
                <w:color w:val="auto"/>
              </w:rPr>
            </w:pPr>
          </w:p>
        </w:tc>
      </w:tr>
      <w:tr>
        <w:trPr>
          <w:trHeight w:val="257"/>
        </w:trPr>
        <w:tc>
          <w:tcPr>
            <w:tcW w:w="5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cost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14,901</w:t>
            </w:r>
          </w:p>
        </w:tc>
        <w:tc>
          <w:tcPr>
            <w:tcW w:w="40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25,160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30,423</w:t>
            </w:r>
          </w:p>
        </w:tc>
        <w:tc>
          <w:tcPr>
            <w:tcW w:w="40" w:type="dxa"/>
            <w:vAlign w:val="bottom"/>
          </w:tcPr>
          <w:p>
            <w:pPr>
              <w:spacing w:after="0"/>
              <w:rPr>
                <w:sz w:val="22"/>
                <w:szCs w:val="22"/>
                <w:color w:val="auto"/>
              </w:rPr>
            </w:pPr>
          </w:p>
        </w:tc>
      </w:tr>
      <w:tr>
        <w:trPr>
          <w:trHeight w:val="20"/>
        </w:trPr>
        <w:tc>
          <w:tcPr>
            <w:tcW w:w="5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-1104900</wp:posOffset>
            </wp:positionV>
            <wp:extent cx="25717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-1104900</wp:posOffset>
            </wp:positionV>
            <wp:extent cx="25717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-1104900</wp:posOffset>
            </wp:positionV>
            <wp:extent cx="12890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15.  Earnings Per Share</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Basic income (loss) per share of Class A Common Stock is computed by dividing net earnings (loss) attributable to WM Technology, Inc. by the weighted-average number of shares of Class A Common Stock outstanding during the period. Diluted income (loss) per share of Class A Common Stock adjusts basic net income (loss) per share of Class A Common Stock for the potentially dilutive impact of securities. For warrants that are liability-classified, during periods when the impact is 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spacing w:after="0" w:line="84"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Prior to the Business Combination, the membership structure of WMH included units which had profit interests. The Company analyzed the calculation of net earnings (loss) per unit for periods prior to the Business Combination and determined that it resulted in values that would not be meaningful to the users of these consolidated financial statements. Therefore, net earnings per share information has not been presented for periods prior to the Business Combination on June 16, 2021. The basic and diluted income (loss) per share for the year ended December 31, 2021 represent the period from June 16, 2021 (Closing Date) to December 31, 2021.</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computation of (loss) income per share attributable to WM Technology, Inc. and weighted-average shares of the Company’s Class A Common Stock outstanding are as follows for the years ended December 31, 2023, 2022 and 2021 (amounts in thousands, except for share and per share amounts):</w:t>
      </w: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gridSpan w:val="11"/>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37"/>
        </w:trPr>
        <w:tc>
          <w:tcPr>
            <w:tcW w:w="52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13"/>
        </w:trPr>
        <w:tc>
          <w:tcPr>
            <w:tcW w:w="5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8"/>
                <w:szCs w:val="18"/>
                <w:color w:val="auto"/>
              </w:rPr>
            </w:pPr>
          </w:p>
        </w:tc>
      </w:tr>
      <w:tr>
        <w:trPr>
          <w:trHeight w:val="37"/>
        </w:trPr>
        <w:tc>
          <w:tcPr>
            <w:tcW w:w="52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57"/>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(15,727)</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(82,651)</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152,218</w:t>
            </w:r>
          </w:p>
        </w:tc>
      </w:tr>
      <w:tr>
        <w:trPr>
          <w:trHeight w:val="33"/>
        </w:trPr>
        <w:tc>
          <w:tcPr>
            <w:tcW w:w="5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36"/>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net income attributable to WMH prior to the Business Combination</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15,078</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 after the</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3"/>
        </w:trPr>
        <w:tc>
          <w:tcPr>
            <w:tcW w:w="5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Business Combination</w:t>
            </w:r>
          </w:p>
        </w:tc>
        <w:tc>
          <w:tcPr>
            <w:tcW w:w="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(5,829)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33,338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76,757</w:t>
            </w:r>
          </w:p>
        </w:tc>
      </w:tr>
      <w:tr>
        <w:trPr>
          <w:trHeight w:val="37"/>
        </w:trPr>
        <w:tc>
          <w:tcPr>
            <w:tcW w:w="5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64"/>
        </w:trPr>
        <w:tc>
          <w:tcPr>
            <w:tcW w:w="5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WM Technology, Inc. - basic</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(9,898)</w:t>
            </w: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(115,989)</w:t>
            </w: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60,383</w:t>
            </w: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3"/>
        </w:trPr>
        <w:tc>
          <w:tcPr>
            <w:tcW w:w="5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Public and Private Placement Warrants, net of</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3"/>
        </w:trPr>
        <w:tc>
          <w:tcPr>
            <w:tcW w:w="5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amounts attributable to noncontrolling interests</w:t>
            </w:r>
          </w:p>
        </w:tc>
        <w:tc>
          <w:tcPr>
            <w:tcW w:w="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72,483</w:t>
            </w:r>
          </w:p>
        </w:tc>
      </w:tr>
      <w:tr>
        <w:trPr>
          <w:trHeight w:val="37"/>
        </w:trPr>
        <w:tc>
          <w:tcPr>
            <w:tcW w:w="52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r>
      <w:tr>
        <w:trPr>
          <w:trHeight w:val="254"/>
        </w:trPr>
        <w:tc>
          <w:tcPr>
            <w:tcW w:w="5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WM Technology, Inc. - diluted</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(9,898)</w:t>
            </w:r>
          </w:p>
        </w:tc>
        <w:tc>
          <w:tcPr>
            <w:tcW w:w="280" w:type="dxa"/>
            <w:vAlign w:val="bottom"/>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(115,989)</w:t>
            </w:r>
          </w:p>
        </w:tc>
        <w:tc>
          <w:tcPr>
            <w:tcW w:w="280" w:type="dxa"/>
            <w:vAlign w:val="bottom"/>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(12,100)</w:t>
            </w:r>
          </w:p>
        </w:tc>
      </w:tr>
      <w:tr>
        <w:trPr>
          <w:trHeight w:val="37"/>
        </w:trPr>
        <w:tc>
          <w:tcPr>
            <w:tcW w:w="5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63"/>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r>
      <w:tr>
        <w:trPr>
          <w:trHeight w:val="224"/>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7"/>
              </w:rPr>
              <w:t>93,244,911</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7"/>
              </w:rPr>
              <w:t>85,027,120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7"/>
              </w:rPr>
              <w:t>65,013,517</w:t>
            </w:r>
          </w:p>
        </w:tc>
      </w:tr>
      <w:tr>
        <w:trPr>
          <w:trHeight w:val="33"/>
        </w:trPr>
        <w:tc>
          <w:tcPr>
            <w:tcW w:w="5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37"/>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effect of dilutive securities:</w:t>
            </w: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r>
      <w:tr>
        <w:trPr>
          <w:trHeight w:val="223"/>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Public warrants¹</w:t>
            </w:r>
          </w:p>
        </w:tc>
        <w:tc>
          <w:tcPr>
            <w:tcW w:w="80" w:type="dxa"/>
            <w:vAlign w:val="bottom"/>
          </w:tcPr>
          <w:p>
            <w:pPr>
              <w:spacing w:after="0"/>
              <w:rPr>
                <w:sz w:val="19"/>
                <w:szCs w:val="19"/>
                <w:color w:val="auto"/>
              </w:rPr>
            </w:pPr>
          </w:p>
        </w:tc>
        <w:tc>
          <w:tcPr>
            <w:tcW w:w="1060" w:type="dxa"/>
            <w:vAlign w:val="bottom"/>
            <w:gridSpan w:val="4"/>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106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1,153,782</w:t>
            </w:r>
          </w:p>
        </w:tc>
      </w:tr>
      <w:tr>
        <w:trPr>
          <w:trHeight w:val="33"/>
        </w:trPr>
        <w:tc>
          <w:tcPr>
            <w:tcW w:w="5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2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Private warrants¹</w:t>
            </w:r>
          </w:p>
        </w:tc>
        <w:tc>
          <w:tcPr>
            <w:tcW w:w="80" w:type="dxa"/>
            <w:vAlign w:val="bottom"/>
            <w:shd w:val="clear" w:color="auto" w:fill="CCEEFF"/>
          </w:tcPr>
          <w:p>
            <w:pPr>
              <w:spacing w:after="0"/>
              <w:rPr>
                <w:sz w:val="19"/>
                <w:szCs w:val="19"/>
                <w:color w:val="auto"/>
              </w:rPr>
            </w:pPr>
          </w:p>
        </w:tc>
        <w:tc>
          <w:tcPr>
            <w:tcW w:w="106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646,118</w:t>
            </w:r>
          </w:p>
        </w:tc>
        <w:tc>
          <w:tcPr>
            <w:tcW w:w="60" w:type="dxa"/>
            <w:vAlign w:val="bottom"/>
            <w:shd w:val="clear" w:color="auto" w:fill="CCEEFF"/>
          </w:tcPr>
          <w:p>
            <w:pPr>
              <w:spacing w:after="0"/>
              <w:rPr>
                <w:sz w:val="19"/>
                <w:szCs w:val="19"/>
                <w:color w:val="auto"/>
              </w:rPr>
            </w:pPr>
          </w:p>
        </w:tc>
      </w:tr>
      <w:tr>
        <w:trPr>
          <w:trHeight w:val="37"/>
        </w:trPr>
        <w:tc>
          <w:tcPr>
            <w:tcW w:w="52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auto"/>
            </w:tcBorders>
            <w:shd w:val="clear" w:color="auto" w:fill="CCEEFF"/>
          </w:tcPr>
          <w:p>
            <w:pPr>
              <w:spacing w:after="0"/>
              <w:rPr>
                <w:sz w:val="3"/>
                <w:szCs w:val="3"/>
                <w:color w:val="auto"/>
              </w:rPr>
            </w:pPr>
          </w:p>
        </w:tc>
        <w:tc>
          <w:tcPr>
            <w:tcW w:w="720" w:type="dxa"/>
            <w:vAlign w:val="bottom"/>
            <w:tcBorders>
              <w:top w:val="single" w:sz="8" w:color="auto"/>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r>
      <w:tr>
        <w:trPr>
          <w:trHeight w:val="253"/>
        </w:trPr>
        <w:tc>
          <w:tcPr>
            <w:tcW w:w="5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8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7"/>
              </w:rPr>
              <w:t>93,244,911</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7"/>
              </w:rPr>
              <w:t>85,027,120</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7"/>
              </w:rPr>
              <w:t>66,813,417</w:t>
            </w:r>
          </w:p>
        </w:tc>
      </w:tr>
      <w:tr>
        <w:trPr>
          <w:trHeight w:val="37"/>
        </w:trPr>
        <w:tc>
          <w:tcPr>
            <w:tcW w:w="5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63"/>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 (loss) per share of Class A Common Stock:</w:t>
            </w: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r>
      <w:tr>
        <w:trPr>
          <w:trHeight w:val="227"/>
        </w:trPr>
        <w:tc>
          <w:tcPr>
            <w:tcW w:w="528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 per Class A common share - basic</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0.93</w:t>
            </w:r>
          </w:p>
        </w:tc>
      </w:tr>
      <w:tr>
        <w:trPr>
          <w:trHeight w:val="37"/>
        </w:trPr>
        <w:tc>
          <w:tcPr>
            <w:tcW w:w="5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r>
      <w:tr>
        <w:trPr>
          <w:trHeight w:val="254"/>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per Class A common share - diluted</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r>
      <w:tr>
        <w:trPr>
          <w:trHeight w:val="37"/>
        </w:trPr>
        <w:tc>
          <w:tcPr>
            <w:tcW w:w="5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4814570</wp:posOffset>
            </wp:positionH>
            <wp:positionV relativeFrom="paragraph">
              <wp:posOffset>-3274060</wp:posOffset>
            </wp:positionV>
            <wp:extent cx="17145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-3274060</wp:posOffset>
            </wp:positionV>
            <wp:extent cx="17145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-3274060</wp:posOffset>
            </wp:positionV>
            <wp:extent cx="8572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128905</wp:posOffset>
            </wp:positionV>
            <wp:extent cx="82296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7" w:lineRule="exact"/>
        <w:rPr>
          <w:sz w:val="20"/>
          <w:szCs w:val="20"/>
          <w:color w:val="auto"/>
        </w:rPr>
      </w:pPr>
    </w:p>
    <w:p>
      <w:pPr>
        <w:ind w:left="640" w:hanging="348"/>
        <w:spacing w:after="0"/>
        <w:tabs>
          <w:tab w:leader="none" w:pos="64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using the treasury stock method.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609" w:gutter="0" w:footer="0" w:header="0"/>
        </w:sectPr>
      </w:pPr>
    </w:p>
    <w:bookmarkStart w:id="203" w:name="page204"/>
    <w:bookmarkEnd w:id="2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 However, shares of the Class V Common Stock outstanding for the period are considered potentially dilutive shares of Class A common stock under application of the if-converted method and are included in the computation of diluted earnings (loss) per share, except when the effect would be anti-dilutive.</w:t>
      </w:r>
    </w:p>
    <w:p>
      <w:pPr>
        <w:spacing w:after="0" w:line="79"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securities from its computation of diluted shares outstanding, as their effect would have been anti-dilutive:</w:t>
      </w: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58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37"/>
        </w:trPr>
        <w:tc>
          <w:tcPr>
            <w:tcW w:w="38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13"/>
        </w:trPr>
        <w:tc>
          <w:tcPr>
            <w:tcW w:w="3840" w:type="dxa"/>
            <w:vAlign w:val="bottom"/>
          </w:tcPr>
          <w:p>
            <w:pPr>
              <w:spacing w:after="0"/>
              <w:rPr>
                <w:sz w:val="18"/>
                <w:szCs w:val="18"/>
                <w:color w:val="auto"/>
              </w:rPr>
            </w:pPr>
          </w:p>
        </w:tc>
        <w:tc>
          <w:tcPr>
            <w:tcW w:w="2740" w:type="dxa"/>
            <w:vAlign w:val="bottom"/>
            <w:gridSpan w:val="2"/>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8"/>
                <w:szCs w:val="18"/>
                <w:color w:val="auto"/>
              </w:rPr>
            </w:pPr>
          </w:p>
        </w:tc>
        <w:tc>
          <w:tcPr>
            <w:tcW w:w="74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8"/>
                <w:szCs w:val="18"/>
                <w:color w:val="auto"/>
              </w:rPr>
            </w:pPr>
          </w:p>
        </w:tc>
        <w:tc>
          <w:tcPr>
            <w:tcW w:w="74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3840" w:type="dxa"/>
            <w:vAlign w:val="bottom"/>
            <w:tcBorders>
              <w:bottom w:val="single" w:sz="8" w:color="CCEEFF"/>
            </w:tcBorders>
          </w:tcPr>
          <w:p>
            <w:pPr>
              <w:spacing w:after="0"/>
              <w:rPr>
                <w:sz w:val="3"/>
                <w:szCs w:val="3"/>
                <w:color w:val="auto"/>
              </w:rPr>
            </w:pPr>
          </w:p>
        </w:tc>
        <w:tc>
          <w:tcPr>
            <w:tcW w:w="200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57"/>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V Shares</w:t>
            </w:r>
          </w:p>
        </w:tc>
        <w:tc>
          <w:tcPr>
            <w:tcW w:w="2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55,486,361</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55,486,361</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65,502,347</w:t>
            </w:r>
          </w:p>
        </w:tc>
      </w:tr>
      <w:tr>
        <w:trPr>
          <w:trHeight w:val="223"/>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Class P Units</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14,804,507</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15,125,429</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25,660,529</w:t>
            </w:r>
          </w:p>
        </w:tc>
      </w:tr>
      <w:tr>
        <w:trPr>
          <w:trHeight w:val="33"/>
        </w:trPr>
        <w:tc>
          <w:tcPr>
            <w:tcW w:w="3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6"/>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RSUs outstanding</w:t>
            </w:r>
          </w:p>
        </w:tc>
        <w:tc>
          <w:tcPr>
            <w:tcW w:w="2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7,683,598</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6,269,868</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6,398,707</w:t>
            </w:r>
          </w:p>
        </w:tc>
      </w:tr>
      <w:tr>
        <w:trPr>
          <w:trHeight w:val="224"/>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PRSUs outstanding</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234,375</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859,375</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2,437,500</w:t>
            </w:r>
          </w:p>
        </w:tc>
      </w:tr>
      <w:tr>
        <w:trPr>
          <w:trHeight w:val="33"/>
        </w:trPr>
        <w:tc>
          <w:tcPr>
            <w:tcW w:w="3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7"/>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Public Warrants</w:t>
            </w:r>
          </w:p>
        </w:tc>
        <w:tc>
          <w:tcPr>
            <w:tcW w:w="2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12,499,973</w:t>
            </w: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12,499,973</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4"/>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Private Placement Warrants</w:t>
            </w:r>
          </w:p>
        </w:tc>
        <w:tc>
          <w:tcPr>
            <w:tcW w:w="2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7,000,000</w:t>
            </w: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7,000,000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8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Acquisition holdback shares</w:t>
            </w:r>
          </w:p>
        </w:tc>
        <w:tc>
          <w:tcPr>
            <w:tcW w:w="20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677,847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60"/>
        </w:trPr>
        <w:tc>
          <w:tcPr>
            <w:tcW w:w="3840" w:type="dxa"/>
            <w:vAlign w:val="bottom"/>
            <w:shd w:val="clear" w:color="auto" w:fill="CCEEFF"/>
          </w:tcPr>
          <w:p>
            <w:pPr>
              <w:spacing w:after="0"/>
              <w:rPr>
                <w:sz w:val="5"/>
                <w:szCs w:val="5"/>
                <w:color w:val="auto"/>
              </w:rPr>
            </w:pPr>
          </w:p>
        </w:tc>
        <w:tc>
          <w:tcPr>
            <w:tcW w:w="200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-1182370</wp:posOffset>
            </wp:positionV>
            <wp:extent cx="12001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-1182370</wp:posOffset>
            </wp:positionV>
            <wp:extent cx="12001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-1182370</wp:posOffset>
            </wp:positionV>
            <wp:extent cx="6858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prior to June 16, 2021, as this period was prior to the Business Combination.</w:t>
      </w:r>
    </w:p>
    <w:p>
      <w:pPr>
        <w:spacing w:after="0" w:line="75"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Following the Business Combination, any taxable income or loss generated by WMH LLC is passed through to and included in the taxable income or loss of its members, including WM Technology, Inc., on a pro rata basis, with the remainder reflected in the line item Income Taxed to Owners of Non-controlling Interests. WM Technology, Inc. is subject to U.S. federal income taxes, in addition to state and local income taxes with respect to its allocable share of any taxable income of WMH following the Business Combination. The owners of the non-controlling interests are taxed as a partnership, and therefore, no tax provision is allocated to non-controlling interests on the consolidated statements of operations. The Company is also subject to taxes in foreign jurisdictions.</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components of income (loss) before taxes are as follows (in thousands):</w:t>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580" w:type="dxa"/>
            <w:vAlign w:val="bottom"/>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37"/>
        </w:trPr>
        <w:tc>
          <w:tcPr>
            <w:tcW w:w="38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13"/>
        </w:trPr>
        <w:tc>
          <w:tcPr>
            <w:tcW w:w="3840" w:type="dxa"/>
            <w:vAlign w:val="bottom"/>
          </w:tcPr>
          <w:p>
            <w:pPr>
              <w:spacing w:after="0"/>
              <w:rPr>
                <w:sz w:val="18"/>
                <w:szCs w:val="18"/>
                <w:color w:val="auto"/>
              </w:rPr>
            </w:pPr>
          </w:p>
        </w:tc>
        <w:tc>
          <w:tcPr>
            <w:tcW w:w="26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8"/>
                <w:szCs w:val="18"/>
                <w:color w:val="auto"/>
              </w:rPr>
            </w:pP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8"/>
                <w:szCs w:val="18"/>
                <w:color w:val="auto"/>
              </w:rPr>
            </w:pPr>
          </w:p>
        </w:tc>
      </w:tr>
      <w:tr>
        <w:trPr>
          <w:trHeight w:val="37"/>
        </w:trPr>
        <w:tc>
          <w:tcPr>
            <w:tcW w:w="3840" w:type="dxa"/>
            <w:vAlign w:val="bottom"/>
            <w:tcBorders>
              <w:bottom w:val="single" w:sz="8" w:color="CCEEFF"/>
            </w:tcBorders>
          </w:tcPr>
          <w:p>
            <w:pPr>
              <w:spacing w:after="0"/>
              <w:rPr>
                <w:sz w:val="3"/>
                <w:szCs w:val="3"/>
                <w:color w:val="auto"/>
              </w:rPr>
            </w:pPr>
          </w:p>
        </w:tc>
        <w:tc>
          <w:tcPr>
            <w:tcW w:w="200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57"/>
        </w:trPr>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Domestic</w:t>
            </w:r>
          </w:p>
        </w:tc>
        <w:tc>
          <w:tcPr>
            <w:tcW w:w="26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$(15,582)</w:t>
            </w:r>
          </w:p>
        </w:tc>
        <w:tc>
          <w:tcPr>
            <w:tcW w:w="3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$97,639</w:t>
            </w:r>
          </w:p>
        </w:tc>
        <w:tc>
          <w:tcPr>
            <w:tcW w:w="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$151,987</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Foreign</w:t>
            </w:r>
          </w:p>
        </w:tc>
        <w:tc>
          <w:tcPr>
            <w:tcW w:w="2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3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(370)</w:t>
            </w:r>
          </w:p>
        </w:tc>
      </w:tr>
      <w:tr>
        <w:trPr>
          <w:trHeight w:val="48"/>
        </w:trPr>
        <w:tc>
          <w:tcPr>
            <w:tcW w:w="38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r>
      <w:tr>
        <w:trPr>
          <w:trHeight w:val="24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(15,634)</w:t>
            </w:r>
          </w:p>
        </w:tc>
        <w:tc>
          <w:tcPr>
            <w:tcW w:w="3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96,426</w:t>
            </w:r>
          </w:p>
        </w:tc>
        <w:tc>
          <w:tcPr>
            <w:tcW w:w="6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151,617</w:t>
            </w:r>
          </w:p>
        </w:tc>
      </w:tr>
      <w:tr>
        <w:trPr>
          <w:trHeight w:val="48"/>
        </w:trPr>
        <w:tc>
          <w:tcPr>
            <w:tcW w:w="384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-565150</wp:posOffset>
            </wp:positionV>
            <wp:extent cx="22288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-565150</wp:posOffset>
            </wp:positionV>
            <wp:extent cx="22288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-565150</wp:posOffset>
            </wp:positionV>
            <wp:extent cx="11176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components of the provision for (benefit from) income taxes are as follows (in thousands):</w:t>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80" w:type="dxa"/>
            <w:vAlign w:val="bottom"/>
            <w:gridSpan w:val="9"/>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7"/>
        </w:trPr>
        <w:tc>
          <w:tcPr>
            <w:tcW w:w="602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13"/>
        </w:trPr>
        <w:tc>
          <w:tcPr>
            <w:tcW w:w="6020" w:type="dxa"/>
            <w:vAlign w:val="bottom"/>
          </w:tcPr>
          <w:p>
            <w:pPr>
              <w:spacing w:after="0"/>
              <w:rPr>
                <w:sz w:val="18"/>
                <w:szCs w:val="18"/>
                <w:color w:val="auto"/>
              </w:rPr>
            </w:pP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7"/>
        </w:trPr>
        <w:tc>
          <w:tcPr>
            <w:tcW w:w="6020" w:type="dxa"/>
            <w:vAlign w:val="bottom"/>
            <w:tcBorders>
              <w:bottom w:val="single" w:sz="8" w:color="CCEEFF"/>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57"/>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r>
      <w:tr>
        <w:trPr>
          <w:trHeight w:val="223"/>
        </w:trPr>
        <w:tc>
          <w:tcPr>
            <w:tcW w:w="6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Federal</w:t>
            </w:r>
          </w:p>
        </w:tc>
        <w:tc>
          <w:tcPr>
            <w:tcW w:w="60" w:type="dxa"/>
            <w:vAlign w:val="bottom"/>
          </w:tcPr>
          <w:p>
            <w:pPr>
              <w:spacing w:after="0"/>
              <w:rPr>
                <w:sz w:val="19"/>
                <w:szCs w:val="19"/>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91"/>
              </w:rPr>
              <w:t>$—</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4"/>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6"/>
        </w:trPr>
        <w:tc>
          <w:tcPr>
            <w:tcW w:w="6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State</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93</w:t>
            </w:r>
          </w:p>
        </w:tc>
        <w:tc>
          <w:tcPr>
            <w:tcW w:w="4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6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w:t>
            </w:r>
          </w:p>
        </w:tc>
        <w:tc>
          <w:tcPr>
            <w:tcW w:w="6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(341)</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241</w:t>
            </w:r>
          </w:p>
        </w:tc>
        <w:tc>
          <w:tcPr>
            <w:tcW w:w="20" w:type="dxa"/>
            <w:vAlign w:val="bottom"/>
          </w:tcPr>
          <w:p>
            <w:pPr>
              <w:spacing w:after="0"/>
              <w:rPr>
                <w:sz w:val="18"/>
                <w:szCs w:val="18"/>
                <w:color w:val="auto"/>
              </w:rPr>
            </w:pPr>
          </w:p>
        </w:tc>
      </w:tr>
      <w:tr>
        <w:trPr>
          <w:trHeight w:val="48"/>
        </w:trPr>
        <w:tc>
          <w:tcPr>
            <w:tcW w:w="60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3"/>
        </w:trPr>
        <w:tc>
          <w:tcPr>
            <w:tcW w:w="60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93</w:t>
            </w:r>
          </w:p>
        </w:tc>
        <w:tc>
          <w:tcPr>
            <w:tcW w:w="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(341)</w:t>
            </w:r>
          </w:p>
        </w:tc>
        <w:tc>
          <w:tcPr>
            <w:tcW w:w="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241</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24"/>
        </w:trPr>
        <w:tc>
          <w:tcPr>
            <w:tcW w:w="6020" w:type="dxa"/>
            <w:vAlign w:val="bottom"/>
          </w:tcPr>
          <w:p>
            <w:pPr>
              <w:spacing w:after="0"/>
              <w:rPr>
                <w:sz w:val="20"/>
                <w:szCs w:val="20"/>
                <w:color w:val="auto"/>
              </w:rPr>
            </w:pPr>
            <w:r>
              <w:rPr>
                <w:rFonts w:ascii="Times New Roman" w:cs="Times New Roman" w:eastAsia="Times New Roman" w:hAnsi="Times New Roman"/>
                <w:sz w:val="16"/>
                <w:szCs w:val="16"/>
                <w:color w:val="auto"/>
              </w:rPr>
              <w:t>Deferred</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3"/>
        </w:trPr>
        <w:tc>
          <w:tcPr>
            <w:tcW w:w="6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Federal</w:t>
            </w:r>
          </w:p>
        </w:tc>
        <w:tc>
          <w:tcPr>
            <w:tcW w:w="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131,766</w:t>
            </w: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2"/>
              </w:rPr>
              <w:t>(508)</w:t>
            </w:r>
          </w:p>
        </w:tc>
      </w:tr>
      <w:tr>
        <w:trPr>
          <w:trHeight w:val="224"/>
        </w:trPr>
        <w:tc>
          <w:tcPr>
            <w:tcW w:w="6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State</w:t>
            </w:r>
          </w:p>
        </w:tc>
        <w:tc>
          <w:tcPr>
            <w:tcW w:w="60" w:type="dxa"/>
            <w:vAlign w:val="bottom"/>
          </w:tcPr>
          <w:p>
            <w:pPr>
              <w:spacing w:after="0"/>
              <w:rPr>
                <w:sz w:val="19"/>
                <w:szCs w:val="19"/>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47,652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w w:val="92"/>
              </w:rPr>
              <w:t>(334)</w:t>
            </w:r>
          </w:p>
        </w:tc>
      </w:tr>
      <w:tr>
        <w:trPr>
          <w:trHeight w:val="33"/>
        </w:trPr>
        <w:tc>
          <w:tcPr>
            <w:tcW w:w="60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47"/>
        </w:trPr>
        <w:tc>
          <w:tcPr>
            <w:tcW w:w="6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43"/>
        </w:trPr>
        <w:tc>
          <w:tcPr>
            <w:tcW w:w="6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9"/>
              </w:rPr>
              <w:t>179,418</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w w:val="92"/>
              </w:rPr>
              <w:t>(842)</w:t>
            </w:r>
          </w:p>
        </w:tc>
      </w:tr>
      <w:tr>
        <w:trPr>
          <w:trHeight w:val="48"/>
        </w:trPr>
        <w:tc>
          <w:tcPr>
            <w:tcW w:w="60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93</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179,077</w:t>
            </w: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p>
        </w:tc>
        <w:tc>
          <w:tcPr>
            <w:tcW w:w="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2"/>
              </w:rPr>
              <w:t>(601)</w:t>
            </w:r>
          </w:p>
        </w:tc>
      </w:tr>
      <w:tr>
        <w:trPr>
          <w:trHeight w:val="48"/>
        </w:trPr>
        <w:tc>
          <w:tcPr>
            <w:tcW w:w="60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-1936750</wp:posOffset>
            </wp:positionV>
            <wp:extent cx="27432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-1936750</wp:posOffset>
            </wp:positionV>
            <wp:extent cx="27432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-1936750</wp:posOffset>
            </wp:positionV>
            <wp:extent cx="13716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326" w:gutter="0" w:footer="0" w:header="0"/>
        </w:sectPr>
      </w:pPr>
    </w:p>
    <w:bookmarkStart w:id="204" w:name="page205"/>
    <w:bookmarkEnd w:id="2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change in the Company’s income tax provision/(benefit) from 2022 to 2023 is due to the continuation of recording a full valuation allowance on our deferred tax assets as of December 31, 2023, and continued remeasurement of the related TRA liability.</w:t>
      </w:r>
    </w:p>
    <w:p>
      <w:pPr>
        <w:spacing w:after="0" w:line="68"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change in the Company’s income tax provision/(benefit) from 2021 to 2022 is due to the recording of a full valuation allowance on our deferred tax assets as of December 31, 2022 and remeasurement of the related TRA liability. In previous periods, the provision/(benefit) was also impacted by the Business Combination and settlement of a foreign income tax examination.</w:t>
      </w:r>
    </w:p>
    <w:p>
      <w:pPr>
        <w:spacing w:after="0" w:line="72"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actual income tax expense differs from the expected amount computed by applying the federal statutory corporate tax rate of 21 percent as follows (in thousands):</w:t>
      </w: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19"/>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51"/>
        </w:trPr>
        <w:tc>
          <w:tcPr>
            <w:tcW w:w="58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227"/>
        </w:trPr>
        <w:tc>
          <w:tcPr>
            <w:tcW w:w="5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5"/>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50"/>
        </w:trPr>
        <w:tc>
          <w:tcPr>
            <w:tcW w:w="580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r>
      <w:tr>
        <w:trPr>
          <w:trHeight w:val="311"/>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6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$(3,283)</w:t>
            </w:r>
          </w:p>
        </w:tc>
        <w:tc>
          <w:tcPr>
            <w:tcW w:w="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$ 20,249</w:t>
            </w: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$ 31,844</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State blended statutory rate</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(828)</w:t>
            </w:r>
          </w:p>
        </w:tc>
        <w:tc>
          <w:tcPr>
            <w:tcW w:w="60" w:type="dxa"/>
            <w:vAlign w:val="bottom"/>
          </w:tcPr>
          <w:p>
            <w:pPr>
              <w:spacing w:after="0"/>
              <w:rPr>
                <w:sz w:val="23"/>
                <w:szCs w:val="23"/>
                <w:color w:val="auto"/>
              </w:rPr>
            </w:pPr>
          </w:p>
        </w:tc>
        <w:tc>
          <w:tcPr>
            <w:tcW w:w="8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5,168</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taxed to owners of noncontrolling interests</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(11,285)</w:t>
            </w:r>
          </w:p>
        </w:tc>
        <w:tc>
          <w:tcPr>
            <w:tcW w:w="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(21,762)</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Foreign tax impact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227</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w:t>
            </w:r>
          </w:p>
        </w:tc>
        <w:tc>
          <w:tcPr>
            <w:tcW w:w="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(3,718)</w:t>
            </w:r>
          </w:p>
        </w:tc>
        <w:tc>
          <w:tcPr>
            <w:tcW w:w="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7"/>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(19,669)</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permanent items</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548</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901</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(502)</w:t>
            </w:r>
          </w:p>
        </w:tc>
        <w:tc>
          <w:tcPr>
            <w:tcW w:w="60" w:type="dxa"/>
            <w:vAlign w:val="bottom"/>
          </w:tcPr>
          <w:p>
            <w:pPr>
              <w:spacing w:after="0"/>
              <w:rPr>
                <w:sz w:val="23"/>
                <w:szCs w:val="23"/>
                <w:color w:val="auto"/>
              </w:rPr>
            </w:pPr>
          </w:p>
        </w:tc>
        <w:tc>
          <w:tcPr>
            <w:tcW w:w="9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(2,514)</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tcPr>
          <w:p>
            <w:pPr>
              <w:spacing w:after="0"/>
              <w:rPr>
                <w:sz w:val="23"/>
                <w:szCs w:val="23"/>
                <w:color w:val="auto"/>
              </w:rPr>
            </w:pP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to Provision</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Holdback Share Release</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(605)</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(413)</w:t>
            </w:r>
          </w:p>
        </w:tc>
        <w:tc>
          <w:tcPr>
            <w:tcW w:w="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186,954</w:t>
            </w: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Tax receivable agreement revaluation</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(20,462)</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57"/>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State Tax Rate</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2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58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r>
      <w:tr>
        <w:trPr>
          <w:trHeight w:val="270"/>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20" w:type="dxa"/>
            <w:vAlign w:val="bottom"/>
            <w:gridSpan w:val="6"/>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179,077</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Pr>
          <w:p>
            <w:pPr>
              <w:spacing w:after="0"/>
              <w:rPr>
                <w:sz w:val="23"/>
                <w:szCs w:val="23"/>
                <w:color w:val="auto"/>
              </w:rPr>
            </w:pPr>
          </w:p>
        </w:tc>
      </w:tr>
      <w:tr>
        <w:trPr>
          <w:trHeight w:val="61"/>
        </w:trPr>
        <w:tc>
          <w:tcPr>
            <w:tcW w:w="580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318"/>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940" w:type="dxa"/>
            <w:vAlign w:val="bottom"/>
            <w:tcBorders>
              <w:bottom w:val="single" w:sz="8" w:color="CCEEFF"/>
            </w:tcBorders>
            <w:gridSpan w:val="8"/>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185.7%</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r>
      <w:tr>
        <w:trPr>
          <w:trHeight w:val="32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The significant components of the net deferred tax assets are as follows: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638"/>
        </w:trPr>
        <w:tc>
          <w:tcPr>
            <w:tcW w:w="5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60" w:type="dxa"/>
            <w:vAlign w:val="bottom"/>
            <w:gridSpan w:val="21"/>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 2023   December 31, 2022</w:t>
            </w:r>
          </w:p>
        </w:tc>
      </w:tr>
      <w:tr>
        <w:trPr>
          <w:trHeight w:val="50"/>
        </w:trPr>
        <w:tc>
          <w:tcPr>
            <w:tcW w:w="58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311"/>
        </w:trPr>
        <w:tc>
          <w:tcPr>
            <w:tcW w:w="5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partnership</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$ 129,297</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$ 133,569</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gridSpan w:val="4"/>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receivable agreement</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37,021</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37,254</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70"/>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carryovers</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15,689</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12,453</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54"/>
        </w:trPr>
        <w:tc>
          <w:tcPr>
            <w:tcW w:w="58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gridSpan w:val="4"/>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04"/>
        </w:trPr>
        <w:tc>
          <w:tcPr>
            <w:tcW w:w="5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credit carryovers</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5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61"/>
        </w:trPr>
        <w:tc>
          <w:tcPr>
            <w:tcW w:w="58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318"/>
        </w:trPr>
        <w:tc>
          <w:tcPr>
            <w:tcW w:w="5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tax asset</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186,682</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187,066</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5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(186,682)</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(187,066)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61"/>
        </w:trPr>
        <w:tc>
          <w:tcPr>
            <w:tcW w:w="58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270"/>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40" w:type="dxa"/>
            <w:vAlign w:val="bottom"/>
            <w:gridSpan w:val="8"/>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74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48"/>
        </w:trPr>
        <w:tc>
          <w:tcPr>
            <w:tcW w:w="58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5466080</wp:posOffset>
            </wp:positionH>
            <wp:positionV relativeFrom="paragraph">
              <wp:posOffset>-5682615</wp:posOffset>
            </wp:positionV>
            <wp:extent cx="6858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-5682615</wp:posOffset>
            </wp:positionV>
            <wp:extent cx="13716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-5682615</wp:posOffset>
            </wp:positionV>
            <wp:extent cx="13716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-5682615</wp:posOffset>
            </wp:positionV>
            <wp:extent cx="68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-1902460</wp:posOffset>
            </wp:positionV>
            <wp:extent cx="13716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-1902460</wp:posOffset>
            </wp:positionV>
            <wp:extent cx="6858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The valuation allowance decreased $0.4 million for the year ended December 31, 2023 and increased $187.0 million for the year ended December 31, 2022. Realization of deferred tax assets is dependent on future earning, if any, the timing of which are uncertain. Accordingly, the net deferred tax assets have been fully offset by a valuation allowance.</w:t>
      </w:r>
    </w:p>
    <w:p>
      <w:pPr>
        <w:spacing w:after="0" w:line="72"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federal and state net operating loss carry forwards of approximately $57.8 million and $51.1 million, respectively, available to reduce future taxable income, if any. The federal net operating loss carries forward indefinitely and most of the state net operating losses will expire beginning in 2041. The Company also has foreign net operating loss carry forwards of approximately $0.1 million.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677" w:gutter="0" w:footer="0" w:header="0"/>
        </w:sectPr>
      </w:pPr>
    </w:p>
    <w:bookmarkStart w:id="205" w:name="page206"/>
    <w:bookmarkEnd w:id="2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federal and California research credit carryforwards of $3.9 million and $1.5 million, respectively, available to reduce future tax. Federal tax credits begin to expire in 2041 and California credits carry forward indefinitely.</w:t>
      </w:r>
    </w:p>
    <w:p>
      <w:pPr>
        <w:spacing w:after="0" w:line="68"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Utilization of the net operating loss and tax credit carryforwards may be subject to an annual limitation due to the ownership change limitations provided by the Internal Revenue Code of 1986, as amended and similar state provisions. An “ownership change” would occur for these purposes if one or more stockholders or groups of stockholders, who own at least 5% of the Company’s stock, increase their ownership by more than 50 percentage points over their lowest ownership percentage within a rolling three-year period. Utilization of federal net operating loss carryforwards is also limited to 80% of the Company’s taxable income in the year of deduction.</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Company’s deferred tax asset is primarily attributable to future tax amortization deductions of tax basis created from the Business Combination, subsequent redemptions and exchanges of WMH Units, and future TRA payments. These deferred tax assets generally amortize over 15 years beginning on the date the WMH Units are deemed to have been exchanged or redeemed, or TRA payments are made, as applicable. Tax amortization deductions in excess of taxable income from operations result in a net operating loss, which can be carried forward indefinitely for federal tax purposes.</w:t>
      </w:r>
    </w:p>
    <w:p>
      <w:pPr>
        <w:spacing w:after="0" w:line="7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Company assesses whether it is “more-likely-than-not” that it will realize its deferred tax assets (“DTAs”). The Company establishes a valuation allowance when available evidence indicates that it is more-likely-than-not that the deferred tax asset will not be realized. In assessing the need for a valuation allowance, the Company considers the amounts and timing of expected future deductions or carryforwards and sources of taxable income that may enable utilization. This includes an analysis of the Company’s current financial position, results of operations for the current and prior years and all currently available information about future years. This assessment and estimates require significant management judgement. The Company maintains an existing valuation allowance until enough positive evidence exists to support its reversal. Change in the amount or timing of expected future deductions or taxable income may have a material impact on the level of income tax valuation allowances.</w:t>
      </w:r>
    </w:p>
    <w:p>
      <w:pPr>
        <w:spacing w:after="0" w:line="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Based on the weight of all available evidence, both positive and negative, the Company determined during the fourth quarter of 2022 that a full valuation allowance was required against its net DTAs. Management assessed the available positive and negative evidence to estimate whether sufficient future taxable income will be generated to permit use of the existing deferred tax assets. Significant pieces of negative evidence evaluated were the book operating loss incurred during the year ended December 31, 2022 and lowered forecasts at that time. For the period ending December 31, 2023, management conducted a similar analysis, and determined that a full valuation allowance was still required. Payment under the TRA liability was not probable, resulting from the full valuation allowance and accordingly, substantially all of the TRA liability was reversed. As of December 31, 2023 and 2022, the TRA liability was $1.8 million and $0.5 million, respectively.</w:t>
      </w:r>
    </w:p>
    <w:p>
      <w:pPr>
        <w:spacing w:after="0" w:line="78" w:lineRule="exact"/>
        <w:rPr>
          <w:sz w:val="20"/>
          <w:szCs w:val="20"/>
          <w:color w:val="auto"/>
        </w:rPr>
      </w:pPr>
    </w:p>
    <w:p>
      <w:pPr>
        <w:jc w:val="both"/>
        <w:ind w:left="300" w:right="319"/>
        <w:spacing w:after="0" w:line="267" w:lineRule="auto"/>
        <w:rPr>
          <w:sz w:val="20"/>
          <w:szCs w:val="20"/>
          <w:color w:val="auto"/>
        </w:rPr>
      </w:pPr>
      <w:r>
        <w:rPr>
          <w:rFonts w:ascii="Times New Roman" w:cs="Times New Roman" w:eastAsia="Times New Roman" w:hAnsi="Times New Roman"/>
          <w:sz w:val="18"/>
          <w:szCs w:val="18"/>
          <w:color w:val="auto"/>
        </w:rPr>
        <w:t xml:space="preserve">The Company follows the provisions of FASB ASC 740-10,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ASC 740-10 prescribes a comprehensive model for the recognition, measurement, presentation and disclosure in financial statements of any uncertain tax positions that have been taken or expected to be taken on a tax return.</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reflects changes in the unrecognized tax benefits (in thousands):</w:t>
      </w:r>
    </w:p>
    <w:p>
      <w:pPr>
        <w:spacing w:after="0" w:line="200" w:lineRule="exact"/>
        <w:rPr>
          <w:sz w:val="20"/>
          <w:szCs w:val="20"/>
          <w:color w:val="auto"/>
        </w:rPr>
      </w:pPr>
    </w:p>
    <w:p>
      <w:pPr>
        <w:spacing w:after="0" w:line="26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13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50"/>
        </w:trPr>
        <w:tc>
          <w:tcPr>
            <w:tcW w:w="586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311"/>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amount of unrecognized tax benefits as of the beginning of the period</w:t>
            </w: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3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$188</w:t>
            </w:r>
          </w:p>
        </w:tc>
      </w:tr>
      <w:tr>
        <w:trPr>
          <w:trHeight w:val="270"/>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Decreases related to prior year tax provisions</w:t>
            </w: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3"/>
                <w:szCs w:val="23"/>
                <w:color w:val="auto"/>
              </w:rPr>
            </w:pPr>
          </w:p>
        </w:tc>
        <w:tc>
          <w:tcPr>
            <w:tcW w:w="7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5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318"/>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Increases related to current year tax provisions</w:t>
            </w:r>
          </w:p>
        </w:tc>
        <w:tc>
          <w:tcPr>
            <w:tcW w:w="3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400" w:type="dxa"/>
            <w:vAlign w:val="bottom"/>
            <w:tcBorders>
              <w:bottom w:val="single" w:sz="8" w:color="CCEEFF"/>
            </w:tcBorders>
            <w:shd w:val="clear" w:color="auto" w:fill="CCEEFF"/>
          </w:tcPr>
          <w:p>
            <w:pPr>
              <w:spacing w:after="0"/>
              <w:rPr>
                <w:sz w:val="24"/>
                <w:szCs w:val="24"/>
                <w:color w:val="auto"/>
              </w:rPr>
            </w:pPr>
          </w:p>
        </w:tc>
      </w:tr>
      <w:tr>
        <w:trPr>
          <w:trHeight w:val="28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Gross amount of unrecognized tax benefits as of the end of the period</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1,024</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920</w:t>
            </w:r>
          </w:p>
        </w:tc>
      </w:tr>
      <w:tr>
        <w:trPr>
          <w:trHeight w:val="20"/>
        </w:trPr>
        <w:tc>
          <w:tcPr>
            <w:tcW w:w="5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-830580</wp:posOffset>
            </wp:positionV>
            <wp:extent cx="13716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-830580</wp:posOffset>
            </wp:positionV>
            <wp:extent cx="6858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has unrecognized tax benefits of approximately $1.0 million, which would affect its effective tax rate if recognized, and without consideration of valuation allowance. It is unlikely that the amount of liability for unrecognized tax benefits will significantly change over the next 12 months. It is the Company’s policy to include penalties and interest expense related to income taxes as a component of other expense and interest expense, respectively, as necessary.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6" w:name="page207"/>
    <w:bookmarkEnd w:id="20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WM TECHNOLOGY,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3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Company and its subsidiaries file income tax returns with the U.S. federal government, various U.S. states and several foreign jurisdictions. The Company’s U.S. federal and state tax returns remain open to examination for 2019 through 2023. In addition, tax returns remain open to examination in non-U.S. subsidiaries, including Canada.</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17.  Related Party Transactions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During the second quarter of 2022, the Company entered into a sublease agreement with an affiliate of the Executive Chair. The sublease commenced on June 1, 2022, and the term is for the remainder of the original lease and will expire on February 28, 2025, or sooner in the event that the original lease is cancelled prior to the expiration date. The monthly base rent, after the rent abatement period for the first four months, is $69,000. Rent receivable of $0.7 million is included in prepaid expenses and other current assets on the accompanying consolidated balance sheets as of December 31, 2023, and was subsequently collected in April 2024. As of December 31, 2022, $0.1 million of rent receivable was included in accounts receivable, net on the accompanying consolidated balance sheets. For the years ended December 31, 2023 and 2022, income on the sublease from the related party transactions were $0.7 million and $0.4 million, respectively. The income on sublease is netted with rent expense and included in general and administrative expenses on the consolidated statements of operations.</w:t>
      </w:r>
    </w:p>
    <w:p>
      <w:pPr>
        <w:spacing w:after="0" w:line="86"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the Company paid $1.1 million in certain transaction costs reimbursable by Silver Spike’s sponsor (“Silver Spike Sponsor”), an affiliate to a member of the board of directors. On March 16, 2023, Silver Spike Holdings, an affiliate of Silver Spike Sponsor, entered into a promissory note with the Company and agreed to pay the principal amount of $1.1 million in 12 equal quarterly installments commencing on March 31, 2023. The promissory note bears interest at a rate of 5% per annum commencing on March 31, 2023. In an event of default, the outstanding principal amount shall bear interest for the entire period during which the principal balance is unpaid at a rate which is equal to 10% per annum. As of December 31, 2023, the remaining balance of the promissory note receivable was $0.7 million of which, $0.4 million was included in prepaid expenses and other current assets and $0.3 million was included in other assets on the consolidated balance sheets. As of December 31, 2022, $1.1 million of related party note receivable was included in other assets on the accompanying consolidated balance sheets. For the year ended December 31, 2023, interest income on the promissory note was less than $0.1 million, which is included in other income (expense), net on the consolidated statement of operations.</w:t>
      </w:r>
    </w:p>
    <w:p>
      <w:pPr>
        <w:spacing w:after="0" w:line="82"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During the fourth quarter of 2023, the Company reimbursed $0.4 million in certain legal fee to Silver Spike Holdings, an affiliate to a member of the board of directors in connection with responding to the SEC investigation. See Part I. Item 3. “Legal Proceedings” for further discussion. The expense is included in general and administrative expenses on the consolidated statements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7" w:name="page208"/>
    <w:bookmarkEnd w:id="2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Other Expenses of Issuance and Distribution.</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costs and expenses, other than underwriting discounts and commissions, payable by us in connection with the sale of the securities being registered. All amounts shown are estimates except for the SEC registration fee.</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51"/>
        </w:trPr>
        <w:tc>
          <w:tcPr>
            <w:tcW w:w="4860" w:type="dxa"/>
            <w:vAlign w:val="bottom"/>
            <w:tcBorders>
              <w:bottom w:val="single" w:sz="8" w:color="CCEEFF"/>
            </w:tcBorders>
          </w:tcPr>
          <w:p>
            <w:pPr>
              <w:spacing w:after="0"/>
              <w:rPr>
                <w:sz w:val="4"/>
                <w:szCs w:val="4"/>
                <w:color w:val="auto"/>
              </w:rPr>
            </w:pPr>
          </w:p>
        </w:tc>
        <w:tc>
          <w:tcPr>
            <w:tcW w:w="268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r>
      <w:tr>
        <w:trPr>
          <w:trHeight w:val="311"/>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560" w:type="dxa"/>
            <w:vAlign w:val="bottom"/>
            <w:tcBorders>
              <w:bottom w:val="single" w:sz="8" w:color="CCEEFF"/>
            </w:tcBorders>
            <w:gridSpan w:val="3"/>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$401,800+</w:t>
            </w:r>
          </w:p>
        </w:tc>
      </w:tr>
      <w:tr>
        <w:trPr>
          <w:trHeight w:val="27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486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304"/>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6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4860" w:type="dxa"/>
            <w:vAlign w:val="bottom"/>
          </w:tcPr>
          <w:p>
            <w:pPr>
              <w:spacing w:after="0"/>
              <w:rPr>
                <w:sz w:val="4"/>
                <w:szCs w:val="4"/>
                <w:color w:val="auto"/>
              </w:rPr>
            </w:pPr>
          </w:p>
        </w:tc>
        <w:tc>
          <w:tcPr>
            <w:tcW w:w="2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7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20" w:type="dxa"/>
            <w:vAlign w:val="bottom"/>
            <w:gridSpan w:val="2"/>
            <w:shd w:val="clear" w:color="auto" w:fill="CCEEFF"/>
          </w:tcPr>
          <w:p>
            <w:pPr>
              <w:ind w:left="26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4860" w:type="dxa"/>
            <w:vAlign w:val="bottom"/>
            <w:shd w:val="clear" w:color="auto" w:fill="CCEEFF"/>
          </w:tcPr>
          <w:p>
            <w:pPr>
              <w:spacing w:after="0"/>
              <w:rPr>
                <w:sz w:val="4"/>
                <w:szCs w:val="4"/>
                <w:color w:val="auto"/>
              </w:rPr>
            </w:pPr>
          </w:p>
        </w:tc>
        <w:tc>
          <w:tcPr>
            <w:tcW w:w="26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4883150</wp:posOffset>
            </wp:positionH>
            <wp:positionV relativeFrom="paragraph">
              <wp:posOffset>-1045210</wp:posOffset>
            </wp:positionV>
            <wp:extent cx="9461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paid</w:t>
      </w:r>
    </w:p>
    <w:p>
      <w:pPr>
        <w:spacing w:after="0" w:line="42" w:lineRule="exact"/>
        <w:rPr>
          <w:sz w:val="20"/>
          <w:szCs w:val="20"/>
          <w:color w:val="auto"/>
        </w:rPr>
      </w:pPr>
    </w:p>
    <w:p>
      <w:pPr>
        <w:jc w:val="both"/>
        <w:ind w:left="640" w:right="299" w:hanging="348"/>
        <w:spacing w:after="0" w:line="236" w:lineRule="auto"/>
        <w:tabs>
          <w:tab w:leader="none" w:pos="640"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the SEC registration fee, estimated expenses are not presently known. The foregoing sets forth the general categories of expenses (other than underwriting discounts and commissions) that we anticipate we will incur in connection with the offering of securities under this registration statement. To the extent required, any applicable prospectus supplement will set forth the estimated aggregate amount of expenses payable in respect of any offering of securities under the registration statement.</w:t>
      </w:r>
    </w:p>
    <w:p>
      <w:pPr>
        <w:spacing w:after="0" w:line="177"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14.</w:t>
        <w:tab/>
        <w:t>Indemnification of Directors and Officers.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Section 145(a) of the DGCL provides, in general, that a corporation may indemnify any person who was or is a party to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86"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8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8" w:name="page209"/>
    <w:bookmarkEnd w:id="20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Additionally, 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68" w:lineRule="exact"/>
        <w:rPr>
          <w:sz w:val="20"/>
          <w:szCs w:val="20"/>
          <w:color w:val="auto"/>
        </w:rPr>
      </w:pPr>
    </w:p>
    <w:p>
      <w:pPr>
        <w:ind w:left="1000" w:hanging="348"/>
        <w:spacing w:after="0"/>
        <w:tabs>
          <w:tab w:leader="none" w:pos="10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117"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the Company’s directors will be eliminated or limited to the fullest extent permitted by the DGCL, as so amended.</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w:t>
      </w:r>
    </w:p>
    <w:p>
      <w:pPr>
        <w:spacing w:after="0" w:line="158"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Recent Sales of Unregistered Securities.</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In June 2021, the PIPE Investors purchased from the Company an aggregate of 32,500,000 shares of Class A Common Stock, for a purchase price of $10.00 per share and an aggregate purchase price of $325.0 million, pursuant to Subscription Agreements entered into effective as of December 2020. The sale of the PIPE Shares was made in reliance on the exemption from registration in Section 4(a)(2) under the Securities Act.</w:t>
      </w:r>
    </w:p>
    <w:p>
      <w:pPr>
        <w:spacing w:after="0" w:line="7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September 3, 2021, the Company entered into the Asset Purchase Agreement with Sprout, Text Ripple, WM Loyalty, LLC, certain equityholders of Sprout and Text Ripple, and Jaret Christopher, as sellers’ representative pursuant to which the Company acquired certain assets of Sprout for a total consideration of approximately $31.2 million, including the issuance by the Company of 1,244,258 shares of Class A Common Stock. The shares were issued in reliance on the exemption from registration in Section 4(a)(2) under the Securities Act.</w:t>
      </w:r>
    </w:p>
    <w:p>
      <w:pPr>
        <w:spacing w:after="0" w:line="75" w:lineRule="exact"/>
        <w:rPr>
          <w:sz w:val="20"/>
          <w:szCs w:val="20"/>
          <w:color w:val="auto"/>
        </w:rPr>
      </w:pPr>
    </w:p>
    <w:p>
      <w:pPr>
        <w:jc w:val="both"/>
        <w:ind w:left="300" w:right="299"/>
        <w:spacing w:after="0" w:line="277" w:lineRule="auto"/>
        <w:rPr>
          <w:sz w:val="20"/>
          <w:szCs w:val="20"/>
          <w:color w:val="auto"/>
        </w:rPr>
      </w:pPr>
      <w:r>
        <w:rPr>
          <w:rFonts w:ascii="Times New Roman" w:cs="Times New Roman" w:eastAsia="Times New Roman" w:hAnsi="Times New Roman"/>
          <w:sz w:val="17"/>
          <w:szCs w:val="17"/>
          <w:color w:val="auto"/>
        </w:rPr>
        <w:t>On September 28, 2021, Ghost Management Group, LLC, a subsidiary of the Company, entered into the Equity Interest Purchase Agreement with TLHC, certain securityholders of TLHC, and Justin Morris, as sellers’ representative, pursuant to which the Company acquired all of the equity interests of TLHC for total consideration of approximately $15.1 million, including the issuance by the Company of 694,540 shares of Class A Common Stock. The shares were issued in reliance on the exemption from registration in Section 4(a)(2) under the Securities Act.</w:t>
      </w:r>
    </w:p>
    <w:p>
      <w:pPr>
        <w:spacing w:after="0" w:line="60"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On January 14, 2022, WM In-Store Solutions, LLC (“Merger Sub”), a subsidiary of the Company, acquired Eyechronic LLC d/b/a Enlighten (“Eyechronic”) for total consideration of approximately $35 million, including the issuance by the Company of 4,721,706 shares of Class A Common Stock, pursuant to that certain Agreement and Plan of Reorganization dated as of January 3, 2022 by and among the Company, Eyechronic, Merger Sub, Janus Merger Sub I, LLC and Brian Schwartz, as representative of company indemnitors. The shares were issued in reliance on the exemption from registration in Section 4(a)(2) under the Securities 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9" w:name="page210"/>
    <w:bookmarkEnd w:id="20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0" w:lineRule="exact"/>
        <w:rPr>
          <w:sz w:val="20"/>
          <w:szCs w:val="20"/>
          <w:color w:val="auto"/>
        </w:rPr>
      </w:pPr>
    </w:p>
    <w:p>
      <w:pPr>
        <w:ind w:left="300"/>
        <w:spacing w:after="0"/>
        <w:tabs>
          <w:tab w:leader="none" w:pos="456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50800</wp:posOffset>
            </wp:positionV>
            <wp:extent cx="6858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0" w:lineRule="exact"/>
        <w:rPr>
          <w:sz w:val="20"/>
          <w:szCs w:val="20"/>
          <w:color w:val="auto"/>
        </w:rPr>
      </w:pPr>
    </w:p>
    <w:tbl>
      <w:tblPr>
        <w:tblLayout w:type="fixed"/>
        <w:tblInd w:w="300" w:type="dxa"/>
        <w:tblCellMar>
          <w:top w:w="0" w:type="dxa"/>
          <w:left w:w="0" w:type="dxa"/>
          <w:bottom w:w="0" w:type="dxa"/>
          <w:right w:w="0" w:type="dxa"/>
        </w:tblCellMar>
      </w:tblPr>
      <w:tr>
        <w:trPr>
          <w:trHeight w:val="257"/>
        </w:trPr>
        <w:tc>
          <w:tcPr>
            <w:tcW w:w="400" w:type="dxa"/>
            <w:vAlign w:val="bottom"/>
            <w:tcBorders>
              <w:top w:val="single" w:sz="8" w:color="auto"/>
            </w:tcBorders>
            <w:gridSpan w:val="4"/>
            <w:shd w:val="clear" w:color="auto" w:fill="CCEEFF"/>
          </w:tcPr>
          <w:p>
            <w:pPr>
              <w:spacing w:after="0"/>
              <w:rPr>
                <w:rFonts w:ascii="Times New Roman" w:cs="Times New Roman" w:eastAsia="Times New Roman" w:hAnsi="Times New Roman"/>
                <w:sz w:val="18"/>
                <w:szCs w:val="18"/>
                <w:color w:val="0000EE"/>
              </w:rPr>
            </w:pPr>
            <w:hyperlink r:id="rId574">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hyperlink>
          </w:p>
        </w:tc>
        <w:tc>
          <w:tcPr>
            <w:tcW w:w="20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7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Agreement and Plan of Merger, dated December 10, 2020, by and among Silver Spike, Merger Sub,</w:t>
            </w: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Legacy WMH, and the Holder Representative named therein (incorporated by reference to Exhibit 2.1 to</w:t>
            </w:r>
          </w:p>
        </w:tc>
      </w:tr>
      <w:tr>
        <w:trPr>
          <w:trHeight w:val="268"/>
        </w:trPr>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the Current Report on Form 8-K filed on December 10, 2020).</w:t>
            </w:r>
          </w:p>
        </w:tc>
      </w:tr>
      <w:tr>
        <w:trPr>
          <w:trHeight w:val="229"/>
        </w:trPr>
        <w:tc>
          <w:tcPr>
            <w:tcW w:w="300" w:type="dxa"/>
            <w:vAlign w:val="bottom"/>
            <w:gridSpan w:val="2"/>
          </w:tcPr>
          <w:p>
            <w:pPr>
              <w:spacing w:after="0"/>
              <w:rPr>
                <w:rFonts w:ascii="Times New Roman" w:cs="Times New Roman" w:eastAsia="Times New Roman" w:hAnsi="Times New Roman"/>
                <w:sz w:val="18"/>
                <w:szCs w:val="18"/>
                <w:color w:val="0000EE"/>
              </w:rPr>
            </w:pPr>
            <w:hyperlink r:id="rId575">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Certificate of Incorporation of the Company, dated June 15, 2021 (incorporated by reference to</w:t>
            </w:r>
          </w:p>
        </w:tc>
      </w:tr>
      <w:tr>
        <w:trPr>
          <w:trHeight w:val="237"/>
        </w:trPr>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Exhibit 3.1 to the Current Report on Form 8-K filed on June 21, 2021).</w:t>
            </w:r>
          </w:p>
        </w:tc>
      </w:tr>
      <w:tr>
        <w:trPr>
          <w:trHeight w:val="54"/>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580" w:type="dxa"/>
            <w:vAlign w:val="bottom"/>
          </w:tcPr>
          <w:p>
            <w:pPr>
              <w:spacing w:after="0"/>
              <w:rPr>
                <w:sz w:val="4"/>
                <w:szCs w:val="4"/>
                <w:color w:val="auto"/>
              </w:rPr>
            </w:pPr>
          </w:p>
        </w:tc>
      </w:tr>
      <w:tr>
        <w:trPr>
          <w:trHeight w:val="229"/>
        </w:trPr>
        <w:tc>
          <w:tcPr>
            <w:tcW w:w="300" w:type="dxa"/>
            <w:vAlign w:val="bottom"/>
            <w:gridSpan w:val="2"/>
            <w:shd w:val="clear" w:color="auto" w:fill="CCEEFF"/>
          </w:tcPr>
          <w:p>
            <w:pPr>
              <w:spacing w:after="0"/>
              <w:rPr>
                <w:rFonts w:ascii="Times New Roman" w:cs="Times New Roman" w:eastAsia="Times New Roman" w:hAnsi="Times New Roman"/>
                <w:sz w:val="18"/>
                <w:szCs w:val="18"/>
                <w:color w:val="0000EE"/>
              </w:rPr>
            </w:pPr>
            <w:hyperlink r:id="rId576">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hyperlink>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Amended and Restated Bylaws of the Company, dated June 16, 2021 (incorporated by reference to</w:t>
            </w:r>
          </w:p>
        </w:tc>
      </w:tr>
      <w:tr>
        <w:trPr>
          <w:trHeight w:val="271"/>
        </w:trPr>
        <w:tc>
          <w:tcPr>
            <w:tcW w:w="22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Exhibit 3.2 to the Current Report on Form 8-K filed on June 21, 2021).</w:t>
            </w:r>
          </w:p>
        </w:tc>
      </w:tr>
      <w:tr>
        <w:trPr>
          <w:trHeight w:val="229"/>
        </w:trPr>
        <w:tc>
          <w:tcPr>
            <w:tcW w:w="300" w:type="dxa"/>
            <w:vAlign w:val="bottom"/>
            <w:gridSpan w:val="2"/>
          </w:tcPr>
          <w:p>
            <w:pPr>
              <w:spacing w:after="0"/>
              <w:rPr>
                <w:rFonts w:ascii="Times New Roman" w:cs="Times New Roman" w:eastAsia="Times New Roman" w:hAnsi="Times New Roman"/>
                <w:sz w:val="18"/>
                <w:szCs w:val="18"/>
                <w:color w:val="0000EE"/>
              </w:rPr>
            </w:pPr>
            <w:hyperlink r:id="rId577">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of Common Stock Certificate of the Company (incorporated by reference to Exhibit 4.1 to the</w:t>
            </w:r>
          </w:p>
        </w:tc>
      </w:tr>
      <w:tr>
        <w:trPr>
          <w:trHeight w:val="237"/>
        </w:trPr>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Current Report on Form 8-K filed on June 21, 2021).</w:t>
            </w:r>
          </w:p>
        </w:tc>
      </w:tr>
      <w:tr>
        <w:trPr>
          <w:trHeight w:val="54"/>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580" w:type="dxa"/>
            <w:vAlign w:val="bottom"/>
          </w:tcPr>
          <w:p>
            <w:pPr>
              <w:spacing w:after="0"/>
              <w:rPr>
                <w:sz w:val="4"/>
                <w:szCs w:val="4"/>
                <w:color w:val="auto"/>
              </w:rPr>
            </w:pPr>
          </w:p>
        </w:tc>
      </w:tr>
      <w:tr>
        <w:trPr>
          <w:trHeight w:val="229"/>
        </w:trPr>
        <w:tc>
          <w:tcPr>
            <w:tcW w:w="300" w:type="dxa"/>
            <w:vAlign w:val="bottom"/>
            <w:gridSpan w:val="2"/>
            <w:shd w:val="clear" w:color="auto" w:fill="CCEEFF"/>
          </w:tcPr>
          <w:p>
            <w:pPr>
              <w:spacing w:after="0"/>
              <w:rPr>
                <w:rFonts w:ascii="Times New Roman" w:cs="Times New Roman" w:eastAsia="Times New Roman" w:hAnsi="Times New Roman"/>
                <w:sz w:val="18"/>
                <w:szCs w:val="18"/>
                <w:color w:val="0000EE"/>
              </w:rPr>
            </w:pPr>
            <w:hyperlink r:id="rId578">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Form of Warrant Certificate of the Company (incorporated by reference to Exhibit 4.2 to the Current</w:t>
            </w:r>
          </w:p>
        </w:tc>
      </w:tr>
      <w:tr>
        <w:trPr>
          <w:trHeight w:val="271"/>
        </w:trPr>
        <w:tc>
          <w:tcPr>
            <w:tcW w:w="22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Report on Form 8-K filed on June 21, 2021).</w:t>
            </w:r>
          </w:p>
        </w:tc>
      </w:tr>
      <w:tr>
        <w:trPr>
          <w:trHeight w:val="229"/>
        </w:trPr>
        <w:tc>
          <w:tcPr>
            <w:tcW w:w="300" w:type="dxa"/>
            <w:vAlign w:val="bottom"/>
            <w:gridSpan w:val="2"/>
          </w:tcPr>
          <w:p>
            <w:pPr>
              <w:spacing w:after="0"/>
              <w:rPr>
                <w:rFonts w:ascii="Times New Roman" w:cs="Times New Roman" w:eastAsia="Times New Roman" w:hAnsi="Times New Roman"/>
                <w:sz w:val="18"/>
                <w:szCs w:val="18"/>
                <w:color w:val="0000EE"/>
              </w:rPr>
            </w:pPr>
            <w:hyperlink r:id="rId579">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hyperlink>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Warrant Agreement, dated August 7, 2019, between the Company and Continental Stock Transfer &amp;</w:t>
            </w:r>
          </w:p>
        </w:tc>
      </w:tr>
      <w:tr>
        <w:trPr>
          <w:trHeight w:val="218"/>
        </w:trPr>
        <w:tc>
          <w:tcPr>
            <w:tcW w:w="2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Trust Company, as warrant agent (incorporated by reference to Exhibit 4.1 filed on Silver Spike’s</w:t>
            </w:r>
          </w:p>
        </w:tc>
      </w:tr>
      <w:tr>
        <w:trPr>
          <w:trHeight w:val="234"/>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Current Report on Form 8-K, filed by the Company on August 12, 2019).</w:t>
            </w:r>
          </w:p>
        </w:tc>
      </w:tr>
      <w:tr>
        <w:trPr>
          <w:trHeight w:val="54"/>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580" w:type="dxa"/>
            <w:vAlign w:val="bottom"/>
          </w:tcPr>
          <w:p>
            <w:pPr>
              <w:spacing w:after="0"/>
              <w:rPr>
                <w:sz w:val="4"/>
                <w:szCs w:val="4"/>
                <w:color w:val="auto"/>
              </w:rPr>
            </w:pPr>
          </w:p>
        </w:tc>
      </w:tr>
      <w:tr>
        <w:trPr>
          <w:trHeight w:val="229"/>
        </w:trPr>
        <w:tc>
          <w:tcPr>
            <w:tcW w:w="300" w:type="dxa"/>
            <w:vAlign w:val="bottom"/>
            <w:gridSpan w:val="2"/>
            <w:shd w:val="clear" w:color="auto" w:fill="CCEEFF"/>
          </w:tcPr>
          <w:p>
            <w:pPr>
              <w:spacing w:after="0"/>
              <w:rPr>
                <w:rFonts w:ascii="Times New Roman" w:cs="Times New Roman" w:eastAsia="Times New Roman" w:hAnsi="Times New Roman"/>
                <w:sz w:val="18"/>
                <w:szCs w:val="18"/>
                <w:color w:val="0000EE"/>
              </w:rPr>
            </w:pPr>
            <w:hyperlink r:id="rId580">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4</w:t>
              </w:r>
            </w:hyperlink>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Description of Securities (incorporated by reference to Exhibit 4.5 to the Annual Report on Form 10-K</w:t>
            </w:r>
          </w:p>
        </w:tc>
      </w:tr>
      <w:tr>
        <w:trPr>
          <w:trHeight w:val="271"/>
        </w:trPr>
        <w:tc>
          <w:tcPr>
            <w:tcW w:w="22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filed on May 24, 2024).</w:t>
            </w:r>
          </w:p>
        </w:tc>
      </w:tr>
      <w:tr>
        <w:trPr>
          <w:trHeight w:val="229"/>
        </w:trPr>
        <w:tc>
          <w:tcPr>
            <w:tcW w:w="300" w:type="dxa"/>
            <w:vAlign w:val="bottom"/>
            <w:gridSpan w:val="2"/>
          </w:tcPr>
          <w:p>
            <w:pPr>
              <w:spacing w:after="0"/>
              <w:rPr>
                <w:rFonts w:ascii="Times New Roman" w:cs="Times New Roman" w:eastAsia="Times New Roman" w:hAnsi="Times New Roman"/>
                <w:sz w:val="18"/>
                <w:szCs w:val="18"/>
                <w:color w:val="0000EE"/>
              </w:rPr>
            </w:pPr>
            <w:hyperlink r:id="rId581">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hyperlink>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Opinion of Cooley LLP*</w:t>
            </w:r>
          </w:p>
        </w:tc>
      </w:tr>
      <w:tr>
        <w:trPr>
          <w:trHeight w:val="74"/>
        </w:trPr>
        <w:tc>
          <w:tcPr>
            <w:tcW w:w="2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580" w:type="dxa"/>
            <w:vAlign w:val="bottom"/>
          </w:tcPr>
          <w:p>
            <w:pPr>
              <w:spacing w:after="0"/>
              <w:rPr>
                <w:sz w:val="6"/>
                <w:szCs w:val="6"/>
                <w:color w:val="auto"/>
              </w:rPr>
            </w:pPr>
          </w:p>
        </w:tc>
      </w:tr>
      <w:tr>
        <w:trPr>
          <w:trHeight w:val="230"/>
        </w:trPr>
        <w:tc>
          <w:tcPr>
            <w:tcW w:w="320" w:type="dxa"/>
            <w:vAlign w:val="bottom"/>
            <w:gridSpan w:val="3"/>
            <w:shd w:val="clear" w:color="auto" w:fill="CCEEFF"/>
          </w:tcPr>
          <w:p>
            <w:pPr>
              <w:spacing w:after="0"/>
              <w:rPr>
                <w:rFonts w:ascii="Times New Roman" w:cs="Times New Roman" w:eastAsia="Times New Roman" w:hAnsi="Times New Roman"/>
                <w:sz w:val="18"/>
                <w:szCs w:val="18"/>
                <w:color w:val="0000EE"/>
                <w:w w:val="95"/>
              </w:rPr>
            </w:pPr>
            <w:hyperlink r:id="rId582">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hyperlink>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Exchange Agreement, dated as of June 16, 2021, by and among the Company, Silver Spike Sponsor and</w:t>
            </w: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the other parties thereto (incorporated by reference to Exhibit 10.1 to the Current Report on Form 8-K</w:t>
            </w:r>
          </w:p>
        </w:tc>
      </w:tr>
      <w:tr>
        <w:trPr>
          <w:trHeight w:val="268"/>
        </w:trPr>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filed on June 21, 2021).</w:t>
            </w:r>
          </w:p>
        </w:tc>
      </w:tr>
      <w:tr>
        <w:trPr>
          <w:trHeight w:val="230"/>
        </w:trPr>
        <w:tc>
          <w:tcPr>
            <w:tcW w:w="320" w:type="dxa"/>
            <w:vAlign w:val="bottom"/>
            <w:gridSpan w:val="3"/>
          </w:tcPr>
          <w:p>
            <w:pPr>
              <w:spacing w:after="0"/>
              <w:rPr>
                <w:rFonts w:ascii="Times New Roman" w:cs="Times New Roman" w:eastAsia="Times New Roman" w:hAnsi="Times New Roman"/>
                <w:sz w:val="18"/>
                <w:szCs w:val="18"/>
                <w:color w:val="0000EE"/>
                <w:w w:val="95"/>
              </w:rPr>
            </w:pPr>
            <w:hyperlink r:id="rId583">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hyperlink>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Tax Receivable Agreement, dated as of June 16, 2021, by and among the Company and the other parties</w:t>
            </w:r>
          </w:p>
        </w:tc>
      </w:tr>
      <w:tr>
        <w:trPr>
          <w:trHeight w:val="218"/>
        </w:trPr>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thereto (incorporated by reference to Exhibit 10.2 to the Current Report on Form 8-K filed on June 21,</w:t>
            </w:r>
          </w:p>
        </w:tc>
      </w:tr>
      <w:tr>
        <w:trPr>
          <w:trHeight w:val="234"/>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2021).</w:t>
            </w:r>
          </w:p>
        </w:tc>
      </w:tr>
      <w:tr>
        <w:trPr>
          <w:trHeight w:val="54"/>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580" w:type="dxa"/>
            <w:vAlign w:val="bottom"/>
          </w:tcPr>
          <w:p>
            <w:pPr>
              <w:spacing w:after="0"/>
              <w:rPr>
                <w:sz w:val="4"/>
                <w:szCs w:val="4"/>
                <w:color w:val="auto"/>
              </w:rPr>
            </w:pPr>
          </w:p>
        </w:tc>
      </w:tr>
      <w:tr>
        <w:trPr>
          <w:trHeight w:val="230"/>
        </w:trPr>
        <w:tc>
          <w:tcPr>
            <w:tcW w:w="320" w:type="dxa"/>
            <w:vAlign w:val="bottom"/>
            <w:gridSpan w:val="3"/>
            <w:shd w:val="clear" w:color="auto" w:fill="CCEEFF"/>
          </w:tcPr>
          <w:p>
            <w:pPr>
              <w:spacing w:after="0"/>
              <w:rPr>
                <w:rFonts w:ascii="Times New Roman" w:cs="Times New Roman" w:eastAsia="Times New Roman" w:hAnsi="Times New Roman"/>
                <w:sz w:val="18"/>
                <w:szCs w:val="18"/>
                <w:color w:val="0000EE"/>
                <w:w w:val="95"/>
              </w:rPr>
            </w:pPr>
            <w:hyperlink r:id="rId584">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3</w:t>
              </w:r>
            </w:hyperlink>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Fourth Amended and Restated Operating Agreement of WMH LLC (incorporated by reference to</w:t>
            </w:r>
          </w:p>
        </w:tc>
      </w:tr>
      <w:tr>
        <w:trPr>
          <w:trHeight w:val="270"/>
        </w:trPr>
        <w:tc>
          <w:tcPr>
            <w:tcW w:w="22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0000EE"/>
              <w:bottom w:val="single" w:sz="8" w:color="CCEEFF"/>
            </w:tcBorders>
            <w:shd w:val="clear" w:color="auto" w:fill="CCEEFF"/>
          </w:tcPr>
          <w:p>
            <w:pPr>
              <w:spacing w:after="0"/>
              <w:rPr>
                <w:sz w:val="23"/>
                <w:szCs w:val="23"/>
                <w:color w:val="auto"/>
              </w:rPr>
            </w:pPr>
          </w:p>
        </w:tc>
        <w:tc>
          <w:tcPr>
            <w:tcW w:w="20" w:type="dxa"/>
            <w:vAlign w:val="bottom"/>
            <w:tcBorders>
              <w:top w:val="single" w:sz="8" w:color="CCEEFF"/>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Exhibit 10.3 to the Current Report on Form 8-K filed on June 21, 2021).</w:t>
            </w:r>
          </w:p>
        </w:tc>
      </w:tr>
      <w:tr>
        <w:trPr>
          <w:trHeight w:val="230"/>
        </w:trPr>
        <w:tc>
          <w:tcPr>
            <w:tcW w:w="320" w:type="dxa"/>
            <w:vAlign w:val="bottom"/>
            <w:gridSpan w:val="3"/>
          </w:tcPr>
          <w:p>
            <w:pPr>
              <w:spacing w:after="0"/>
              <w:rPr>
                <w:rFonts w:ascii="Times New Roman" w:cs="Times New Roman" w:eastAsia="Times New Roman" w:hAnsi="Times New Roman"/>
                <w:sz w:val="18"/>
                <w:szCs w:val="18"/>
                <w:color w:val="0000EE"/>
                <w:w w:val="95"/>
              </w:rPr>
            </w:pPr>
            <w:hyperlink r:id="rId585">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4</w:t>
              </w:r>
            </w:hyperlink>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of Subscription Agreement (incorporated by reference to Exhibit 10.1 to the Current Report on</w:t>
            </w:r>
          </w:p>
        </w:tc>
      </w:tr>
      <w:tr>
        <w:trPr>
          <w:trHeight w:val="237"/>
        </w:trPr>
        <w:tc>
          <w:tcPr>
            <w:tcW w:w="2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8-K filed on December 10, 2020).</w:t>
            </w:r>
          </w:p>
        </w:tc>
      </w:tr>
      <w:tr>
        <w:trPr>
          <w:trHeight w:val="54"/>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580" w:type="dxa"/>
            <w:vAlign w:val="bottom"/>
          </w:tcPr>
          <w:p>
            <w:pPr>
              <w:spacing w:after="0"/>
              <w:rPr>
                <w:sz w:val="4"/>
                <w:szCs w:val="4"/>
                <w:color w:val="auto"/>
              </w:rPr>
            </w:pPr>
          </w:p>
        </w:tc>
      </w:tr>
      <w:tr>
        <w:trPr>
          <w:trHeight w:val="230"/>
        </w:trPr>
        <w:tc>
          <w:tcPr>
            <w:tcW w:w="320" w:type="dxa"/>
            <w:vAlign w:val="bottom"/>
            <w:gridSpan w:val="3"/>
            <w:shd w:val="clear" w:color="auto" w:fill="CCEEFF"/>
          </w:tcPr>
          <w:p>
            <w:pPr>
              <w:spacing w:after="0"/>
              <w:rPr>
                <w:rFonts w:ascii="Times New Roman" w:cs="Times New Roman" w:eastAsia="Times New Roman" w:hAnsi="Times New Roman"/>
                <w:sz w:val="18"/>
                <w:szCs w:val="18"/>
                <w:color w:val="0000EE"/>
                <w:w w:val="95"/>
              </w:rPr>
            </w:pPr>
            <w:hyperlink r:id="rId586">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5</w:t>
              </w:r>
            </w:hyperlink>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Amended and Restated Registration Rights Agreement, dated as of June 16, 2021, by and among the</w:t>
            </w: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Company, Silver Spike Sponsor and the other parties thereto (incorporated by reference to Exhibit 10.5</w:t>
            </w:r>
          </w:p>
        </w:tc>
      </w:tr>
      <w:tr>
        <w:trPr>
          <w:trHeight w:val="268"/>
        </w:trPr>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 the Current Report on Form 8-K filed on June 21, 2021).</w:t>
            </w:r>
          </w:p>
        </w:tc>
      </w:tr>
      <w:tr>
        <w:trPr>
          <w:trHeight w:val="230"/>
        </w:trPr>
        <w:tc>
          <w:tcPr>
            <w:tcW w:w="600" w:type="dxa"/>
            <w:vAlign w:val="bottom"/>
            <w:gridSpan w:val="5"/>
          </w:tcPr>
          <w:p>
            <w:pPr>
              <w:spacing w:after="0"/>
              <w:rPr>
                <w:rFonts w:ascii="Times New Roman" w:cs="Times New Roman" w:eastAsia="Times New Roman" w:hAnsi="Times New Roman"/>
                <w:sz w:val="18"/>
                <w:szCs w:val="18"/>
                <w:color w:val="0000EE"/>
              </w:rPr>
            </w:pPr>
            <w:hyperlink r:id="rId58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6#</w:t>
              </w:r>
            </w:hyperlink>
          </w:p>
        </w:tc>
        <w:tc>
          <w:tcPr>
            <w:tcW w:w="140" w:type="dxa"/>
            <w:vAlign w:val="bottom"/>
          </w:tcPr>
          <w:p>
            <w:pPr>
              <w:spacing w:after="0"/>
              <w:rPr>
                <w:sz w:val="19"/>
                <w:szCs w:val="19"/>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of Indemnification Agreement by and between the Company and its directors and officers</w:t>
            </w:r>
          </w:p>
        </w:tc>
      </w:tr>
      <w:tr>
        <w:trPr>
          <w:trHeight w:val="237"/>
        </w:trPr>
        <w:tc>
          <w:tcPr>
            <w:tcW w:w="2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(incorporated by reference to Exhibit 10.6 to the Current Report on Form 8-K filed on June 21, 2021).</w:t>
            </w:r>
          </w:p>
        </w:tc>
      </w:tr>
      <w:tr>
        <w:trPr>
          <w:trHeight w:val="54"/>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580" w:type="dxa"/>
            <w:vAlign w:val="bottom"/>
          </w:tcPr>
          <w:p>
            <w:pPr>
              <w:spacing w:after="0"/>
              <w:rPr>
                <w:sz w:val="4"/>
                <w:szCs w:val="4"/>
                <w:color w:val="auto"/>
              </w:rPr>
            </w:pPr>
          </w:p>
        </w:tc>
      </w:tr>
      <w:tr>
        <w:trPr>
          <w:trHeight w:val="230"/>
        </w:trPr>
        <w:tc>
          <w:tcPr>
            <w:tcW w:w="600" w:type="dxa"/>
            <w:vAlign w:val="bottom"/>
            <w:gridSpan w:val="5"/>
            <w:shd w:val="clear" w:color="auto" w:fill="CCEEFF"/>
          </w:tcPr>
          <w:p>
            <w:pPr>
              <w:spacing w:after="0"/>
              <w:rPr>
                <w:rFonts w:ascii="Times New Roman" w:cs="Times New Roman" w:eastAsia="Times New Roman" w:hAnsi="Times New Roman"/>
                <w:sz w:val="18"/>
                <w:szCs w:val="18"/>
                <w:color w:val="0000EE"/>
              </w:rPr>
            </w:pPr>
            <w:hyperlink r:id="rId58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w:t>
              </w:r>
            </w:hyperlink>
          </w:p>
        </w:tc>
        <w:tc>
          <w:tcPr>
            <w:tcW w:w="14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WM Technology, Inc. 2021 Equity Incentive Plan (incorporated by reference to Exhibit 10.7 to the</w:t>
            </w:r>
          </w:p>
        </w:tc>
      </w:tr>
      <w:tr>
        <w:trPr>
          <w:trHeight w:val="270"/>
        </w:trPr>
        <w:tc>
          <w:tcPr>
            <w:tcW w:w="22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0000EE"/>
              <w:bottom w:val="single" w:sz="8" w:color="CCEEFF"/>
            </w:tcBorders>
            <w:shd w:val="clear" w:color="auto" w:fill="CCEEFF"/>
          </w:tcPr>
          <w:p>
            <w:pPr>
              <w:spacing w:after="0"/>
              <w:rPr>
                <w:sz w:val="23"/>
                <w:szCs w:val="23"/>
                <w:color w:val="auto"/>
              </w:rPr>
            </w:pPr>
          </w:p>
        </w:tc>
        <w:tc>
          <w:tcPr>
            <w:tcW w:w="2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0000EE"/>
              <w:bottom w:val="single" w:sz="8" w:color="CCEEFF"/>
            </w:tcBorders>
            <w:shd w:val="clear" w:color="auto" w:fill="CCEEFF"/>
          </w:tcPr>
          <w:p>
            <w:pPr>
              <w:spacing w:after="0"/>
              <w:rPr>
                <w:sz w:val="23"/>
                <w:szCs w:val="23"/>
                <w:color w:val="auto"/>
              </w:rPr>
            </w:pPr>
          </w:p>
        </w:tc>
        <w:tc>
          <w:tcPr>
            <w:tcW w:w="2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Report on Form 8-K filed on June 21, 2021).</w:t>
            </w:r>
          </w:p>
        </w:tc>
      </w:tr>
      <w:tr>
        <w:trPr>
          <w:trHeight w:val="230"/>
        </w:trPr>
        <w:tc>
          <w:tcPr>
            <w:tcW w:w="740" w:type="dxa"/>
            <w:vAlign w:val="bottom"/>
            <w:gridSpan w:val="6"/>
          </w:tcPr>
          <w:p>
            <w:pPr>
              <w:spacing w:after="0"/>
              <w:rPr>
                <w:rFonts w:ascii="Times New Roman" w:cs="Times New Roman" w:eastAsia="Times New Roman" w:hAnsi="Times New Roman"/>
                <w:sz w:val="18"/>
                <w:szCs w:val="18"/>
                <w:color w:val="0000EE"/>
              </w:rPr>
            </w:pPr>
            <w:hyperlink r:id="rId58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7(a)#</w:t>
              </w:r>
            </w:hyperlink>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of Stock Option Grant Notice (incorporated by reference to Exhibit 10.7(a) to the Current Report</w:t>
            </w:r>
          </w:p>
        </w:tc>
      </w:tr>
      <w:tr>
        <w:trPr>
          <w:trHeight w:val="237"/>
        </w:trPr>
        <w:tc>
          <w:tcPr>
            <w:tcW w:w="2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4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on Form 8-K filed on June 21, 2021).</w:t>
            </w:r>
          </w:p>
        </w:tc>
      </w:tr>
      <w:tr>
        <w:trPr>
          <w:trHeight w:val="54"/>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580" w:type="dxa"/>
            <w:vAlign w:val="bottom"/>
          </w:tcPr>
          <w:p>
            <w:pPr>
              <w:spacing w:after="0"/>
              <w:rPr>
                <w:sz w:val="4"/>
                <w:szCs w:val="4"/>
                <w:color w:val="auto"/>
              </w:rPr>
            </w:pPr>
          </w:p>
        </w:tc>
      </w:tr>
      <w:tr>
        <w:trPr>
          <w:trHeight w:val="230"/>
        </w:trPr>
        <w:tc>
          <w:tcPr>
            <w:tcW w:w="740" w:type="dxa"/>
            <w:vAlign w:val="bottom"/>
            <w:gridSpan w:val="6"/>
            <w:shd w:val="clear" w:color="auto" w:fill="CCEEFF"/>
          </w:tcPr>
          <w:p>
            <w:pPr>
              <w:spacing w:after="0"/>
              <w:rPr>
                <w:rFonts w:ascii="Times New Roman" w:cs="Times New Roman" w:eastAsia="Times New Roman" w:hAnsi="Times New Roman"/>
                <w:sz w:val="18"/>
                <w:szCs w:val="18"/>
                <w:color w:val="0000EE"/>
              </w:rPr>
            </w:pPr>
            <w:hyperlink r:id="rId59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7(b)#</w:t>
              </w:r>
            </w:hyperlink>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Form of RSU Award Grant Notice (incorporated by reference to Exhibit 10.7(b) to the Current Report on</w:t>
            </w:r>
          </w:p>
        </w:tc>
      </w:tr>
      <w:tr>
        <w:trPr>
          <w:trHeight w:val="270"/>
        </w:trPr>
        <w:tc>
          <w:tcPr>
            <w:tcW w:w="22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0000EE"/>
              <w:bottom w:val="single" w:sz="8" w:color="CCEEFF"/>
            </w:tcBorders>
            <w:shd w:val="clear" w:color="auto" w:fill="CCEEFF"/>
          </w:tcPr>
          <w:p>
            <w:pPr>
              <w:spacing w:after="0"/>
              <w:rPr>
                <w:sz w:val="23"/>
                <w:szCs w:val="23"/>
                <w:color w:val="auto"/>
              </w:rPr>
            </w:pPr>
          </w:p>
        </w:tc>
        <w:tc>
          <w:tcPr>
            <w:tcW w:w="2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0000EE"/>
              <w:bottom w:val="single" w:sz="8" w:color="CCEEFF"/>
            </w:tcBorders>
            <w:shd w:val="clear" w:color="auto" w:fill="CCEEFF"/>
          </w:tcPr>
          <w:p>
            <w:pPr>
              <w:spacing w:after="0"/>
              <w:rPr>
                <w:sz w:val="23"/>
                <w:szCs w:val="23"/>
                <w:color w:val="auto"/>
              </w:rPr>
            </w:pPr>
          </w:p>
        </w:tc>
        <w:tc>
          <w:tcPr>
            <w:tcW w:w="200" w:type="dxa"/>
            <w:vAlign w:val="bottom"/>
            <w:tcBorders>
              <w:top w:val="single" w:sz="8" w:color="0000EE"/>
              <w:bottom w:val="single" w:sz="8" w:color="CCEEFF"/>
            </w:tcBorders>
            <w:shd w:val="clear" w:color="auto" w:fill="CCEEFF"/>
          </w:tcPr>
          <w:p>
            <w:pPr>
              <w:spacing w:after="0"/>
              <w:rPr>
                <w:sz w:val="23"/>
                <w:szCs w:val="23"/>
                <w:color w:val="auto"/>
              </w:rPr>
            </w:pP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Form 8-K filed on June 21, 2021).</w:t>
            </w:r>
          </w:p>
        </w:tc>
      </w:tr>
      <w:tr>
        <w:trPr>
          <w:trHeight w:val="230"/>
        </w:trPr>
        <w:tc>
          <w:tcPr>
            <w:tcW w:w="600" w:type="dxa"/>
            <w:vAlign w:val="bottom"/>
            <w:gridSpan w:val="5"/>
          </w:tcPr>
          <w:p>
            <w:pPr>
              <w:spacing w:after="0"/>
              <w:rPr>
                <w:rFonts w:ascii="Times New Roman" w:cs="Times New Roman" w:eastAsia="Times New Roman" w:hAnsi="Times New Roman"/>
                <w:sz w:val="18"/>
                <w:szCs w:val="18"/>
                <w:color w:val="0000EE"/>
              </w:rPr>
            </w:pPr>
            <w:hyperlink r:id="rId59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8#</w:t>
              </w:r>
            </w:hyperlink>
          </w:p>
        </w:tc>
        <w:tc>
          <w:tcPr>
            <w:tcW w:w="140" w:type="dxa"/>
            <w:vAlign w:val="bottom"/>
          </w:tcPr>
          <w:p>
            <w:pPr>
              <w:spacing w:after="0"/>
              <w:rPr>
                <w:sz w:val="19"/>
                <w:szCs w:val="19"/>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WM Technology, Inc. 2021 Employee Stock Purchase Plan (incorporated by reference to Exhibit 10.8 to</w:t>
            </w:r>
          </w:p>
        </w:tc>
      </w:tr>
      <w:tr>
        <w:trPr>
          <w:trHeight w:val="236"/>
        </w:trPr>
        <w:tc>
          <w:tcPr>
            <w:tcW w:w="2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Current Report on Form 8-K filed on June 21, 2021).</w:t>
            </w:r>
          </w:p>
        </w:tc>
      </w:tr>
      <w:tr>
        <w:trPr>
          <w:trHeight w:val="54"/>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580" w:type="dxa"/>
            <w:vAlign w:val="bottom"/>
          </w:tcPr>
          <w:p>
            <w:pPr>
              <w:spacing w:after="0"/>
              <w:rPr>
                <w:sz w:val="4"/>
                <w:szCs w:val="4"/>
                <w:color w:val="auto"/>
              </w:rPr>
            </w:pPr>
          </w:p>
        </w:tc>
      </w:tr>
      <w:tr>
        <w:trPr>
          <w:trHeight w:val="229"/>
        </w:trPr>
        <w:tc>
          <w:tcPr>
            <w:tcW w:w="320" w:type="dxa"/>
            <w:vAlign w:val="bottom"/>
            <w:gridSpan w:val="3"/>
            <w:shd w:val="clear" w:color="auto" w:fill="CCEEFF"/>
          </w:tcPr>
          <w:p>
            <w:pPr>
              <w:spacing w:after="0"/>
              <w:rPr>
                <w:rFonts w:ascii="Times New Roman" w:cs="Times New Roman" w:eastAsia="Times New Roman" w:hAnsi="Times New Roman"/>
                <w:sz w:val="18"/>
                <w:szCs w:val="18"/>
                <w:color w:val="0000EE"/>
                <w:w w:val="95"/>
              </w:rPr>
            </w:pPr>
            <w:hyperlink r:id="rId592">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9</w:t>
              </w:r>
            </w:hyperlink>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Lease by and between the Irvine Company LLC and Ghost Media Group, LLC, dated November 11,</w:t>
            </w: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2013, as amended (incorporated by reference to Exhibit 10.12 to the Current Report on Form 8-K filed</w:t>
            </w:r>
          </w:p>
        </w:tc>
      </w:tr>
      <w:tr>
        <w:trPr>
          <w:trHeight w:val="268"/>
        </w:trPr>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on June 21, 2021).</w:t>
            </w:r>
          </w:p>
        </w:tc>
      </w:tr>
      <w:tr>
        <w:trPr>
          <w:trHeight w:val="230"/>
        </w:trPr>
        <w:tc>
          <w:tcPr>
            <w:tcW w:w="600" w:type="dxa"/>
            <w:vAlign w:val="bottom"/>
            <w:gridSpan w:val="5"/>
          </w:tcPr>
          <w:p>
            <w:pPr>
              <w:spacing w:after="0"/>
              <w:rPr>
                <w:rFonts w:ascii="Times New Roman" w:cs="Times New Roman" w:eastAsia="Times New Roman" w:hAnsi="Times New Roman"/>
                <w:sz w:val="18"/>
                <w:szCs w:val="18"/>
                <w:color w:val="0000EE"/>
              </w:rPr>
            </w:pPr>
            <w:hyperlink r:id="rId59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10</w:t>
              </w:r>
            </w:hyperlink>
          </w:p>
        </w:tc>
        <w:tc>
          <w:tcPr>
            <w:tcW w:w="140" w:type="dxa"/>
            <w:vAlign w:val="bottom"/>
          </w:tcPr>
          <w:p>
            <w:pPr>
              <w:spacing w:after="0"/>
              <w:rPr>
                <w:sz w:val="19"/>
                <w:szCs w:val="19"/>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First Amendment to Lease and Consent to Assignment by and between Discovery Business Center LLC,</w:t>
            </w:r>
          </w:p>
        </w:tc>
      </w:tr>
      <w:tr>
        <w:trPr>
          <w:trHeight w:val="218"/>
        </w:trPr>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 successor-in-interest to the Irvine Company LLC, and Ghost Management Group, LLC, as successor-</w:t>
            </w: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in-interest to Ghost Media Group, LLC, dated January 27, 2016 (incorporated by reference to</w:t>
            </w:r>
          </w:p>
        </w:tc>
      </w:tr>
      <w:tr>
        <w:trPr>
          <w:trHeight w:val="234"/>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Exhibit 10.13 to the Current Report on Form 8-K filed on June 21, 2021).</w:t>
            </w:r>
          </w:p>
        </w:tc>
      </w:tr>
      <w:tr>
        <w:trPr>
          <w:trHeight w:val="54"/>
        </w:trPr>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580" w:type="dxa"/>
            <w:vAlign w:val="bottom"/>
          </w:tcPr>
          <w:p>
            <w:pPr>
              <w:spacing w:after="0"/>
              <w:rPr>
                <w:sz w:val="4"/>
                <w:szCs w:val="4"/>
                <w:color w:val="auto"/>
              </w:rPr>
            </w:pPr>
          </w:p>
        </w:tc>
      </w:tr>
      <w:tr>
        <w:trPr>
          <w:trHeight w:val="230"/>
        </w:trPr>
        <w:tc>
          <w:tcPr>
            <w:tcW w:w="400" w:type="dxa"/>
            <w:vAlign w:val="bottom"/>
            <w:tcBorders>
              <w:bottom w:val="single" w:sz="8" w:color="0000EE"/>
            </w:tcBorders>
            <w:gridSpan w:val="4"/>
            <w:shd w:val="clear" w:color="auto" w:fill="CCEEFF"/>
          </w:tcPr>
          <w:p>
            <w:pPr>
              <w:spacing w:after="0"/>
              <w:rPr>
                <w:rFonts w:ascii="Times New Roman" w:cs="Times New Roman" w:eastAsia="Times New Roman" w:hAnsi="Times New Roman"/>
                <w:sz w:val="18"/>
                <w:szCs w:val="18"/>
                <w:color w:val="0000EE"/>
                <w:w w:val="93"/>
              </w:rPr>
            </w:pPr>
            <w:hyperlink r:id="rId594">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11</w:t>
              </w:r>
            </w:hyperlink>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Second Amendment to Lease, by and between Discovery Business Center LLC and Ghost Management</w:t>
            </w:r>
          </w:p>
        </w:tc>
      </w:tr>
      <w:tr>
        <w:trPr>
          <w:trHeight w:val="218"/>
        </w:trPr>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Group, LLC, dated April 7, 2017 (incorporated by reference to Exhibit 10.14 to the Current Report on</w:t>
            </w:r>
          </w:p>
        </w:tc>
      </w:tr>
      <w:tr>
        <w:trPr>
          <w:trHeight w:val="234"/>
        </w:trPr>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Form 8-K filed on June 21, 2021).</w:t>
            </w:r>
          </w:p>
        </w:tc>
      </w:tr>
      <w:tr>
        <w:trPr>
          <w:trHeight w:val="54"/>
        </w:trPr>
        <w:tc>
          <w:tcPr>
            <w:tcW w:w="2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580" w:type="dxa"/>
            <w:vAlign w:val="bottom"/>
            <w:shd w:val="clear" w:color="auto" w:fill="CCEEFF"/>
          </w:tcPr>
          <w:p>
            <w:pPr>
              <w:spacing w:after="0"/>
              <w:rPr>
                <w:sz w:val="4"/>
                <w:szCs w:val="4"/>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0" w:name="page211"/>
    <w:bookmarkEnd w:id="2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6"/>
                <w:szCs w:val="16"/>
                <w:color w:val="auto"/>
              </w:rPr>
            </w:pPr>
          </w:p>
        </w:tc>
        <w:tc>
          <w:tcPr>
            <w:tcW w:w="7580" w:type="dxa"/>
            <w:vAlign w:val="bottom"/>
          </w:tcPr>
          <w:p>
            <w:pPr>
              <w:ind w:left="34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50"/>
        </w:trPr>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580" w:type="dxa"/>
            <w:vAlign w:val="bottom"/>
            <w:tcBorders>
              <w:bottom w:val="single" w:sz="8" w:color="auto"/>
            </w:tcBorders>
          </w:tcPr>
          <w:p>
            <w:pPr>
              <w:spacing w:after="0"/>
              <w:rPr>
                <w:sz w:val="4"/>
                <w:szCs w:val="4"/>
                <w:color w:val="auto"/>
              </w:rPr>
            </w:pPr>
          </w:p>
        </w:tc>
      </w:tr>
      <w:tr>
        <w:trPr>
          <w:trHeight w:val="237"/>
        </w:trPr>
        <w:tc>
          <w:tcPr>
            <w:tcW w:w="480" w:type="dxa"/>
            <w:vAlign w:val="bottom"/>
            <w:gridSpan w:val="3"/>
            <w:shd w:val="clear" w:color="auto" w:fill="CCEEFF"/>
          </w:tcPr>
          <w:p>
            <w:pPr>
              <w:spacing w:after="0"/>
              <w:rPr>
                <w:rFonts w:ascii="Times New Roman" w:cs="Times New Roman" w:eastAsia="Times New Roman" w:hAnsi="Times New Roman"/>
                <w:sz w:val="18"/>
                <w:szCs w:val="18"/>
                <w:color w:val="0000EE"/>
              </w:rPr>
            </w:pPr>
            <w:hyperlink r:id="rId59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12</w:t>
              </w:r>
            </w:hyperlink>
          </w:p>
        </w:tc>
        <w:tc>
          <w:tcPr>
            <w:tcW w:w="260" w:type="dxa"/>
            <w:vAlign w:val="bottom"/>
            <w:shd w:val="clear" w:color="auto" w:fill="CCEEFF"/>
          </w:tcPr>
          <w:p>
            <w:pPr>
              <w:spacing w:after="0"/>
              <w:rPr>
                <w:sz w:val="20"/>
                <w:szCs w:val="20"/>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Third Amendment to Lease, by and between Discovery Business Center LLC and Ghost Management</w:t>
            </w:r>
          </w:p>
        </w:tc>
      </w:tr>
      <w:tr>
        <w:trPr>
          <w:trHeight w:val="218"/>
        </w:trPr>
        <w:tc>
          <w:tcPr>
            <w:tcW w:w="30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Group, LLC, dated December 29, 2017 (incorporated by reference to Exhibit 10.15 to the Current Report</w:t>
            </w:r>
          </w:p>
        </w:tc>
      </w:tr>
      <w:tr>
        <w:trPr>
          <w:trHeight w:val="268"/>
        </w:trPr>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on Form 8-K filed on June 21, 2021).</w:t>
            </w:r>
          </w:p>
        </w:tc>
      </w:tr>
      <w:tr>
        <w:trPr>
          <w:trHeight w:val="229"/>
        </w:trPr>
        <w:tc>
          <w:tcPr>
            <w:tcW w:w="480" w:type="dxa"/>
            <w:vAlign w:val="bottom"/>
            <w:gridSpan w:val="3"/>
          </w:tcPr>
          <w:p>
            <w:pPr>
              <w:spacing w:after="0"/>
              <w:rPr>
                <w:rFonts w:ascii="Times New Roman" w:cs="Times New Roman" w:eastAsia="Times New Roman" w:hAnsi="Times New Roman"/>
                <w:sz w:val="18"/>
                <w:szCs w:val="18"/>
                <w:color w:val="0000EE"/>
              </w:rPr>
            </w:pPr>
            <w:hyperlink r:id="rId59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13</w:t>
              </w:r>
            </w:hyperlink>
          </w:p>
        </w:tc>
        <w:tc>
          <w:tcPr>
            <w:tcW w:w="260" w:type="dxa"/>
            <w:vAlign w:val="bottom"/>
          </w:tcPr>
          <w:p>
            <w:pPr>
              <w:spacing w:after="0"/>
              <w:rPr>
                <w:sz w:val="19"/>
                <w:szCs w:val="19"/>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Fourth Amendment to Lease, by and between Discovery Business Center LLC and Ghost Management</w:t>
            </w:r>
          </w:p>
        </w:tc>
      </w:tr>
      <w:tr>
        <w:trPr>
          <w:trHeight w:val="218"/>
        </w:trPr>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Group, LLC, dated May 3, 2018 (incorporated by reference to Exhibit 10.16 to the Current Report on</w:t>
            </w:r>
          </w:p>
        </w:tc>
      </w:tr>
      <w:tr>
        <w:trPr>
          <w:trHeight w:val="234"/>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8-K filed on June 21, 2021).</w:t>
            </w:r>
          </w:p>
        </w:tc>
      </w:tr>
      <w:tr>
        <w:trPr>
          <w:trHeight w:val="54"/>
        </w:trPr>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580" w:type="dxa"/>
            <w:vAlign w:val="bottom"/>
          </w:tcPr>
          <w:p>
            <w:pPr>
              <w:spacing w:after="0"/>
              <w:rPr>
                <w:sz w:val="4"/>
                <w:szCs w:val="4"/>
                <w:color w:val="auto"/>
              </w:rPr>
            </w:pPr>
          </w:p>
        </w:tc>
      </w:tr>
      <w:tr>
        <w:trPr>
          <w:trHeight w:val="229"/>
        </w:trPr>
        <w:tc>
          <w:tcPr>
            <w:tcW w:w="480" w:type="dxa"/>
            <w:vAlign w:val="bottom"/>
            <w:gridSpan w:val="3"/>
            <w:shd w:val="clear" w:color="auto" w:fill="CCEEFF"/>
          </w:tcPr>
          <w:p>
            <w:pPr>
              <w:spacing w:after="0"/>
              <w:rPr>
                <w:rFonts w:ascii="Times New Roman" w:cs="Times New Roman" w:eastAsia="Times New Roman" w:hAnsi="Times New Roman"/>
                <w:sz w:val="18"/>
                <w:szCs w:val="18"/>
                <w:color w:val="0000EE"/>
              </w:rPr>
            </w:pPr>
            <w:hyperlink r:id="rId59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14</w:t>
              </w:r>
            </w:hyperlink>
          </w:p>
        </w:tc>
        <w:tc>
          <w:tcPr>
            <w:tcW w:w="26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WM Technology, Inc. Non-Employee Director Compensation Policy (incorporated by reference to</w:t>
            </w:r>
          </w:p>
        </w:tc>
      </w:tr>
      <w:tr>
        <w:trPr>
          <w:trHeight w:val="271"/>
        </w:trPr>
        <w:tc>
          <w:tcPr>
            <w:tcW w:w="300" w:type="dxa"/>
            <w:vAlign w:val="bottom"/>
            <w:tcBorders>
              <w:top w:val="single" w:sz="8" w:color="0000EE"/>
              <w:bottom w:val="single" w:sz="8" w:color="CCEEFF"/>
            </w:tcBorders>
            <w:shd w:val="clear" w:color="auto" w:fill="CCEEFF"/>
          </w:tcPr>
          <w:p>
            <w:pPr>
              <w:spacing w:after="0"/>
              <w:rPr>
                <w:sz w:val="23"/>
                <w:szCs w:val="23"/>
                <w:color w:val="auto"/>
              </w:rPr>
            </w:pPr>
          </w:p>
        </w:tc>
        <w:tc>
          <w:tcPr>
            <w:tcW w:w="10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Exhibit 10.1 to the Quarterly Report on Form 10-Q filed on November 12, 2021).</w:t>
            </w:r>
          </w:p>
        </w:tc>
      </w:tr>
      <w:tr>
        <w:trPr>
          <w:trHeight w:val="229"/>
        </w:trPr>
        <w:tc>
          <w:tcPr>
            <w:tcW w:w="740" w:type="dxa"/>
            <w:vAlign w:val="bottom"/>
            <w:gridSpan w:val="4"/>
          </w:tcPr>
          <w:p>
            <w:pPr>
              <w:spacing w:after="0"/>
              <w:rPr>
                <w:rFonts w:ascii="Times New Roman" w:cs="Times New Roman" w:eastAsia="Times New Roman" w:hAnsi="Times New Roman"/>
                <w:sz w:val="18"/>
                <w:szCs w:val="18"/>
                <w:color w:val="0000EE"/>
              </w:rPr>
            </w:pPr>
            <w:hyperlink r:id="rId59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15#</w:t>
              </w:r>
            </w:hyperlink>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Amended and Restated WM Technology, Inc. Non-Employee Director Compensation Policy</w:t>
            </w:r>
          </w:p>
        </w:tc>
      </w:tr>
      <w:tr>
        <w:trPr>
          <w:trHeight w:val="237"/>
        </w:trPr>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(incorporated by reference to Exhibit 10.2 to the Current Report on Form 8-K filed on October 6, 2023).</w:t>
            </w:r>
          </w:p>
        </w:tc>
      </w:tr>
      <w:tr>
        <w:trPr>
          <w:trHeight w:val="54"/>
        </w:trPr>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580" w:type="dxa"/>
            <w:vAlign w:val="bottom"/>
          </w:tcPr>
          <w:p>
            <w:pPr>
              <w:spacing w:after="0"/>
              <w:rPr>
                <w:sz w:val="4"/>
                <w:szCs w:val="4"/>
                <w:color w:val="auto"/>
              </w:rPr>
            </w:pPr>
          </w:p>
        </w:tc>
      </w:tr>
      <w:tr>
        <w:trPr>
          <w:trHeight w:val="229"/>
        </w:trPr>
        <w:tc>
          <w:tcPr>
            <w:tcW w:w="740" w:type="dxa"/>
            <w:vAlign w:val="bottom"/>
            <w:gridSpan w:val="4"/>
            <w:shd w:val="clear" w:color="auto" w:fill="CCEEFF"/>
          </w:tcPr>
          <w:p>
            <w:pPr>
              <w:spacing w:after="0"/>
              <w:rPr>
                <w:rFonts w:ascii="Times New Roman" w:cs="Times New Roman" w:eastAsia="Times New Roman" w:hAnsi="Times New Roman"/>
                <w:sz w:val="18"/>
                <w:szCs w:val="18"/>
                <w:color w:val="0000EE"/>
              </w:rPr>
            </w:pPr>
            <w:hyperlink r:id="rId60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16#</w:t>
              </w:r>
            </w:hyperlink>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Offer letter by and between Ghost Management Group, LLC and Duncan Grazier, dated August 23,</w:t>
            </w:r>
          </w:p>
        </w:tc>
      </w:tr>
      <w:tr>
        <w:trPr>
          <w:trHeight w:val="218"/>
        </w:trPr>
        <w:tc>
          <w:tcPr>
            <w:tcW w:w="30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2019 (incorporated by reference to Exhibit 10.17 to the Annual Report on Form 10-K filed on May 24,</w:t>
            </w:r>
          </w:p>
        </w:tc>
      </w:tr>
      <w:tr>
        <w:trPr>
          <w:trHeight w:val="268"/>
        </w:trPr>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2024).</w:t>
            </w:r>
          </w:p>
        </w:tc>
      </w:tr>
      <w:tr>
        <w:trPr>
          <w:trHeight w:val="229"/>
        </w:trPr>
        <w:tc>
          <w:tcPr>
            <w:tcW w:w="740" w:type="dxa"/>
            <w:vAlign w:val="bottom"/>
            <w:gridSpan w:val="4"/>
          </w:tcPr>
          <w:p>
            <w:pPr>
              <w:spacing w:after="0"/>
              <w:rPr>
                <w:rFonts w:ascii="Times New Roman" w:cs="Times New Roman" w:eastAsia="Times New Roman" w:hAnsi="Times New Roman"/>
                <w:sz w:val="18"/>
                <w:szCs w:val="18"/>
                <w:color w:val="0000EE"/>
              </w:rPr>
            </w:pPr>
            <w:hyperlink r:id="rId60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17#</w:t>
              </w:r>
            </w:hyperlink>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Retention Agreement, effective October 2, 2023, by and between the Company and Duncan Grazier</w:t>
            </w:r>
          </w:p>
        </w:tc>
      </w:tr>
      <w:tr>
        <w:trPr>
          <w:trHeight w:val="237"/>
        </w:trPr>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(incorporated by reference to Exhibit 10.1 to the Current Report on Form 8-K filed on October 6, 2023).</w:t>
            </w:r>
          </w:p>
        </w:tc>
      </w:tr>
      <w:tr>
        <w:trPr>
          <w:trHeight w:val="54"/>
        </w:trPr>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580" w:type="dxa"/>
            <w:vAlign w:val="bottom"/>
          </w:tcPr>
          <w:p>
            <w:pPr>
              <w:spacing w:after="0"/>
              <w:rPr>
                <w:sz w:val="4"/>
                <w:szCs w:val="4"/>
                <w:color w:val="auto"/>
              </w:rPr>
            </w:pPr>
          </w:p>
        </w:tc>
      </w:tr>
      <w:tr>
        <w:trPr>
          <w:trHeight w:val="229"/>
        </w:trPr>
        <w:tc>
          <w:tcPr>
            <w:tcW w:w="740" w:type="dxa"/>
            <w:vAlign w:val="bottom"/>
            <w:gridSpan w:val="4"/>
            <w:shd w:val="clear" w:color="auto" w:fill="CCEEFF"/>
          </w:tcPr>
          <w:p>
            <w:pPr>
              <w:spacing w:after="0"/>
              <w:rPr>
                <w:rFonts w:ascii="Times New Roman" w:cs="Times New Roman" w:eastAsia="Times New Roman" w:hAnsi="Times New Roman"/>
                <w:sz w:val="18"/>
                <w:szCs w:val="18"/>
                <w:color w:val="0000EE"/>
              </w:rPr>
            </w:pPr>
            <w:hyperlink r:id="rId60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18#</w:t>
              </w:r>
            </w:hyperlink>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Employment Agreement, dated August 15, 2023, by and between the Company and Douglas Francis</w:t>
            </w:r>
          </w:p>
        </w:tc>
      </w:tr>
      <w:tr>
        <w:trPr>
          <w:trHeight w:val="271"/>
        </w:trPr>
        <w:tc>
          <w:tcPr>
            <w:tcW w:w="300" w:type="dxa"/>
            <w:vAlign w:val="bottom"/>
            <w:tcBorders>
              <w:top w:val="single" w:sz="8" w:color="0000EE"/>
              <w:bottom w:val="single" w:sz="8" w:color="CCEEFF"/>
            </w:tcBorders>
            <w:shd w:val="clear" w:color="auto" w:fill="CCEEFF"/>
          </w:tcPr>
          <w:p>
            <w:pPr>
              <w:spacing w:after="0"/>
              <w:rPr>
                <w:sz w:val="23"/>
                <w:szCs w:val="23"/>
                <w:color w:val="auto"/>
              </w:rPr>
            </w:pPr>
          </w:p>
        </w:tc>
        <w:tc>
          <w:tcPr>
            <w:tcW w:w="100" w:type="dxa"/>
            <w:vAlign w:val="bottom"/>
            <w:tcBorders>
              <w:top w:val="single" w:sz="8" w:color="0000EE"/>
              <w:bottom w:val="single" w:sz="8" w:color="CCEEFF"/>
            </w:tcBorders>
            <w:shd w:val="clear" w:color="auto" w:fill="CCEEFF"/>
          </w:tcPr>
          <w:p>
            <w:pPr>
              <w:spacing w:after="0"/>
              <w:rPr>
                <w:sz w:val="23"/>
                <w:szCs w:val="23"/>
                <w:color w:val="auto"/>
              </w:rPr>
            </w:pPr>
          </w:p>
        </w:tc>
        <w:tc>
          <w:tcPr>
            <w:tcW w:w="80" w:type="dxa"/>
            <w:vAlign w:val="bottom"/>
            <w:tcBorders>
              <w:top w:val="single" w:sz="8" w:color="0000EE"/>
              <w:bottom w:val="single" w:sz="8" w:color="CCEEFF"/>
            </w:tcBorders>
            <w:shd w:val="clear" w:color="auto" w:fill="CCEEFF"/>
          </w:tcPr>
          <w:p>
            <w:pPr>
              <w:spacing w:after="0"/>
              <w:rPr>
                <w:sz w:val="23"/>
                <w:szCs w:val="23"/>
                <w:color w:val="auto"/>
              </w:rPr>
            </w:pPr>
          </w:p>
        </w:tc>
        <w:tc>
          <w:tcPr>
            <w:tcW w:w="260" w:type="dxa"/>
            <w:vAlign w:val="bottom"/>
            <w:tcBorders>
              <w:top w:val="single" w:sz="8" w:color="CCEEFF"/>
              <w:bottom w:val="single" w:sz="8" w:color="CCEEFF"/>
            </w:tcBorders>
            <w:shd w:val="clear" w:color="auto" w:fill="CCEEFF"/>
          </w:tcPr>
          <w:p>
            <w:pPr>
              <w:spacing w:after="0"/>
              <w:rPr>
                <w:sz w:val="23"/>
                <w:szCs w:val="23"/>
                <w:color w:val="auto"/>
              </w:rPr>
            </w:pPr>
          </w:p>
        </w:tc>
        <w:tc>
          <w:tcPr>
            <w:tcW w:w="768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(incorporated by reference to Exhibit 10.1 to the Current Report on Form 8-K filed on October 6, 2023).</w:t>
            </w:r>
          </w:p>
        </w:tc>
      </w:tr>
      <w:tr>
        <w:trPr>
          <w:trHeight w:val="229"/>
        </w:trPr>
        <w:tc>
          <w:tcPr>
            <w:tcW w:w="740" w:type="dxa"/>
            <w:vAlign w:val="bottom"/>
            <w:gridSpan w:val="4"/>
          </w:tcPr>
          <w:p>
            <w:pPr>
              <w:spacing w:after="0"/>
              <w:rPr>
                <w:rFonts w:ascii="Times New Roman" w:cs="Times New Roman" w:eastAsia="Times New Roman" w:hAnsi="Times New Roman"/>
                <w:sz w:val="18"/>
                <w:szCs w:val="18"/>
                <w:color w:val="0000EE"/>
              </w:rPr>
            </w:pPr>
            <w:hyperlink r:id="rId60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19#</w:t>
              </w:r>
            </w:hyperlink>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Employment Agreement, dated April 4, 2019, by and between the Company and Brian Camire</w:t>
            </w:r>
          </w:p>
        </w:tc>
      </w:tr>
      <w:tr>
        <w:trPr>
          <w:trHeight w:val="237"/>
        </w:trPr>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(incorporated by reference to Exhibit 10.20 to the Annual Report on Form 10-K filed on May 24, 2024).</w:t>
            </w:r>
          </w:p>
        </w:tc>
      </w:tr>
      <w:tr>
        <w:trPr>
          <w:trHeight w:val="54"/>
        </w:trPr>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580" w:type="dxa"/>
            <w:vAlign w:val="bottom"/>
          </w:tcPr>
          <w:p>
            <w:pPr>
              <w:spacing w:after="0"/>
              <w:rPr>
                <w:sz w:val="4"/>
                <w:szCs w:val="4"/>
                <w:color w:val="auto"/>
              </w:rPr>
            </w:pPr>
          </w:p>
        </w:tc>
      </w:tr>
      <w:tr>
        <w:trPr>
          <w:trHeight w:val="229"/>
        </w:trPr>
        <w:tc>
          <w:tcPr>
            <w:tcW w:w="740" w:type="dxa"/>
            <w:vAlign w:val="bottom"/>
            <w:gridSpan w:val="4"/>
            <w:shd w:val="clear" w:color="auto" w:fill="CCEEFF"/>
          </w:tcPr>
          <w:p>
            <w:pPr>
              <w:spacing w:after="0"/>
              <w:rPr>
                <w:rFonts w:ascii="Times New Roman" w:cs="Times New Roman" w:eastAsia="Times New Roman" w:hAnsi="Times New Roman"/>
                <w:sz w:val="18"/>
                <w:szCs w:val="18"/>
                <w:color w:val="0000EE"/>
              </w:rPr>
            </w:pPr>
            <w:hyperlink r:id="rId60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20#</w:t>
              </w:r>
            </w:hyperlink>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Executive Services Agreement, dated July 16, 2023, by and between SeatonHill Partners, L.P. and WM</w:t>
            </w:r>
          </w:p>
        </w:tc>
      </w:tr>
      <w:tr>
        <w:trPr>
          <w:trHeight w:val="218"/>
        </w:trPr>
        <w:tc>
          <w:tcPr>
            <w:tcW w:w="30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Technology Inc. (incorporated herein by reference to Exhibit 10.1 to the Current Report on Form 8-K</w:t>
            </w:r>
          </w:p>
        </w:tc>
      </w:tr>
      <w:tr>
        <w:trPr>
          <w:trHeight w:val="268"/>
        </w:trPr>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filed by WM Technology, Inc. on July 20, 2023).</w:t>
            </w:r>
          </w:p>
        </w:tc>
      </w:tr>
      <w:tr>
        <w:trPr>
          <w:trHeight w:val="230"/>
        </w:trPr>
        <w:tc>
          <w:tcPr>
            <w:tcW w:w="740" w:type="dxa"/>
            <w:vAlign w:val="bottom"/>
            <w:gridSpan w:val="4"/>
          </w:tcPr>
          <w:p>
            <w:pPr>
              <w:spacing w:after="0"/>
              <w:rPr>
                <w:rFonts w:ascii="Times New Roman" w:cs="Times New Roman" w:eastAsia="Times New Roman" w:hAnsi="Times New Roman"/>
                <w:sz w:val="18"/>
                <w:szCs w:val="18"/>
                <w:color w:val="0000EE"/>
              </w:rPr>
            </w:pPr>
            <w:hyperlink r:id="rId60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21#</w:t>
              </w:r>
            </w:hyperlink>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Separation and Release Agreement, by and between Randa McMinn and WM Technology, Inc, dated</w:t>
            </w:r>
          </w:p>
        </w:tc>
      </w:tr>
      <w:tr>
        <w:trPr>
          <w:trHeight w:val="218"/>
        </w:trPr>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60" w:type="dxa"/>
            <w:vAlign w:val="bottom"/>
          </w:tcPr>
          <w:p>
            <w:pPr>
              <w:spacing w:after="0"/>
              <w:rPr>
                <w:sz w:val="18"/>
                <w:szCs w:val="18"/>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October 18, 2023 (incorporated herein by reference to Exhibit 10.5# to the Quarterly Report on</w:t>
            </w:r>
          </w:p>
        </w:tc>
      </w:tr>
      <w:tr>
        <w:trPr>
          <w:trHeight w:val="234"/>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10-Q filed on November 8, 2023).</w:t>
            </w:r>
          </w:p>
        </w:tc>
      </w:tr>
      <w:tr>
        <w:trPr>
          <w:trHeight w:val="54"/>
        </w:trPr>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580" w:type="dxa"/>
            <w:vAlign w:val="bottom"/>
          </w:tcPr>
          <w:p>
            <w:pPr>
              <w:spacing w:after="0"/>
              <w:rPr>
                <w:sz w:val="4"/>
                <w:szCs w:val="4"/>
                <w:color w:val="auto"/>
              </w:rPr>
            </w:pPr>
          </w:p>
        </w:tc>
      </w:tr>
      <w:tr>
        <w:trPr>
          <w:trHeight w:val="229"/>
        </w:trPr>
        <w:tc>
          <w:tcPr>
            <w:tcW w:w="740" w:type="dxa"/>
            <w:vAlign w:val="bottom"/>
            <w:gridSpan w:val="4"/>
            <w:shd w:val="clear" w:color="auto" w:fill="CCEEFF"/>
          </w:tcPr>
          <w:p>
            <w:pPr>
              <w:spacing w:after="0"/>
              <w:rPr>
                <w:rFonts w:ascii="Times New Roman" w:cs="Times New Roman" w:eastAsia="Times New Roman" w:hAnsi="Times New Roman"/>
                <w:sz w:val="18"/>
                <w:szCs w:val="18"/>
                <w:color w:val="0000EE"/>
              </w:rPr>
            </w:pPr>
            <w:hyperlink r:id="rId60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22#</w:t>
              </w:r>
            </w:hyperlink>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Amendment to Executive Services Agreement, by and between SeatonHill Partners, L.P. and WM</w:t>
            </w:r>
          </w:p>
        </w:tc>
      </w:tr>
      <w:tr>
        <w:trPr>
          <w:trHeight w:val="218"/>
        </w:trPr>
        <w:tc>
          <w:tcPr>
            <w:tcW w:w="30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68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Technology Inc., dated February 26, 2024 (incorporated by reference to Exhibit 10.23 to the Annual</w:t>
            </w:r>
          </w:p>
        </w:tc>
      </w:tr>
      <w:tr>
        <w:trPr>
          <w:trHeight w:val="268"/>
        </w:trPr>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Report on Form 10-K filed on May 24, 2024).</w:t>
            </w:r>
          </w:p>
        </w:tc>
      </w:tr>
      <w:tr>
        <w:trPr>
          <w:trHeight w:val="230"/>
        </w:trPr>
        <w:tc>
          <w:tcPr>
            <w:tcW w:w="400" w:type="dxa"/>
            <w:vAlign w:val="bottom"/>
            <w:gridSpan w:val="2"/>
          </w:tcPr>
          <w:p>
            <w:pPr>
              <w:spacing w:after="0"/>
              <w:rPr>
                <w:rFonts w:ascii="Times New Roman" w:cs="Times New Roman" w:eastAsia="Times New Roman" w:hAnsi="Times New Roman"/>
                <w:sz w:val="18"/>
                <w:szCs w:val="18"/>
                <w:color w:val="0000EE"/>
              </w:rPr>
            </w:pPr>
            <w:hyperlink r:id="rId607">
              <w:r>
                <w:rPr>
                  <w:rFonts w:ascii="Times New Roman" w:cs="Times New Roman" w:eastAsia="Times New Roman" w:hAnsi="Times New Roman"/>
                  <w:sz w:val="18"/>
                  <w:szCs w:val="18"/>
                  <w:color w:val="0000EE"/>
                </w:rPr>
                <w:t>21.</w:t>
              </w:r>
              <w:r>
                <w:rPr>
                  <w:rFonts w:ascii="Times New Roman" w:cs="Times New Roman" w:eastAsia="Times New Roman" w:hAnsi="Times New Roman"/>
                  <w:sz w:val="18"/>
                  <w:szCs w:val="18"/>
                  <w:u w:val="single" w:color="auto"/>
                  <w:color w:val="0000EE"/>
                </w:rPr>
                <w:t>1</w:t>
              </w:r>
            </w:hyperlink>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List of Subsidiaries of the Registrant (incorporated by reference to Exhibit 10.7 to the Annual Report on</w:t>
            </w:r>
          </w:p>
        </w:tc>
      </w:tr>
      <w:tr>
        <w:trPr>
          <w:trHeight w:val="237"/>
        </w:trPr>
        <w:tc>
          <w:tcPr>
            <w:tcW w:w="30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Form 10-K filed on May 24, 2024).</w:t>
            </w:r>
          </w:p>
        </w:tc>
      </w:tr>
      <w:tr>
        <w:trPr>
          <w:trHeight w:val="54"/>
        </w:trPr>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580" w:type="dxa"/>
            <w:vAlign w:val="bottom"/>
          </w:tcPr>
          <w:p>
            <w:pPr>
              <w:spacing w:after="0"/>
              <w:rPr>
                <w:sz w:val="4"/>
                <w:szCs w:val="4"/>
                <w:color w:val="auto"/>
              </w:rPr>
            </w:pPr>
          </w:p>
        </w:tc>
      </w:tr>
      <w:tr>
        <w:trPr>
          <w:trHeight w:val="230"/>
        </w:trPr>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Consent of Baker Tilly US, LLP</w:t>
            </w:r>
          </w:p>
        </w:tc>
      </w:tr>
      <w:tr>
        <w:trPr>
          <w:trHeight w:val="74"/>
        </w:trPr>
        <w:tc>
          <w:tcPr>
            <w:tcW w:w="3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7580" w:type="dxa"/>
            <w:vAlign w:val="bottom"/>
            <w:tcBorders>
              <w:top w:val="single" w:sz="8" w:color="CCEEFF"/>
            </w:tcBorders>
            <w:shd w:val="clear" w:color="auto" w:fill="CCEEFF"/>
          </w:tcPr>
          <w:p>
            <w:pPr>
              <w:spacing w:after="0"/>
              <w:rPr>
                <w:sz w:val="6"/>
                <w:szCs w:val="6"/>
                <w:color w:val="auto"/>
              </w:rPr>
            </w:pPr>
          </w:p>
        </w:tc>
      </w:tr>
      <w:tr>
        <w:trPr>
          <w:trHeight w:val="230"/>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Consent of Moss Adams, LLP</w:t>
            </w:r>
          </w:p>
        </w:tc>
      </w:tr>
      <w:tr>
        <w:trPr>
          <w:trHeight w:val="75"/>
        </w:trPr>
        <w:tc>
          <w:tcPr>
            <w:tcW w:w="30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580" w:type="dxa"/>
            <w:vAlign w:val="bottom"/>
          </w:tcPr>
          <w:p>
            <w:pPr>
              <w:spacing w:after="0"/>
              <w:rPr>
                <w:sz w:val="6"/>
                <w:szCs w:val="6"/>
                <w:color w:val="auto"/>
              </w:rPr>
            </w:pPr>
          </w:p>
        </w:tc>
      </w:tr>
      <w:tr>
        <w:trPr>
          <w:trHeight w:val="230"/>
        </w:trPr>
        <w:tc>
          <w:tcPr>
            <w:tcW w:w="480" w:type="dxa"/>
            <w:vAlign w:val="bottom"/>
            <w:gridSpan w:val="3"/>
            <w:shd w:val="clear" w:color="auto" w:fill="CCEEFF"/>
          </w:tcPr>
          <w:p>
            <w:pPr>
              <w:spacing w:after="0"/>
              <w:rPr>
                <w:rFonts w:ascii="Times New Roman" w:cs="Times New Roman" w:eastAsia="Times New Roman" w:hAnsi="Times New Roman"/>
                <w:sz w:val="18"/>
                <w:szCs w:val="18"/>
                <w:color w:val="0000EE"/>
              </w:rPr>
            </w:pPr>
            <w:hyperlink r:id="rId608">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3*</w:t>
              </w:r>
            </w:hyperlink>
          </w:p>
        </w:tc>
        <w:tc>
          <w:tcPr>
            <w:tcW w:w="26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Consent of Cooley LLP (included in Exhibit 5.1)</w:t>
            </w:r>
          </w:p>
        </w:tc>
      </w:tr>
      <w:tr>
        <w:trPr>
          <w:trHeight w:val="74"/>
        </w:trPr>
        <w:tc>
          <w:tcPr>
            <w:tcW w:w="3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7580" w:type="dxa"/>
            <w:vAlign w:val="bottom"/>
            <w:tcBorders>
              <w:top w:val="single" w:sz="8" w:color="CCEEFF"/>
            </w:tcBorders>
            <w:shd w:val="clear" w:color="auto" w:fill="CCEEFF"/>
          </w:tcPr>
          <w:p>
            <w:pPr>
              <w:spacing w:after="0"/>
              <w:rPr>
                <w:sz w:val="6"/>
                <w:szCs w:val="6"/>
                <w:color w:val="auto"/>
              </w:rPr>
            </w:pPr>
          </w:p>
        </w:tc>
      </w:tr>
      <w:tr>
        <w:trPr>
          <w:trHeight w:val="230"/>
        </w:trPr>
        <w:tc>
          <w:tcPr>
            <w:tcW w:w="480" w:type="dxa"/>
            <w:vAlign w:val="bottom"/>
            <w:gridSpan w:val="3"/>
          </w:tcPr>
          <w:p>
            <w:pPr>
              <w:spacing w:after="0"/>
              <w:rPr>
                <w:rFonts w:ascii="Times New Roman" w:cs="Times New Roman" w:eastAsia="Times New Roman" w:hAnsi="Times New Roman"/>
                <w:sz w:val="18"/>
                <w:szCs w:val="18"/>
                <w:color w:val="0000EE"/>
              </w:rPr>
            </w:pPr>
            <w:hyperlink r:id="rId609">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hyperlink>
          </w:p>
        </w:tc>
        <w:tc>
          <w:tcPr>
            <w:tcW w:w="260" w:type="dxa"/>
            <w:vAlign w:val="bottom"/>
          </w:tcPr>
          <w:p>
            <w:pPr>
              <w:spacing w:after="0"/>
              <w:rPr>
                <w:sz w:val="19"/>
                <w:szCs w:val="19"/>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Power of Attorney (included on signature page of Registration Statement on Form S-1 filed on July 8,</w:t>
            </w:r>
          </w:p>
        </w:tc>
      </w:tr>
      <w:tr>
        <w:trPr>
          <w:trHeight w:val="237"/>
        </w:trPr>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2021)</w:t>
            </w:r>
          </w:p>
        </w:tc>
      </w:tr>
      <w:tr>
        <w:trPr>
          <w:trHeight w:val="54"/>
        </w:trPr>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580" w:type="dxa"/>
            <w:vAlign w:val="bottom"/>
          </w:tcPr>
          <w:p>
            <w:pPr>
              <w:spacing w:after="0"/>
              <w:rPr>
                <w:sz w:val="4"/>
                <w:szCs w:val="4"/>
                <w:color w:val="auto"/>
              </w:rPr>
            </w:pPr>
          </w:p>
        </w:tc>
      </w:tr>
      <w:tr>
        <w:trPr>
          <w:trHeight w:val="230"/>
        </w:trPr>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Power of Attorney (included on signature page).</w:t>
            </w:r>
          </w:p>
        </w:tc>
      </w:tr>
      <w:tr>
        <w:trPr>
          <w:trHeight w:val="75"/>
        </w:trPr>
        <w:tc>
          <w:tcPr>
            <w:tcW w:w="3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7580" w:type="dxa"/>
            <w:vAlign w:val="bottom"/>
            <w:tcBorders>
              <w:top w:val="single" w:sz="8" w:color="CCEEFF"/>
            </w:tcBorders>
            <w:shd w:val="clear" w:color="auto" w:fill="CCEEFF"/>
          </w:tcPr>
          <w:p>
            <w:pPr>
              <w:spacing w:after="0"/>
              <w:rPr>
                <w:sz w:val="6"/>
                <w:szCs w:val="6"/>
                <w:color w:val="auto"/>
              </w:rPr>
            </w:pPr>
          </w:p>
        </w:tc>
      </w:tr>
      <w:tr>
        <w:trPr>
          <w:trHeight w:val="252"/>
        </w:trPr>
        <w:tc>
          <w:tcPr>
            <w:tcW w:w="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101.INS</w:t>
            </w: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w:t>
            </w:r>
          </w:p>
        </w:tc>
      </w:tr>
      <w:tr>
        <w:trPr>
          <w:trHeight w:val="234"/>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r>
      <w:tr>
        <w:trPr>
          <w:trHeight w:val="54"/>
        </w:trPr>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580" w:type="dxa"/>
            <w:vAlign w:val="bottom"/>
          </w:tcPr>
          <w:p>
            <w:pPr>
              <w:spacing w:after="0"/>
              <w:rPr>
                <w:sz w:val="4"/>
                <w:szCs w:val="4"/>
                <w:color w:val="auto"/>
              </w:rPr>
            </w:pPr>
          </w:p>
        </w:tc>
      </w:tr>
      <w:tr>
        <w:trPr>
          <w:trHeight w:val="304"/>
        </w:trPr>
        <w:tc>
          <w:tcPr>
            <w:tcW w:w="7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70"/>
        </w:trPr>
        <w:tc>
          <w:tcPr>
            <w:tcW w:w="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54"/>
        </w:trPr>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580" w:type="dxa"/>
            <w:vAlign w:val="bottom"/>
          </w:tcPr>
          <w:p>
            <w:pPr>
              <w:spacing w:after="0"/>
              <w:rPr>
                <w:sz w:val="4"/>
                <w:szCs w:val="4"/>
                <w:color w:val="auto"/>
              </w:rPr>
            </w:pPr>
          </w:p>
        </w:tc>
      </w:tr>
      <w:tr>
        <w:trPr>
          <w:trHeight w:val="304"/>
        </w:trPr>
        <w:tc>
          <w:tcPr>
            <w:tcW w:w="7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70"/>
        </w:trPr>
        <w:tc>
          <w:tcPr>
            <w:tcW w:w="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54"/>
        </w:trPr>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580" w:type="dxa"/>
            <w:vAlign w:val="bottom"/>
          </w:tcPr>
          <w:p>
            <w:pPr>
              <w:spacing w:after="0"/>
              <w:rPr>
                <w:sz w:val="4"/>
                <w:szCs w:val="4"/>
                <w:color w:val="auto"/>
              </w:rPr>
            </w:pPr>
          </w:p>
        </w:tc>
      </w:tr>
      <w:tr>
        <w:trPr>
          <w:trHeight w:val="304"/>
        </w:trPr>
        <w:tc>
          <w:tcPr>
            <w:tcW w:w="74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76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7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34290</wp:posOffset>
            </wp:positionV>
            <wp:extent cx="5349240" cy="3429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10">
                      <a:extLst>
                        <a:ext uri="{28A0092B-C50C-407E-A947-70E740481C1C}"/>
                      </a:extLst>
                    </a:blip>
                    <a:srcRect/>
                    <a:stretch>
                      <a:fillRect/>
                    </a:stretch>
                  </pic:blipFill>
                  <pic:spPr bwMode="auto">
                    <a:xfrm>
                      <a:off x="0" y="0"/>
                      <a:ext cx="5349240" cy="34290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-7663180</wp:posOffset>
            </wp:positionV>
            <wp:extent cx="6858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1140" w:right="519" w:hanging="848"/>
        <w:spacing w:after="0" w:line="282" w:lineRule="auto"/>
        <w:tabs>
          <w:tab w:leader="none" w:pos="1140" w:val="left"/>
        </w:tabs>
        <w:numPr>
          <w:ilvl w:val="0"/>
          <w:numId w:val="14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Filing Fee Table (incorporated by reference to the Registration Statement on Form S-1 filed on July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200025</wp:posOffset>
            </wp:positionV>
            <wp:extent cx="82296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1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40" w:lineRule="exact"/>
        <w:rPr>
          <w:sz w:val="20"/>
          <w:szCs w:val="20"/>
          <w:color w:val="auto"/>
        </w:rPr>
      </w:pPr>
    </w:p>
    <w:p>
      <w:pPr>
        <w:ind w:left="640" w:right="319" w:hanging="348"/>
        <w:spacing w:after="0" w:line="261" w:lineRule="auto"/>
        <w:tabs>
          <w:tab w:leader="none" w:pos="64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exhibits and schedules to this Exhibit have been omitted in accordance with Regulation S-K Item 601(b)(2). We agree to furnish a copy of all omitted exhibits and schedules to the SEC upon request.</w:t>
      </w:r>
    </w:p>
    <w:p>
      <w:pPr>
        <w:spacing w:after="0" w:line="1" w:lineRule="exact"/>
        <w:rPr>
          <w:sz w:val="20"/>
          <w:szCs w:val="20"/>
          <w:color w:val="auto"/>
        </w:rPr>
      </w:pPr>
    </w:p>
    <w:p>
      <w:pPr>
        <w:ind w:left="300" w:right="3939" w:hanging="8"/>
        <w:spacing w:after="0" w:line="342" w:lineRule="auto"/>
        <w:tabs>
          <w:tab w:leader="none" w:pos="651"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Indicates management contract or compensatory plan, contract or agreement. * Previously filed.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1" w:name="page212"/>
    <w:bookmarkEnd w:id="2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17.</w:t>
        <w:tab/>
        <w:t>Undertakings.</w:t>
      </w:r>
    </w:p>
    <w:p>
      <w:pPr>
        <w:spacing w:after="0" w:line="121" w:lineRule="exact"/>
        <w:rPr>
          <w:sz w:val="20"/>
          <w:szCs w:val="20"/>
          <w:color w:val="auto"/>
        </w:rPr>
      </w:pPr>
    </w:p>
    <w:p>
      <w:pPr>
        <w:ind w:left="1000" w:hanging="348"/>
        <w:spacing w:after="0"/>
        <w:tabs>
          <w:tab w:leader="none" w:pos="10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53" w:lineRule="exact"/>
        <w:rPr>
          <w:rFonts w:ascii="Times New Roman" w:cs="Times New Roman" w:eastAsia="Times New Roman" w:hAnsi="Times New Roman"/>
          <w:sz w:val="18"/>
          <w:szCs w:val="18"/>
          <w:color w:val="auto"/>
        </w:rPr>
      </w:pPr>
    </w:p>
    <w:p>
      <w:pPr>
        <w:ind w:left="1720" w:hanging="348"/>
        <w:spacing w:after="0"/>
        <w:tabs>
          <w:tab w:leader="none" w:pos="1720"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7" w:lineRule="exact"/>
        <w:rPr>
          <w:rFonts w:ascii="Times New Roman" w:cs="Times New Roman" w:eastAsia="Times New Roman" w:hAnsi="Times New Roman"/>
          <w:sz w:val="18"/>
          <w:szCs w:val="18"/>
          <w:color w:val="auto"/>
        </w:rPr>
      </w:pPr>
    </w:p>
    <w:p>
      <w:pPr>
        <w:jc w:val="both"/>
        <w:ind w:left="1720" w:right="299" w:hanging="348"/>
        <w:spacing w:after="0" w:line="253" w:lineRule="auto"/>
        <w:tabs>
          <w:tab w:leader="none" w:pos="1720"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86" w:lineRule="exact"/>
        <w:rPr>
          <w:rFonts w:ascii="Times New Roman" w:cs="Times New Roman" w:eastAsia="Times New Roman" w:hAnsi="Times New Roman"/>
          <w:sz w:val="18"/>
          <w:szCs w:val="18"/>
          <w:color w:val="auto"/>
        </w:rPr>
      </w:pPr>
    </w:p>
    <w:p>
      <w:pPr>
        <w:jc w:val="both"/>
        <w:ind w:left="1720" w:right="299" w:hanging="348"/>
        <w:spacing w:after="0" w:line="266" w:lineRule="auto"/>
        <w:tabs>
          <w:tab w:leader="none" w:pos="1720"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6" w:lineRule="exact"/>
        <w:rPr>
          <w:sz w:val="20"/>
          <w:szCs w:val="20"/>
          <w:color w:val="auto"/>
        </w:rPr>
      </w:pPr>
    </w:p>
    <w:p>
      <w:pPr>
        <w:jc w:val="both"/>
        <w:ind w:left="660" w:right="299"/>
        <w:spacing w:after="0" w:line="25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(a)(1)(ii) and (a)(1)(iii) of this section do not apply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required to be included in a post-effective amendment by those paragraphs is contained in reports filed with or furnished to the Commission by the registrant pursuant to Section 13 or Section 15(d) of the Securities and Exchange Act of 1934, as amended (the “Exchange Act”), that are incorporated by reference in the registration statement, or is contained in a form of prospectus filed pursuant to Rule 424(b) that is part of the registration statement.</w:t>
      </w:r>
    </w:p>
    <w:p>
      <w:pPr>
        <w:spacing w:after="0" w:line="76" w:lineRule="exact"/>
        <w:rPr>
          <w:sz w:val="20"/>
          <w:szCs w:val="20"/>
          <w:color w:val="auto"/>
        </w:rPr>
      </w:pPr>
    </w:p>
    <w:p>
      <w:pPr>
        <w:jc w:val="both"/>
        <w:ind w:left="1360" w:right="319" w:hanging="348"/>
        <w:spacing w:after="0" w:line="261" w:lineRule="auto"/>
        <w:tabs>
          <w:tab w:leader="none" w:pos="13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1"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17" w:lineRule="exact"/>
        <w:rPr>
          <w:rFonts w:ascii="Times New Roman" w:cs="Times New Roman" w:eastAsia="Times New Roman" w:hAnsi="Times New Roman"/>
          <w:sz w:val="18"/>
          <w:szCs w:val="18"/>
          <w:color w:val="auto"/>
        </w:rPr>
      </w:pPr>
    </w:p>
    <w:p>
      <w:pPr>
        <w:jc w:val="both"/>
        <w:ind w:left="1720" w:right="299" w:hanging="348"/>
        <w:spacing w:after="0" w:line="266" w:lineRule="auto"/>
        <w:tabs>
          <w:tab w:leader="none" w:pos="172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jc w:val="both"/>
        <w:ind w:left="1720" w:right="299" w:hanging="348"/>
        <w:spacing w:after="0" w:line="252" w:lineRule="auto"/>
        <w:tabs>
          <w:tab w:leader="none" w:pos="172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2" w:name="page213"/>
    <w:bookmarkEnd w:id="2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60" w:right="319" w:hanging="348"/>
        <w:spacing w:after="0" w:line="255" w:lineRule="auto"/>
        <w:tabs>
          <w:tab w:leader="none" w:pos="136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0" w:lineRule="exact"/>
        <w:rPr>
          <w:rFonts w:ascii="Times New Roman" w:cs="Times New Roman" w:eastAsia="Times New Roman" w:hAnsi="Times New Roman"/>
          <w:sz w:val="18"/>
          <w:szCs w:val="18"/>
          <w:color w:val="auto"/>
        </w:rPr>
      </w:pPr>
    </w:p>
    <w:p>
      <w:pPr>
        <w:ind w:left="1720" w:right="319" w:hanging="348"/>
        <w:spacing w:after="0" w:line="282" w:lineRule="auto"/>
        <w:tabs>
          <w:tab w:leader="none" w:pos="1720"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53" w:lineRule="exact"/>
        <w:rPr>
          <w:rFonts w:ascii="Times New Roman" w:cs="Times New Roman" w:eastAsia="Times New Roman" w:hAnsi="Times New Roman"/>
          <w:sz w:val="18"/>
          <w:szCs w:val="18"/>
          <w:color w:val="auto"/>
        </w:rPr>
      </w:pPr>
    </w:p>
    <w:p>
      <w:pPr>
        <w:ind w:left="1720" w:right="319" w:hanging="348"/>
        <w:spacing w:after="0" w:line="282" w:lineRule="auto"/>
        <w:tabs>
          <w:tab w:leader="none" w:pos="1720"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jc w:val="both"/>
        <w:ind w:left="1720" w:right="299" w:hanging="348"/>
        <w:spacing w:after="0" w:line="266" w:lineRule="auto"/>
        <w:tabs>
          <w:tab w:leader="none" w:pos="1720"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720" w:right="299" w:hanging="348"/>
        <w:spacing w:after="0" w:line="282" w:lineRule="auto"/>
        <w:tabs>
          <w:tab w:leader="none" w:pos="1720"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53" w:lineRule="exact"/>
        <w:rPr>
          <w:rFonts w:ascii="Times New Roman" w:cs="Times New Roman" w:eastAsia="Times New Roman" w:hAnsi="Times New Roman"/>
          <w:sz w:val="18"/>
          <w:szCs w:val="18"/>
          <w:color w:val="auto"/>
        </w:rPr>
      </w:pPr>
    </w:p>
    <w:p>
      <w:pPr>
        <w:jc w:val="both"/>
        <w:ind w:left="1360" w:right="319" w:hanging="348"/>
        <w:spacing w:after="0" w:line="255" w:lineRule="auto"/>
        <w:tabs>
          <w:tab w:leader="none" w:pos="136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0"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3" w:name="page214"/>
    <w:bookmarkEnd w:id="2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S-1 and has duly caused this Post-Effective Amendment No. 4 to Registration Statement to be signed on its behalf by the undersigned, thereunto duly authorized in the City of Irvine, State of California on July 29, 2024.</w:t>
      </w:r>
    </w:p>
    <w:p>
      <w:pPr>
        <w:spacing w:after="0" w:line="10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WM TECHNOLOGY, INC.</w:t>
      </w:r>
    </w:p>
    <w:p>
      <w:pPr>
        <w:spacing w:after="0" w:line="33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i w:val="1"/>
          <w:iCs w:val="1"/>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52705</wp:posOffset>
            </wp:positionV>
            <wp:extent cx="204851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16">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11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Name: Douglas Francis</w:t>
      </w:r>
    </w:p>
    <w:p>
      <w:pPr>
        <w:spacing w:after="0" w:line="6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Title: Executive Chair</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Douglas Francis and Susan Echard as his or her true and lawful attorneys-in-fact, proxies and agents, each with full power of substitution and resubstitution and full power to act without the other,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 .</w:t>
      </w:r>
    </w:p>
    <w:p>
      <w:pPr>
        <w:spacing w:after="0" w:line="8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Post-Effective Amendment No. 4 to Form S-3 on Form S-1 has been signed by the following persons in the capacities and on the dates indicated.</w:t>
      </w:r>
    </w:p>
    <w:p>
      <w:pPr>
        <w:spacing w:after="0" w:line="7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82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80" w:type="dxa"/>
            <w:vAlign w:val="bottom"/>
          </w:tcPr>
          <w:p>
            <w:pPr>
              <w:spacing w:after="0"/>
              <w:rPr>
                <w:sz w:val="16"/>
                <w:szCs w:val="16"/>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37"/>
        </w:trPr>
        <w:tc>
          <w:tcPr>
            <w:tcW w:w="28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48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15"/>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 Douglas Francis</w:t>
            </w:r>
          </w:p>
        </w:tc>
        <w:tc>
          <w:tcPr>
            <w:tcW w:w="18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Executive Chair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29, 2024</w:t>
            </w:r>
          </w:p>
        </w:tc>
        <w:tc>
          <w:tcPr>
            <w:tcW w:w="0" w:type="dxa"/>
            <w:vAlign w:val="bottom"/>
          </w:tcPr>
          <w:p>
            <w:pPr>
              <w:spacing w:after="0"/>
              <w:rPr>
                <w:sz w:val="1"/>
                <w:szCs w:val="1"/>
                <w:color w:val="auto"/>
              </w:rPr>
            </w:pPr>
          </w:p>
        </w:tc>
      </w:tr>
      <w:tr>
        <w:trPr>
          <w:trHeight w:val="72"/>
        </w:trPr>
        <w:tc>
          <w:tcPr>
            <w:tcW w:w="2820" w:type="dxa"/>
            <w:vAlign w:val="bottom"/>
            <w:tcBorders>
              <w:bottom w:val="single" w:sz="8" w:color="auto"/>
            </w:tcBorders>
          </w:tcPr>
          <w:p>
            <w:pPr>
              <w:spacing w:after="0"/>
              <w:rPr>
                <w:sz w:val="6"/>
                <w:szCs w:val="6"/>
                <w:color w:val="auto"/>
              </w:rPr>
            </w:pPr>
          </w:p>
        </w:tc>
        <w:tc>
          <w:tcPr>
            <w:tcW w:w="180" w:type="dxa"/>
            <w:vAlign w:val="bottom"/>
            <w:vMerge w:val="restart"/>
          </w:tcPr>
          <w:p>
            <w:pPr>
              <w:spacing w:after="0"/>
              <w:rPr>
                <w:sz w:val="6"/>
                <w:szCs w:val="6"/>
                <w:color w:val="auto"/>
              </w:rPr>
            </w:pPr>
          </w:p>
        </w:tc>
        <w:tc>
          <w:tcPr>
            <w:tcW w:w="36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Douglas Francis</w:t>
            </w:r>
          </w:p>
        </w:tc>
        <w:tc>
          <w:tcPr>
            <w:tcW w:w="180" w:type="dxa"/>
            <w:vAlign w:val="bottom"/>
            <w:vMerge w:val="continue"/>
          </w:tcPr>
          <w:p>
            <w:pPr>
              <w:spacing w:after="0"/>
              <w:rPr>
                <w:sz w:val="12"/>
                <w:szCs w:val="12"/>
                <w:color w:val="auto"/>
              </w:rPr>
            </w:pPr>
          </w:p>
        </w:tc>
        <w:tc>
          <w:tcPr>
            <w:tcW w:w="3680" w:type="dxa"/>
            <w:vAlign w:val="bottom"/>
            <w:gridSpan w:val="2"/>
            <w:vMerge w:val="continue"/>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2"/>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 Susan Echard</w:t>
            </w:r>
          </w:p>
        </w:tc>
        <w:tc>
          <w:tcPr>
            <w:tcW w:w="18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Interim Chief Financial Officer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29, 2024</w:t>
            </w:r>
          </w:p>
        </w:tc>
        <w:tc>
          <w:tcPr>
            <w:tcW w:w="0" w:type="dxa"/>
            <w:vAlign w:val="bottom"/>
          </w:tcPr>
          <w:p>
            <w:pPr>
              <w:spacing w:after="0"/>
              <w:rPr>
                <w:sz w:val="1"/>
                <w:szCs w:val="1"/>
                <w:color w:val="auto"/>
              </w:rPr>
            </w:pPr>
          </w:p>
        </w:tc>
      </w:tr>
      <w:tr>
        <w:trPr>
          <w:trHeight w:val="126"/>
        </w:trPr>
        <w:tc>
          <w:tcPr>
            <w:tcW w:w="2820" w:type="dxa"/>
            <w:vAlign w:val="bottom"/>
            <w:tcBorders>
              <w:bottom w:val="single" w:sz="8" w:color="auto"/>
            </w:tcBorders>
          </w:tcPr>
          <w:p>
            <w:pPr>
              <w:spacing w:after="0"/>
              <w:rPr>
                <w:sz w:val="10"/>
                <w:szCs w:val="10"/>
                <w:color w:val="auto"/>
              </w:rPr>
            </w:pPr>
          </w:p>
        </w:tc>
        <w:tc>
          <w:tcPr>
            <w:tcW w:w="180" w:type="dxa"/>
            <w:vAlign w:val="bottom"/>
            <w:vMerge w:val="restart"/>
          </w:tcPr>
          <w:p>
            <w:pPr>
              <w:spacing w:after="0"/>
              <w:rPr>
                <w:sz w:val="10"/>
                <w:szCs w:val="10"/>
                <w:color w:val="auto"/>
              </w:rPr>
            </w:pPr>
          </w:p>
        </w:tc>
        <w:tc>
          <w:tcPr>
            <w:tcW w:w="36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w w:val="99"/>
              </w:rPr>
              <w:t>(Principal Financial Officer and Principal</w:t>
            </w: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Susan Echard</w:t>
            </w:r>
          </w:p>
        </w:tc>
        <w:tc>
          <w:tcPr>
            <w:tcW w:w="180" w:type="dxa"/>
            <w:vAlign w:val="bottom"/>
            <w:vMerge w:val="continue"/>
          </w:tcPr>
          <w:p>
            <w:pPr>
              <w:spacing w:after="0"/>
              <w:rPr>
                <w:sz w:val="6"/>
                <w:szCs w:val="6"/>
                <w:color w:val="auto"/>
              </w:rPr>
            </w:pPr>
          </w:p>
        </w:tc>
        <w:tc>
          <w:tcPr>
            <w:tcW w:w="3680" w:type="dxa"/>
            <w:vAlign w:val="bottom"/>
            <w:gridSpan w:val="2"/>
            <w:vMerge w:val="continue"/>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8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3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29, 2024</w:t>
            </w:r>
          </w:p>
        </w:tc>
        <w:tc>
          <w:tcPr>
            <w:tcW w:w="0" w:type="dxa"/>
            <w:vAlign w:val="bottom"/>
          </w:tcPr>
          <w:p>
            <w:pPr>
              <w:spacing w:after="0"/>
              <w:rPr>
                <w:sz w:val="1"/>
                <w:szCs w:val="1"/>
                <w:color w:val="auto"/>
              </w:rPr>
            </w:pPr>
          </w:p>
        </w:tc>
      </w:tr>
      <w:tr>
        <w:trPr>
          <w:trHeight w:val="54"/>
        </w:trPr>
        <w:tc>
          <w:tcPr>
            <w:tcW w:w="28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Tony Aquila</w:t>
            </w:r>
          </w:p>
        </w:tc>
        <w:tc>
          <w:tcPr>
            <w:tcW w:w="1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29, 2024</w:t>
            </w:r>
          </w:p>
        </w:tc>
        <w:tc>
          <w:tcPr>
            <w:tcW w:w="0" w:type="dxa"/>
            <w:vAlign w:val="bottom"/>
          </w:tcPr>
          <w:p>
            <w:pPr>
              <w:spacing w:after="0"/>
              <w:rPr>
                <w:sz w:val="1"/>
                <w:szCs w:val="1"/>
                <w:color w:val="auto"/>
              </w:rPr>
            </w:pPr>
          </w:p>
        </w:tc>
      </w:tr>
      <w:tr>
        <w:trPr>
          <w:trHeight w:val="54"/>
        </w:trPr>
        <w:tc>
          <w:tcPr>
            <w:tcW w:w="28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Anthony Bay</w:t>
            </w:r>
          </w:p>
        </w:tc>
        <w:tc>
          <w:tcPr>
            <w:tcW w:w="1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29, 2024</w:t>
            </w:r>
          </w:p>
        </w:tc>
        <w:tc>
          <w:tcPr>
            <w:tcW w:w="0" w:type="dxa"/>
            <w:vAlign w:val="bottom"/>
          </w:tcPr>
          <w:p>
            <w:pPr>
              <w:spacing w:after="0"/>
              <w:rPr>
                <w:sz w:val="1"/>
                <w:szCs w:val="1"/>
                <w:color w:val="auto"/>
              </w:rPr>
            </w:pPr>
          </w:p>
        </w:tc>
      </w:tr>
      <w:tr>
        <w:trPr>
          <w:trHeight w:val="54"/>
        </w:trPr>
        <w:tc>
          <w:tcPr>
            <w:tcW w:w="28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1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29, 2024</w:t>
            </w:r>
          </w:p>
        </w:tc>
        <w:tc>
          <w:tcPr>
            <w:tcW w:w="0" w:type="dxa"/>
            <w:vAlign w:val="bottom"/>
          </w:tcPr>
          <w:p>
            <w:pPr>
              <w:spacing w:after="0"/>
              <w:rPr>
                <w:sz w:val="1"/>
                <w:szCs w:val="1"/>
                <w:color w:val="auto"/>
              </w:rPr>
            </w:pPr>
          </w:p>
        </w:tc>
      </w:tr>
      <w:tr>
        <w:trPr>
          <w:trHeight w:val="54"/>
        </w:trPr>
        <w:tc>
          <w:tcPr>
            <w:tcW w:w="28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1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29, 2024</w:t>
            </w:r>
          </w:p>
        </w:tc>
        <w:tc>
          <w:tcPr>
            <w:tcW w:w="0" w:type="dxa"/>
            <w:vAlign w:val="bottom"/>
          </w:tcPr>
          <w:p>
            <w:pPr>
              <w:spacing w:after="0"/>
              <w:rPr>
                <w:sz w:val="1"/>
                <w:szCs w:val="1"/>
                <w:color w:val="auto"/>
              </w:rPr>
            </w:pPr>
          </w:p>
        </w:tc>
      </w:tr>
      <w:tr>
        <w:trPr>
          <w:trHeight w:val="54"/>
        </w:trPr>
        <w:tc>
          <w:tcPr>
            <w:tcW w:w="28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Scott Gordon</w:t>
            </w:r>
          </w:p>
        </w:tc>
        <w:tc>
          <w:tcPr>
            <w:tcW w:w="1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3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29, 2024</w:t>
            </w:r>
          </w:p>
        </w:tc>
        <w:tc>
          <w:tcPr>
            <w:tcW w:w="0" w:type="dxa"/>
            <w:vAlign w:val="bottom"/>
          </w:tcPr>
          <w:p>
            <w:pPr>
              <w:spacing w:after="0"/>
              <w:rPr>
                <w:sz w:val="1"/>
                <w:szCs w:val="1"/>
                <w:color w:val="auto"/>
              </w:rPr>
            </w:pPr>
          </w:p>
        </w:tc>
      </w:tr>
      <w:tr>
        <w:trPr>
          <w:trHeight w:val="54"/>
        </w:trPr>
        <w:tc>
          <w:tcPr>
            <w:tcW w:w="28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Fiona Tan</w:t>
            </w:r>
          </w:p>
        </w:tc>
        <w:tc>
          <w:tcPr>
            <w:tcW w:w="1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*By:  /s/ Douglas Francis</w:t>
            </w:r>
          </w:p>
        </w:tc>
        <w:tc>
          <w:tcPr>
            <w:tcW w:w="1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34290</wp:posOffset>
            </wp:positionV>
            <wp:extent cx="204025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17">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8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Name: Douglas Francis, Attorney-in-Fact</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9019"/>
          </w:cols>
          <w:pgMar w:left="1440" w:top="263" w:right="1440" w:bottom="731"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29" w:lineRule="exact"/>
        <w:rPr>
          <w:sz w:val="20"/>
          <w:szCs w:val="20"/>
          <w:color w:val="auto"/>
        </w:rPr>
      </w:pPr>
    </w:p>
    <w:p>
      <w:pPr>
        <w:jc w:val="both"/>
        <w:ind w:right="220"/>
        <w:spacing w:after="0" w:line="257" w:lineRule="auto"/>
        <w:rPr>
          <w:sz w:val="20"/>
          <w:szCs w:val="20"/>
          <w:color w:val="auto"/>
        </w:rPr>
      </w:pPr>
      <w:r>
        <w:rPr>
          <w:rFonts w:ascii="Times New Roman" w:cs="Times New Roman" w:eastAsia="Times New Roman" w:hAnsi="Times New Roman"/>
          <w:sz w:val="18"/>
          <w:szCs w:val="18"/>
          <w:color w:val="auto"/>
        </w:rPr>
        <w:t>We hereby consent to the use in this Post-Effective Amendment No. 4 to the Registration Statement (No. 333-257774) on Form S-1 of WM Technology, Inc. of our report dated March 16, 2023, relating to the consolidated financial statements, appearing in the Prospectus, which is part of this Registration Statement.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our firm under the heading “Experts” in such Registration Statement.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Baker Tilly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66" w:right="37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6686550" cy="84010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21">
                      <a:extLst>
                        <a:ext uri="{28A0092B-C50C-407E-A947-70E740481C1C}"/>
                      </a:extLst>
                    </a:blip>
                    <a:srcRect/>
                    <a:stretch>
                      <a:fillRect/>
                    </a:stretch>
                  </pic:blipFill>
                  <pic:spPr bwMode="auto">
                    <a:xfrm>
                      <a:off x="0" y="0"/>
                      <a:ext cx="668655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60" w:firstLine="42"/>
        <w:spacing w:after="0" w:line="261" w:lineRule="auto"/>
        <w:rPr>
          <w:sz w:val="20"/>
          <w:szCs w:val="20"/>
          <w:color w:val="auto"/>
        </w:rPr>
      </w:pPr>
      <w:r>
        <w:rPr>
          <w:rFonts w:ascii="Times New Roman" w:cs="Times New Roman" w:eastAsia="Times New Roman" w:hAnsi="Times New Roman"/>
          <w:sz w:val="18"/>
          <w:szCs w:val="18"/>
          <w:color w:val="auto"/>
        </w:rPr>
        <w:t>We consent to the use in this Post-Effective Amendment No. 4 to Registration Statement on Form S-3 on Form S-1 (No. 333-257774) of WM Technology, Inc. (the “Company”) of our report dated May 24, 2024, relating to the consolidated financial statements of the Company as of and for the year ended December 31, 2023 (which report expresses an unqualified opinion and includes an explanatory paragraph relating a restatement of previously reported 2023 quarterly revenue and credit losses). We also consent to the reference to us under the heading “Experts” in such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891540" cy="25717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22">
                      <a:extLst>
                        <a:ext uri="{28A0092B-C50C-407E-A947-70E740481C1C}"/>
                      </a:extLst>
                    </a:blip>
                    <a:srcRect/>
                    <a:stretch>
                      <a:fillRect/>
                    </a:stretch>
                  </pic:blipFill>
                  <pic:spPr bwMode="auto">
                    <a:xfrm>
                      <a:off x="0" y="0"/>
                      <a:ext cx="891540" cy="25717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132320" cy="171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3686175" cy="22288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24">
                      <a:extLst>
                        <a:ext uri="{28A0092B-C50C-407E-A947-70E740481C1C}"/>
                      </a:extLst>
                    </a:blip>
                    <a:srcRect/>
                    <a:stretch>
                      <a:fillRect/>
                    </a:stretch>
                  </pic:blipFill>
                  <pic:spPr bwMode="auto">
                    <a:xfrm>
                      <a:off x="0" y="0"/>
                      <a:ext cx="3686175" cy="22288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3EFDC5"/>
    <w:multiLevelType w:val="hybridMultilevel"/>
    <w:lvl w:ilvl="0">
      <w:lvlJc w:val="left"/>
      <w:lvlText w:val="%1"/>
      <w:numFmt w:val="decimal"/>
      <w:start w:val="41"/>
    </w:lvl>
  </w:abstractNum>
  <w:abstractNum w:abstractNumId="1">
    <w:nsid w:val="BF72B14"/>
    <w:multiLevelType w:val="hybridMultilevel"/>
    <w:lvl w:ilvl="0">
      <w:lvlJc w:val="left"/>
      <w:lvlText w:val="%1"/>
      <w:numFmt w:val="decimal"/>
      <w:start w:val="41"/>
    </w:lvl>
  </w:abstractNum>
  <w:abstractNum w:abstractNumId="2">
    <w:nsid w:val="11447B73"/>
    <w:multiLevelType w:val="hybridMultilevel"/>
    <w:lvl w:ilvl="0">
      <w:lvlJc w:val="left"/>
      <w:lvlText w:val="(%1)"/>
      <w:numFmt w:val="lowerLetter"/>
      <w:start w:val="61"/>
    </w:lvl>
  </w:abstractNum>
  <w:abstractNum w:abstractNumId="3">
    <w:nsid w:val="42963E5A"/>
    <w:multiLevelType w:val="hybridMultilevel"/>
    <w:lvl w:ilvl="0">
      <w:lvlJc w:val="left"/>
      <w:lvlText w:val="(%1)"/>
      <w:numFmt w:val="lowerLetter"/>
      <w:start w:val="2"/>
    </w:lvl>
  </w:abstractNum>
  <w:abstractNum w:abstractNumId="4">
    <w:nsid w:val="A0382C5"/>
    <w:multiLevelType w:val="hybridMultilevel"/>
    <w:lvl w:ilvl="0">
      <w:lvlJc w:val="left"/>
      <w:lvlText w:val="•"/>
      <w:numFmt w:val="bullet"/>
      <w:start w:val="1"/>
    </w:lvl>
  </w:abstractNum>
  <w:abstractNum w:abstractNumId="5">
    <w:nsid w:val="8F2B15E"/>
    <w:multiLevelType w:val="hybridMultilevel"/>
    <w:lvl w:ilvl="0">
      <w:lvlJc w:val="left"/>
      <w:lvlText w:val="•"/>
      <w:numFmt w:val="bullet"/>
      <w:start w:val="1"/>
    </w:lvl>
  </w:abstractNum>
  <w:abstractNum w:abstractNumId="6">
    <w:nsid w:val="1A32234B"/>
    <w:multiLevelType w:val="hybridMultilevel"/>
    <w:lvl w:ilvl="0">
      <w:lvlJc w:val="left"/>
      <w:lvlText w:val="•"/>
      <w:numFmt w:val="bullet"/>
      <w:start w:val="1"/>
    </w:lvl>
  </w:abstractNum>
  <w:abstractNum w:abstractNumId="7">
    <w:nsid w:val="3B0FD379"/>
    <w:multiLevelType w:val="hybridMultilevel"/>
    <w:lvl w:ilvl="0">
      <w:lvlJc w:val="left"/>
      <w:lvlText w:val="•"/>
      <w:numFmt w:val="bullet"/>
      <w:start w:val="1"/>
    </w:lvl>
  </w:abstractNum>
  <w:abstractNum w:abstractNumId="8">
    <w:nsid w:val="68EB2F63"/>
    <w:multiLevelType w:val="hybridMultilevel"/>
    <w:lvl w:ilvl="0">
      <w:lvlJc w:val="left"/>
      <w:lvlText w:val="•"/>
      <w:numFmt w:val="bullet"/>
      <w:start w:val="1"/>
    </w:lvl>
  </w:abstractNum>
  <w:abstractNum w:abstractNumId="9">
    <w:nsid w:val="4962813B"/>
    <w:multiLevelType w:val="hybridMultilevel"/>
    <w:lvl w:ilvl="0">
      <w:lvlJc w:val="left"/>
      <w:lvlText w:val="(%1)"/>
      <w:numFmt w:val="lowerRoman"/>
      <w:start w:val="2"/>
    </w:lvl>
  </w:abstractNum>
  <w:abstractNum w:abstractNumId="10">
    <w:nsid w:val="60B6DF70"/>
    <w:multiLevelType w:val="hybridMultilevel"/>
    <w:lvl w:ilvl="0">
      <w:lvlJc w:val="left"/>
      <w:lvlText w:val="(%1)"/>
      <w:numFmt w:val="lowerRoman"/>
      <w:start w:val="2"/>
    </w:lvl>
  </w:abstractNum>
  <w:abstractNum w:abstractNumId="11">
    <w:nsid w:val="6A5EE64"/>
    <w:multiLevelType w:val="hybridMultilevel"/>
    <w:lvl w:ilvl="0">
      <w:lvlJc w:val="left"/>
      <w:lvlText w:val="•"/>
      <w:numFmt w:val="bullet"/>
      <w:start w:val="1"/>
    </w:lvl>
  </w:abstractNum>
  <w:abstractNum w:abstractNumId="12">
    <w:nsid w:val="14330624"/>
    <w:multiLevelType w:val="hybridMultilevel"/>
    <w:lvl w:ilvl="0">
      <w:lvlJc w:val="left"/>
      <w:lvlText w:val="•"/>
      <w:numFmt w:val="bullet"/>
      <w:start w:val="1"/>
    </w:lvl>
  </w:abstractNum>
  <w:abstractNum w:abstractNumId="13">
    <w:nsid w:val="7FFFCA11"/>
    <w:multiLevelType w:val="hybridMultilevel"/>
    <w:lvl w:ilvl="0">
      <w:lvlJc w:val="left"/>
      <w:lvlText w:val="1"/>
      <w:numFmt w:val="bullet"/>
      <w:start w:val="1"/>
    </w:lvl>
  </w:abstractNum>
  <w:abstractNum w:abstractNumId="14">
    <w:nsid w:val="1A27709E"/>
    <w:multiLevelType w:val="hybridMultilevel"/>
    <w:lvl w:ilvl="0">
      <w:lvlJc w:val="left"/>
      <w:lvlText w:val="•"/>
      <w:numFmt w:val="bullet"/>
      <w:start w:val="1"/>
    </w:lvl>
  </w:abstractNum>
  <w:abstractNum w:abstractNumId="15">
    <w:nsid w:val="71EA1109"/>
    <w:multiLevelType w:val="hybridMultilevel"/>
    <w:lvl w:ilvl="0">
      <w:lvlJc w:val="left"/>
      <w:lvlText w:val="•"/>
      <w:numFmt w:val="bullet"/>
      <w:start w:val="1"/>
    </w:lvl>
  </w:abstractNum>
  <w:abstractNum w:abstractNumId="16">
    <w:nsid w:val="100F59DC"/>
    <w:multiLevelType w:val="hybridMultilevel"/>
    <w:lvl w:ilvl="0">
      <w:lvlJc w:val="left"/>
      <w:lvlText w:val="•"/>
      <w:numFmt w:val="bullet"/>
      <w:start w:val="1"/>
    </w:lvl>
  </w:abstractNum>
  <w:abstractNum w:abstractNumId="17">
    <w:nsid w:val="7FB7E0AA"/>
    <w:multiLevelType w:val="hybridMultilevel"/>
    <w:lvl w:ilvl="0">
      <w:lvlJc w:val="left"/>
      <w:lvlText w:val="•"/>
      <w:numFmt w:val="bullet"/>
      <w:start w:val="1"/>
    </w:lvl>
  </w:abstractNum>
  <w:abstractNum w:abstractNumId="18">
    <w:nsid w:val="6EB5BD4"/>
    <w:multiLevelType w:val="hybridMultilevel"/>
    <w:lvl w:ilvl="0">
      <w:lvlJc w:val="left"/>
      <w:lvlText w:val="•"/>
      <w:numFmt w:val="bullet"/>
      <w:start w:val="1"/>
    </w:lvl>
  </w:abstractNum>
  <w:abstractNum w:abstractNumId="19">
    <w:nsid w:val="6F6DD9AC"/>
    <w:multiLevelType w:val="hybridMultilevel"/>
    <w:lvl w:ilvl="0">
      <w:lvlJc w:val="left"/>
      <w:lvlText w:val="•"/>
      <w:numFmt w:val="bullet"/>
      <w:start w:val="1"/>
    </w:lvl>
  </w:abstractNum>
  <w:abstractNum w:abstractNumId="20">
    <w:nsid w:val="94211F2"/>
    <w:multiLevelType w:val="hybridMultilevel"/>
    <w:lvl w:ilvl="0">
      <w:lvlJc w:val="left"/>
      <w:lvlText w:val="•"/>
      <w:numFmt w:val="bullet"/>
      <w:start w:val="1"/>
    </w:lvl>
  </w:abstractNum>
  <w:abstractNum w:abstractNumId="21">
    <w:nsid w:val="885E1B"/>
    <w:multiLevelType w:val="hybridMultilevel"/>
    <w:lvl w:ilvl="0">
      <w:lvlJc w:val="left"/>
      <w:lvlText w:val="•"/>
      <w:numFmt w:val="bullet"/>
      <w:start w:val="1"/>
    </w:lvl>
  </w:abstractNum>
  <w:abstractNum w:abstractNumId="22">
    <w:nsid w:val="76272110"/>
    <w:multiLevelType w:val="hybridMultilevel"/>
    <w:lvl w:ilvl="0">
      <w:lvlJc w:val="left"/>
      <w:lvlText w:val="•"/>
      <w:numFmt w:val="bullet"/>
      <w:start w:val="1"/>
    </w:lvl>
  </w:abstractNum>
  <w:abstractNum w:abstractNumId="23">
    <w:nsid w:val="4C04A8AF"/>
    <w:multiLevelType w:val="hybridMultilevel"/>
    <w:lvl w:ilvl="0">
      <w:lvlJc w:val="left"/>
      <w:lvlText w:val="•"/>
      <w:numFmt w:val="bullet"/>
      <w:start w:val="1"/>
    </w:lvl>
  </w:abstractNum>
  <w:abstractNum w:abstractNumId="24">
    <w:nsid w:val="1716703B"/>
    <w:multiLevelType w:val="hybridMultilevel"/>
    <w:lvl w:ilvl="0">
      <w:lvlJc w:val="left"/>
      <w:lvlText w:val="•"/>
      <w:numFmt w:val="bullet"/>
      <w:start w:val="1"/>
    </w:lvl>
  </w:abstractNum>
  <w:abstractNum w:abstractNumId="25">
    <w:nsid w:val="14E17E33"/>
    <w:multiLevelType w:val="hybridMultilevel"/>
    <w:lvl w:ilvl="0">
      <w:lvlJc w:val="left"/>
      <w:lvlText w:val="•"/>
      <w:numFmt w:val="bullet"/>
      <w:start w:val="1"/>
    </w:lvl>
  </w:abstractNum>
  <w:abstractNum w:abstractNumId="26">
    <w:nsid w:val="3222E7CD"/>
    <w:multiLevelType w:val="hybridMultilevel"/>
    <w:lvl w:ilvl="0">
      <w:lvlJc w:val="left"/>
      <w:lvlText w:val="•"/>
      <w:numFmt w:val="bullet"/>
      <w:start w:val="1"/>
    </w:lvl>
  </w:abstractNum>
  <w:abstractNum w:abstractNumId="27">
    <w:nsid w:val="74DE0EE3"/>
    <w:multiLevelType w:val="hybridMultilevel"/>
    <w:lvl w:ilvl="0">
      <w:lvlJc w:val="left"/>
      <w:lvlText w:val="•"/>
      <w:numFmt w:val="bullet"/>
      <w:start w:val="1"/>
    </w:lvl>
  </w:abstractNum>
  <w:abstractNum w:abstractNumId="28">
    <w:nsid w:val="68EBC550"/>
    <w:multiLevelType w:val="hybridMultilevel"/>
    <w:lvl w:ilvl="0">
      <w:lvlJc w:val="left"/>
      <w:lvlText w:val="(%1)"/>
      <w:numFmt w:val="decimal"/>
      <w:start w:val="1"/>
    </w:lvl>
  </w:abstractNum>
  <w:abstractNum w:abstractNumId="29">
    <w:nsid w:val="2DF6D648"/>
    <w:multiLevelType w:val="hybridMultilevel"/>
    <w:lvl w:ilvl="0">
      <w:lvlJc w:val="left"/>
      <w:lvlText w:val="(%1)"/>
      <w:numFmt w:val="decimal"/>
      <w:start w:val="1"/>
    </w:lvl>
  </w:abstractNum>
  <w:abstractNum w:abstractNumId="30">
    <w:nsid w:val="46B7D447"/>
    <w:multiLevelType w:val="hybridMultilevel"/>
    <w:lvl w:ilvl="0">
      <w:lvlJc w:val="left"/>
      <w:lvlText w:val="•"/>
      <w:numFmt w:val="bullet"/>
      <w:start w:val="1"/>
    </w:lvl>
  </w:abstractNum>
  <w:abstractNum w:abstractNumId="31">
    <w:nsid w:val="4A2AC315"/>
    <w:multiLevelType w:val="hybridMultilevel"/>
    <w:lvl w:ilvl="0">
      <w:lvlJc w:val="left"/>
      <w:lvlText w:val="•"/>
      <w:numFmt w:val="bullet"/>
      <w:start w:val="1"/>
    </w:lvl>
  </w:abstractNum>
  <w:abstractNum w:abstractNumId="32">
    <w:nsid w:val="39EE015C"/>
    <w:multiLevelType w:val="hybridMultilevel"/>
    <w:lvl w:ilvl="0">
      <w:lvlJc w:val="left"/>
      <w:lvlText w:val="%1."/>
      <w:numFmt w:val="decimal"/>
      <w:start w:val="1"/>
    </w:lvl>
  </w:abstractNum>
  <w:abstractNum w:abstractNumId="33">
    <w:nsid w:val="57FC4FBB"/>
    <w:multiLevelType w:val="hybridMultilevel"/>
    <w:lvl w:ilvl="0">
      <w:lvlJc w:val="left"/>
      <w:lvlText w:val="%1."/>
      <w:numFmt w:val="decimal"/>
      <w:start w:val="1"/>
    </w:lvl>
  </w:abstractNum>
  <w:abstractNum w:abstractNumId="34">
    <w:nsid w:val="CC1016F"/>
    <w:multiLevelType w:val="hybridMultilevel"/>
    <w:lvl w:ilvl="0">
      <w:lvlJc w:val="left"/>
      <w:lvlText w:val="%1."/>
      <w:numFmt w:val="decimal"/>
      <w:start w:val="1"/>
    </w:lvl>
  </w:abstractNum>
  <w:abstractNum w:abstractNumId="35">
    <w:nsid w:val="43F18422"/>
    <w:multiLevelType w:val="hybridMultilevel"/>
    <w:lvl w:ilvl="0">
      <w:lvlJc w:val="left"/>
      <w:lvlText w:val="•"/>
      <w:numFmt w:val="bullet"/>
      <w:start w:val="1"/>
    </w:lvl>
  </w:abstractNum>
  <w:abstractNum w:abstractNumId="36">
    <w:nsid w:val="60EF0119"/>
    <w:multiLevelType w:val="hybridMultilevel"/>
    <w:lvl w:ilvl="0">
      <w:lvlJc w:val="left"/>
      <w:lvlText w:val="2"/>
      <w:numFmt w:val="bullet"/>
      <w:start w:val="1"/>
    </w:lvl>
  </w:abstractNum>
  <w:abstractNum w:abstractNumId="37">
    <w:nsid w:val="26F324BA"/>
    <w:multiLevelType w:val="hybridMultilevel"/>
    <w:lvl w:ilvl="0">
      <w:lvlJc w:val="left"/>
      <w:lvlText w:val="3"/>
      <w:numFmt w:val="bullet"/>
      <w:start w:val="1"/>
    </w:lvl>
  </w:abstractNum>
  <w:abstractNum w:abstractNumId="38">
    <w:nsid w:val="7F01579B"/>
    <w:multiLevelType w:val="hybridMultilevel"/>
    <w:lvl w:ilvl="0">
      <w:lvlJc w:val="left"/>
      <w:lvlText w:val="•"/>
      <w:numFmt w:val="bullet"/>
      <w:start w:val="1"/>
    </w:lvl>
  </w:abstractNum>
  <w:abstractNum w:abstractNumId="39">
    <w:nsid w:val="49DA307D"/>
    <w:multiLevelType w:val="hybridMultilevel"/>
    <w:lvl w:ilvl="0">
      <w:lvlJc w:val="left"/>
      <w:lvlText w:val="•"/>
      <w:numFmt w:val="bullet"/>
      <w:start w:val="1"/>
    </w:lvl>
  </w:abstractNum>
  <w:abstractNum w:abstractNumId="40">
    <w:nsid w:val="7055A5F5"/>
    <w:multiLevelType w:val="hybridMultilevel"/>
    <w:lvl w:ilvl="0">
      <w:lvlJc w:val="left"/>
      <w:lvlText w:val="•"/>
      <w:numFmt w:val="bullet"/>
      <w:start w:val="1"/>
    </w:lvl>
  </w:abstractNum>
  <w:abstractNum w:abstractNumId="41">
    <w:nsid w:val="5FB8370B"/>
    <w:multiLevelType w:val="hybridMultilevel"/>
    <w:lvl w:ilvl="0">
      <w:lvlJc w:val="left"/>
      <w:lvlText w:val="•"/>
      <w:numFmt w:val="bullet"/>
      <w:start w:val="1"/>
    </w:lvl>
  </w:abstractNum>
  <w:abstractNum w:abstractNumId="42">
    <w:nsid w:val="50801EE1"/>
    <w:multiLevelType w:val="hybridMultilevel"/>
    <w:lvl w:ilvl="0">
      <w:lvlJc w:val="left"/>
      <w:lvlText w:val="•"/>
      <w:numFmt w:val="bullet"/>
      <w:start w:val="1"/>
    </w:lvl>
  </w:abstractNum>
  <w:abstractNum w:abstractNumId="43">
    <w:nsid w:val="488AC1A"/>
    <w:multiLevelType w:val="hybridMultilevel"/>
    <w:lvl w:ilvl="0">
      <w:lvlJc w:val="left"/>
      <w:lvlText w:val="•"/>
      <w:numFmt w:val="bullet"/>
      <w:start w:val="1"/>
    </w:lvl>
  </w:abstractNum>
  <w:abstractNum w:abstractNumId="44">
    <w:nsid w:val="5FB8011C"/>
    <w:multiLevelType w:val="hybridMultilevel"/>
    <w:lvl w:ilvl="0">
      <w:lvlJc w:val="left"/>
      <w:lvlText w:val="4"/>
      <w:numFmt w:val="bullet"/>
      <w:start w:val="1"/>
    </w:lvl>
  </w:abstractNum>
  <w:abstractNum w:abstractNumId="45">
    <w:nsid w:val="6AA78F7F"/>
    <w:multiLevelType w:val="hybridMultilevel"/>
    <w:lvl w:ilvl="0">
      <w:lvlJc w:val="left"/>
      <w:lvlText w:val="5"/>
      <w:numFmt w:val="bullet"/>
      <w:start w:val="1"/>
    </w:lvl>
  </w:abstractNum>
  <w:abstractNum w:abstractNumId="46">
    <w:nsid w:val="7672BD23"/>
    <w:multiLevelType w:val="hybridMultilevel"/>
    <w:lvl w:ilvl="0">
      <w:lvlJc w:val="left"/>
      <w:lvlText w:val="•"/>
      <w:numFmt w:val="bullet"/>
      <w:start w:val="1"/>
    </w:lvl>
  </w:abstractNum>
  <w:abstractNum w:abstractNumId="47">
    <w:nsid w:val="6FC75AF8"/>
    <w:multiLevelType w:val="hybridMultilevel"/>
    <w:lvl w:ilvl="0">
      <w:lvlJc w:val="left"/>
      <w:lvlText w:val="•"/>
      <w:numFmt w:val="bullet"/>
      <w:start w:val="1"/>
    </w:lvl>
  </w:abstractNum>
  <w:abstractNum w:abstractNumId="48">
    <w:nsid w:val="6A5F7029"/>
    <w:multiLevelType w:val="hybridMultilevel"/>
    <w:lvl w:ilvl="0">
      <w:lvlJc w:val="left"/>
      <w:lvlText w:val="*"/>
      <w:numFmt w:val="bullet"/>
      <w:start w:val="1"/>
    </w:lvl>
  </w:abstractNum>
  <w:abstractNum w:abstractNumId="49">
    <w:nsid w:val="7D5E18F8"/>
    <w:multiLevelType w:val="hybridMultilevel"/>
    <w:lvl w:ilvl="0">
      <w:lvlJc w:val="left"/>
      <w:lvlText w:val="**"/>
      <w:numFmt w:val="bullet"/>
      <w:start w:val="1"/>
    </w:lvl>
  </w:abstractNum>
  <w:abstractNum w:abstractNumId="50">
    <w:nsid w:val="5F3534A4"/>
    <w:multiLevelType w:val="hybridMultilevel"/>
    <w:lvl w:ilvl="0">
      <w:lvlJc w:val="left"/>
      <w:lvlText w:val="•"/>
      <w:numFmt w:val="bullet"/>
      <w:start w:val="1"/>
    </w:lvl>
  </w:abstractNum>
  <w:abstractNum w:abstractNumId="51">
    <w:nsid w:val="73A1821B"/>
    <w:multiLevelType w:val="hybridMultilevel"/>
    <w:lvl w:ilvl="0">
      <w:lvlJc w:val="left"/>
      <w:lvlText w:val="•"/>
      <w:numFmt w:val="bullet"/>
      <w:start w:val="1"/>
    </w:lvl>
  </w:abstractNum>
  <w:abstractNum w:abstractNumId="52">
    <w:nsid w:val="7DE67713"/>
    <w:multiLevelType w:val="hybridMultilevel"/>
    <w:lvl w:ilvl="0">
      <w:lvlJc w:val="left"/>
      <w:lvlText w:val="•"/>
      <w:numFmt w:val="bullet"/>
      <w:start w:val="1"/>
    </w:lvl>
  </w:abstractNum>
  <w:abstractNum w:abstractNumId="53">
    <w:nsid w:val="555C55B5"/>
    <w:multiLevelType w:val="hybridMultilevel"/>
    <w:lvl w:ilvl="0">
      <w:lvlJc w:val="left"/>
      <w:lvlText w:val="•"/>
      <w:numFmt w:val="bullet"/>
      <w:start w:val="1"/>
    </w:lvl>
  </w:abstractNum>
  <w:abstractNum w:abstractNumId="54">
    <w:nsid w:val="3FA62ACA"/>
    <w:multiLevelType w:val="hybridMultilevel"/>
    <w:lvl w:ilvl="0">
      <w:lvlJc w:val="left"/>
      <w:lvlText w:val="•"/>
      <w:numFmt w:val="bullet"/>
      <w:start w:val="1"/>
    </w:lvl>
  </w:abstractNum>
  <w:abstractNum w:abstractNumId="55">
    <w:nsid w:val="14FCE74E"/>
    <w:multiLevelType w:val="hybridMultilevel"/>
    <w:lvl w:ilvl="0">
      <w:lvlJc w:val="left"/>
      <w:lvlText w:val="•"/>
      <w:numFmt w:val="bullet"/>
      <w:start w:val="1"/>
    </w:lvl>
  </w:abstractNum>
  <w:abstractNum w:abstractNumId="56">
    <w:nsid w:val="6A3DD3E8"/>
    <w:multiLevelType w:val="hybridMultilevel"/>
    <w:lvl w:ilvl="0">
      <w:lvlJc w:val="left"/>
      <w:lvlText w:val="•"/>
      <w:numFmt w:val="bullet"/>
      <w:start w:val="1"/>
    </w:lvl>
  </w:abstractNum>
  <w:abstractNum w:abstractNumId="57">
    <w:nsid w:val="71C91298"/>
    <w:multiLevelType w:val="hybridMultilevel"/>
    <w:lvl w:ilvl="0">
      <w:lvlJc w:val="left"/>
      <w:lvlText w:val="•"/>
      <w:numFmt w:val="bullet"/>
      <w:start w:val="1"/>
    </w:lvl>
  </w:abstractNum>
  <w:abstractNum w:abstractNumId="58">
    <w:nsid w:val="9DAF632"/>
    <w:multiLevelType w:val="hybridMultilevel"/>
    <w:lvl w:ilvl="0">
      <w:lvlJc w:val="left"/>
      <w:lvlText w:val="•"/>
      <w:numFmt w:val="bullet"/>
      <w:start w:val="1"/>
    </w:lvl>
  </w:abstractNum>
  <w:abstractNum w:abstractNumId="59">
    <w:nsid w:val="53299938"/>
    <w:multiLevelType w:val="hybridMultilevel"/>
    <w:lvl w:ilvl="0">
      <w:lvlJc w:val="left"/>
      <w:lvlText w:val="•"/>
      <w:numFmt w:val="bullet"/>
      <w:start w:val="1"/>
    </w:lvl>
  </w:abstractNum>
  <w:abstractNum w:abstractNumId="60">
    <w:nsid w:val="1FBFE8E0"/>
    <w:multiLevelType w:val="hybridMultilevel"/>
    <w:lvl w:ilvl="0">
      <w:lvlJc w:val="left"/>
      <w:lvlText w:val="•"/>
      <w:numFmt w:val="bullet"/>
      <w:start w:val="1"/>
    </w:lvl>
  </w:abstractNum>
  <w:abstractNum w:abstractNumId="61">
    <w:nsid w:val="5092CA79"/>
    <w:multiLevelType w:val="hybridMultilevel"/>
    <w:lvl w:ilvl="0">
      <w:lvlJc w:val="left"/>
      <w:lvlText w:val="(%1)"/>
      <w:numFmt w:val="decimal"/>
      <w:start w:val="1"/>
    </w:lvl>
  </w:abstractNum>
  <w:abstractNum w:abstractNumId="62">
    <w:nsid w:val="1D545C4D"/>
    <w:multiLevelType w:val="hybridMultilevel"/>
    <w:lvl w:ilvl="0">
      <w:lvlJc w:val="left"/>
      <w:lvlText w:val="(%1)"/>
      <w:numFmt w:val="decimal"/>
      <w:start w:val="1"/>
    </w:lvl>
  </w:abstractNum>
  <w:abstractNum w:abstractNumId="63">
    <w:nsid w:val="59ADEA3D"/>
    <w:multiLevelType w:val="hybridMultilevel"/>
    <w:lvl w:ilvl="0">
      <w:lvlJc w:val="left"/>
      <w:lvlText w:val="(%1)"/>
      <w:numFmt w:val="decimal"/>
      <w:start w:val="1"/>
    </w:lvl>
  </w:abstractNum>
  <w:abstractNum w:abstractNumId="64">
    <w:nsid w:val="288F1A34"/>
    <w:multiLevelType w:val="hybridMultilevel"/>
    <w:lvl w:ilvl="0">
      <w:lvlJc w:val="left"/>
      <w:lvlText w:val="•"/>
      <w:numFmt w:val="bullet"/>
      <w:start w:val="1"/>
    </w:lvl>
  </w:abstractNum>
  <w:abstractNum w:abstractNumId="65">
    <w:nsid w:val="2A155DBC"/>
    <w:multiLevelType w:val="hybridMultilevel"/>
    <w:lvl w:ilvl="0">
      <w:lvlJc w:val="left"/>
      <w:lvlText w:val="%1."/>
      <w:numFmt w:val="decimal"/>
      <w:start w:val="1"/>
    </w:lvl>
    <w:lvl w:ilvl="1">
      <w:lvlJc w:val="left"/>
      <w:lvlText w:val="(%2)"/>
      <w:numFmt w:val="lowerRoman"/>
      <w:start w:val="2"/>
    </w:lvl>
  </w:abstractNum>
  <w:abstractNum w:abstractNumId="66">
    <w:nsid w:val="1D9F6E5F"/>
    <w:multiLevelType w:val="hybridMultilevel"/>
    <w:lvl w:ilvl="0">
      <w:lvlJc w:val="left"/>
      <w:lvlText w:val="%1."/>
      <w:numFmt w:val="decimal"/>
      <w:start w:val="1"/>
    </w:lvl>
  </w:abstractNum>
  <w:abstractNum w:abstractNumId="67">
    <w:nsid w:val="97E1B4E"/>
    <w:multiLevelType w:val="hybridMultilevel"/>
    <w:lvl w:ilvl="0">
      <w:lvlJc w:val="left"/>
      <w:lvlText w:val="(%1)"/>
      <w:numFmt w:val="lowerRoman"/>
      <w:start w:val="4"/>
    </w:lvl>
  </w:abstractNum>
  <w:abstractNum w:abstractNumId="68">
    <w:nsid w:val="51088277"/>
    <w:multiLevelType w:val="hybridMultilevel"/>
    <w:lvl w:ilvl="0">
      <w:lvlJc w:val="left"/>
      <w:lvlText w:val="%1."/>
      <w:numFmt w:val="decimal"/>
      <w:start w:val="1"/>
    </w:lvl>
  </w:abstractNum>
  <w:abstractNum w:abstractNumId="69">
    <w:nsid w:val="1CA0C5FA"/>
    <w:multiLevelType w:val="hybridMultilevel"/>
    <w:lvl w:ilvl="0">
      <w:lvlJc w:val="left"/>
      <w:lvlText w:val="%1."/>
      <w:numFmt w:val="decimal"/>
      <w:start w:val="1"/>
    </w:lvl>
  </w:abstractNum>
  <w:abstractNum w:abstractNumId="70">
    <w:nsid w:val="53584BCB"/>
    <w:multiLevelType w:val="hybridMultilevel"/>
    <w:lvl w:ilvl="0">
      <w:lvlJc w:val="left"/>
      <w:lvlText w:val="%1."/>
      <w:numFmt w:val="decimal"/>
      <w:start w:val="1"/>
    </w:lvl>
  </w:abstractNum>
  <w:abstractNum w:abstractNumId="71">
    <w:nsid w:val="415E286C"/>
    <w:multiLevelType w:val="hybridMultilevel"/>
    <w:lvl w:ilvl="0">
      <w:lvlJc w:val="left"/>
      <w:lvlText w:val="%1."/>
      <w:numFmt w:val="decimal"/>
      <w:start w:val="2"/>
    </w:lvl>
  </w:abstractNum>
  <w:abstractNum w:abstractNumId="72">
    <w:nsid w:val="7C58FD05"/>
    <w:multiLevelType w:val="hybridMultilevel"/>
    <w:lvl w:ilvl="0">
      <w:lvlJc w:val="left"/>
      <w:lvlText w:val="(%1)"/>
      <w:numFmt w:val="lowerRoman"/>
      <w:start w:val="1"/>
    </w:lvl>
  </w:abstractNum>
  <w:abstractNum w:abstractNumId="73">
    <w:nsid w:val="23D86AAC"/>
    <w:multiLevelType w:val="hybridMultilevel"/>
    <w:lvl w:ilvl="0">
      <w:lvlJc w:val="left"/>
      <w:lvlText w:val="•"/>
      <w:numFmt w:val="bullet"/>
      <w:start w:val="1"/>
    </w:lvl>
  </w:abstractNum>
  <w:abstractNum w:abstractNumId="74">
    <w:nsid w:val="45E6D486"/>
    <w:multiLevelType w:val="hybridMultilevel"/>
    <w:lvl w:ilvl="0">
      <w:lvlJc w:val="left"/>
      <w:lvlText w:val="•"/>
      <w:numFmt w:val="bullet"/>
      <w:start w:val="1"/>
    </w:lvl>
  </w:abstractNum>
  <w:abstractNum w:abstractNumId="75">
    <w:nsid w:val="5C10FE21"/>
    <w:multiLevelType w:val="hybridMultilevel"/>
    <w:lvl w:ilvl="0">
      <w:lvlJc w:val="left"/>
      <w:lvlText w:val="(%1)"/>
      <w:numFmt w:val="decimal"/>
      <w:start w:val="1"/>
    </w:lvl>
  </w:abstractNum>
  <w:abstractNum w:abstractNumId="76">
    <w:nsid w:val="E7FFA2B"/>
    <w:multiLevelType w:val="hybridMultilevel"/>
    <w:lvl w:ilvl="0">
      <w:lvlJc w:val="left"/>
      <w:lvlText w:val="(%1)"/>
      <w:numFmt w:val="decimal"/>
      <w:start w:val="3"/>
    </w:lvl>
  </w:abstractNum>
  <w:abstractNum w:abstractNumId="77">
    <w:nsid w:val="3C5991AA"/>
    <w:multiLevelType w:val="hybridMultilevel"/>
    <w:lvl w:ilvl="0">
      <w:lvlJc w:val="left"/>
      <w:lvlText w:val="(%1)"/>
      <w:numFmt w:val="decimal"/>
      <w:start w:val="9"/>
    </w:lvl>
  </w:abstractNum>
  <w:abstractNum w:abstractNumId="78">
    <w:nsid w:val="4BD8591A"/>
    <w:multiLevelType w:val="hybridMultilevel"/>
    <w:lvl w:ilvl="0">
      <w:lvlJc w:val="left"/>
      <w:lvlText w:val="(%1)"/>
      <w:numFmt w:val="decimal"/>
      <w:start w:val="1"/>
    </w:lvl>
  </w:abstractNum>
  <w:abstractNum w:abstractNumId="79">
    <w:nsid w:val="78DF6A55"/>
    <w:multiLevelType w:val="hybridMultilevel"/>
    <w:lvl w:ilvl="0">
      <w:lvlJc w:val="left"/>
      <w:lvlText w:val="(%1)"/>
      <w:numFmt w:val="decimal"/>
      <w:start w:val="9"/>
    </w:lvl>
  </w:abstractNum>
  <w:abstractNum w:abstractNumId="80">
    <w:nsid w:val="39B7AAA2"/>
    <w:multiLevelType w:val="hybridMultilevel"/>
    <w:lvl w:ilvl="0">
      <w:lvlJc w:val="left"/>
      <w:lvlText w:val="(%1)"/>
      <w:numFmt w:val="decimal"/>
      <w:start w:val="27"/>
    </w:lvl>
  </w:abstractNum>
  <w:abstractNum w:abstractNumId="81">
    <w:nsid w:val="2B0D8DBE"/>
    <w:multiLevelType w:val="hybridMultilevel"/>
    <w:lvl w:ilvl="0">
      <w:lvlJc w:val="left"/>
      <w:lvlText w:val="(%1)"/>
      <w:numFmt w:val="decimal"/>
      <w:start w:val="49"/>
    </w:lvl>
  </w:abstractNum>
  <w:abstractNum w:abstractNumId="82">
    <w:nsid w:val="6C80EC70"/>
    <w:multiLevelType w:val="hybridMultilevel"/>
    <w:lvl w:ilvl="0">
      <w:lvlJc w:val="left"/>
      <w:lvlText w:val="(%1)"/>
      <w:numFmt w:val="lowerRoman"/>
      <w:start w:val="10"/>
    </w:lvl>
  </w:abstractNum>
  <w:abstractNum w:abstractNumId="83">
    <w:nsid w:val="379E21B5"/>
    <w:multiLevelType w:val="hybridMultilevel"/>
    <w:lvl w:ilvl="0">
      <w:lvlJc w:val="left"/>
      <w:lvlText w:val="•"/>
      <w:numFmt w:val="bullet"/>
      <w:start w:val="1"/>
    </w:lvl>
  </w:abstractNum>
  <w:abstractNum w:abstractNumId="84">
    <w:nsid w:val="69E373"/>
    <w:multiLevelType w:val="hybridMultilevel"/>
    <w:lvl w:ilvl="0">
      <w:lvlJc w:val="left"/>
      <w:lvlText w:val="(%1)"/>
      <w:numFmt w:val="decimal"/>
      <w:start w:val="1"/>
    </w:lvl>
  </w:abstractNum>
  <w:abstractNum w:abstractNumId="85">
    <w:nsid w:val="2C27173B"/>
    <w:multiLevelType w:val="hybridMultilevel"/>
    <w:lvl w:ilvl="0">
      <w:lvlJc w:val="left"/>
      <w:lvlText w:val="•"/>
      <w:numFmt w:val="bullet"/>
      <w:start w:val="1"/>
    </w:lvl>
  </w:abstractNum>
  <w:abstractNum w:abstractNumId="86">
    <w:nsid w:val="4C9B0904"/>
    <w:multiLevelType w:val="hybridMultilevel"/>
    <w:lvl w:ilvl="0">
      <w:lvlJc w:val="left"/>
      <w:lvlText w:val="•"/>
      <w:numFmt w:val="bullet"/>
      <w:start w:val="1"/>
    </w:lvl>
  </w:abstractNum>
  <w:abstractNum w:abstractNumId="87">
    <w:nsid w:val="6AA7B75C"/>
    <w:multiLevelType w:val="hybridMultilevel"/>
    <w:lvl w:ilvl="0">
      <w:lvlJc w:val="left"/>
      <w:lvlText w:val="•"/>
      <w:numFmt w:val="bullet"/>
      <w:start w:val="1"/>
    </w:lvl>
  </w:abstractNum>
  <w:abstractNum w:abstractNumId="88">
    <w:nsid w:val="1DF029D3"/>
    <w:multiLevelType w:val="hybridMultilevel"/>
    <w:lvl w:ilvl="0">
      <w:lvlJc w:val="left"/>
      <w:lvlText w:val="•"/>
      <w:numFmt w:val="bullet"/>
      <w:start w:val="1"/>
    </w:lvl>
  </w:abstractNum>
  <w:abstractNum w:abstractNumId="89">
    <w:nsid w:val="5675FF36"/>
    <w:multiLevelType w:val="hybridMultilevel"/>
    <w:lvl w:ilvl="0">
      <w:lvlJc w:val="left"/>
      <w:lvlText w:val="•"/>
      <w:numFmt w:val="bullet"/>
      <w:start w:val="1"/>
    </w:lvl>
  </w:abstractNum>
  <w:abstractNum w:abstractNumId="90">
    <w:nsid w:val="3DD15094"/>
    <w:multiLevelType w:val="hybridMultilevel"/>
    <w:lvl w:ilvl="0">
      <w:lvlJc w:val="left"/>
      <w:lvlText w:val="•"/>
      <w:numFmt w:val="bullet"/>
      <w:start w:val="1"/>
    </w:lvl>
  </w:abstractNum>
  <w:abstractNum w:abstractNumId="91">
    <w:nsid w:val="3DB012B3"/>
    <w:multiLevelType w:val="hybridMultilevel"/>
    <w:lvl w:ilvl="0">
      <w:lvlJc w:val="left"/>
      <w:lvlText w:val="(%1)"/>
      <w:numFmt w:val="decimal"/>
      <w:start w:val="2"/>
    </w:lvl>
  </w:abstractNum>
  <w:abstractNum w:abstractNumId="92">
    <w:nsid w:val="2708C9AF"/>
    <w:multiLevelType w:val="hybridMultilevel"/>
    <w:lvl w:ilvl="0">
      <w:lvlJc w:val="left"/>
      <w:lvlText w:val="(%1)"/>
      <w:numFmt w:val="lowerLetter"/>
      <w:start w:val="1"/>
    </w:lvl>
  </w:abstractNum>
  <w:abstractNum w:abstractNumId="93">
    <w:nsid w:val="5B25ACE2"/>
    <w:multiLevelType w:val="hybridMultilevel"/>
    <w:lvl w:ilvl="0">
      <w:lvlJc w:val="left"/>
      <w:lvlText w:val="•"/>
      <w:numFmt w:val="bullet"/>
      <w:start w:val="1"/>
    </w:lvl>
  </w:abstractNum>
  <w:abstractNum w:abstractNumId="94">
    <w:nsid w:val="175DFCF0"/>
    <w:multiLevelType w:val="hybridMultilevel"/>
    <w:lvl w:ilvl="0">
      <w:lvlJc w:val="left"/>
      <w:lvlText w:val="•"/>
      <w:numFmt w:val="bullet"/>
      <w:start w:val="1"/>
    </w:lvl>
  </w:abstractNum>
  <w:abstractNum w:abstractNumId="95">
    <w:nsid w:val="4F97E3E4"/>
    <w:multiLevelType w:val="hybridMultilevel"/>
    <w:lvl w:ilvl="0">
      <w:lvlJc w:val="left"/>
      <w:lvlText w:val="%1."/>
      <w:numFmt w:val="decimal"/>
      <w:start w:val="1"/>
    </w:lvl>
  </w:abstractNum>
  <w:abstractNum w:abstractNumId="96">
    <w:nsid w:val="53B0A9E"/>
    <w:multiLevelType w:val="hybridMultilevel"/>
    <w:lvl w:ilvl="0">
      <w:lvlJc w:val="left"/>
      <w:lvlText w:val="%1."/>
      <w:numFmt w:val="decimal"/>
      <w:start w:val="1"/>
    </w:lvl>
  </w:abstractNum>
  <w:abstractNum w:abstractNumId="97">
    <w:nsid w:val="34FD6B4F"/>
    <w:multiLevelType w:val="hybridMultilevel"/>
    <w:lvl w:ilvl="0">
      <w:lvlJc w:val="left"/>
      <w:lvlText w:val="%1."/>
      <w:numFmt w:val="decimal"/>
      <w:start w:val="1"/>
    </w:lvl>
  </w:abstractNum>
  <w:abstractNum w:abstractNumId="98">
    <w:nsid w:val="5915FF32"/>
    <w:multiLevelType w:val="hybridMultilevel"/>
    <w:lvl w:ilvl="0">
      <w:lvlJc w:val="left"/>
      <w:lvlText w:val="%1."/>
      <w:numFmt w:val="decimal"/>
      <w:start w:val="2"/>
    </w:lvl>
  </w:abstractNum>
  <w:abstractNum w:abstractNumId="99">
    <w:nsid w:val="56438D15"/>
    <w:multiLevelType w:val="hybridMultilevel"/>
    <w:lvl w:ilvl="0">
      <w:lvlJc w:val="left"/>
      <w:lvlText w:val="1"/>
      <w:numFmt w:val="bullet"/>
      <w:start w:val="1"/>
    </w:lvl>
  </w:abstractNum>
  <w:abstractNum w:abstractNumId="100">
    <w:nsid w:val="519E3149"/>
    <w:multiLevelType w:val="hybridMultilevel"/>
    <w:lvl w:ilvl="0">
      <w:lvlJc w:val="left"/>
      <w:lvlText w:val="%1."/>
      <w:numFmt w:val="decimal"/>
      <w:start w:val="3"/>
    </w:lvl>
  </w:abstractNum>
  <w:abstractNum w:abstractNumId="101">
    <w:nsid w:val="2C6E4AFD"/>
    <w:multiLevelType w:val="hybridMultilevel"/>
    <w:lvl w:ilvl="0">
      <w:lvlJc w:val="left"/>
      <w:lvlText w:val="•"/>
      <w:numFmt w:val="bullet"/>
      <w:start w:val="1"/>
    </w:lvl>
  </w:abstractNum>
  <w:abstractNum w:abstractNumId="102">
    <w:nsid w:val="17A1B582"/>
    <w:multiLevelType w:val="hybridMultilevel"/>
    <w:lvl w:ilvl="0">
      <w:lvlJc w:val="left"/>
      <w:lvlText w:val="•"/>
      <w:numFmt w:val="bullet"/>
      <w:start w:val="1"/>
    </w:lvl>
  </w:abstractNum>
  <w:abstractNum w:abstractNumId="103">
    <w:nsid w:val="4DF72E4E"/>
    <w:multiLevelType w:val="hybridMultilevel"/>
    <w:lvl w:ilvl="0">
      <w:lvlJc w:val="left"/>
      <w:lvlText w:val="•"/>
      <w:numFmt w:val="bullet"/>
      <w:start w:val="1"/>
    </w:lvl>
  </w:abstractNum>
  <w:abstractNum w:abstractNumId="104">
    <w:nsid w:val="5046B5A9"/>
    <w:multiLevelType w:val="hybridMultilevel"/>
    <w:lvl w:ilvl="0">
      <w:lvlJc w:val="left"/>
      <w:lvlText w:val="•"/>
      <w:numFmt w:val="bullet"/>
      <w:start w:val="1"/>
    </w:lvl>
  </w:abstractNum>
  <w:abstractNum w:abstractNumId="105">
    <w:nsid w:val="5D888A08"/>
    <w:multiLevelType w:val="hybridMultilevel"/>
    <w:lvl w:ilvl="0">
      <w:lvlJc w:val="left"/>
      <w:lvlText w:val="1"/>
      <w:numFmt w:val="bullet"/>
      <w:start w:val="1"/>
    </w:lvl>
  </w:abstractNum>
  <w:abstractNum w:abstractNumId="106">
    <w:nsid w:val="2A082C70"/>
    <w:multiLevelType w:val="hybridMultilevel"/>
    <w:lvl w:ilvl="0">
      <w:lvlJc w:val="left"/>
      <w:lvlText w:val="2"/>
      <w:numFmt w:val="bullet"/>
      <w:start w:val="1"/>
    </w:lvl>
  </w:abstractNum>
  <w:abstractNum w:abstractNumId="107">
    <w:nsid w:val="5EC6AFD4"/>
    <w:multiLevelType w:val="hybridMultilevel"/>
    <w:lvl w:ilvl="0">
      <w:lvlJc w:val="left"/>
      <w:lvlText w:val="%1."/>
      <w:numFmt w:val="decimal"/>
      <w:start w:val="4"/>
    </w:lvl>
  </w:abstractNum>
  <w:abstractNum w:abstractNumId="108">
    <w:nsid w:val="19E21BB2"/>
    <w:multiLevelType w:val="hybridMultilevel"/>
    <w:lvl w:ilvl="0">
      <w:lvlJc w:val="left"/>
      <w:lvlText w:val="%1."/>
      <w:numFmt w:val="decimal"/>
      <w:start w:val="5"/>
    </w:lvl>
  </w:abstractNum>
  <w:abstractNum w:abstractNumId="109">
    <w:nsid w:val="75E0858A"/>
    <w:multiLevelType w:val="hybridMultilevel"/>
    <w:lvl w:ilvl="0">
      <w:lvlJc w:val="left"/>
      <w:lvlText w:val="•"/>
      <w:numFmt w:val="bullet"/>
      <w:start w:val="1"/>
    </w:lvl>
  </w:abstractNum>
  <w:abstractNum w:abstractNumId="110">
    <w:nsid w:val="57A61A29"/>
    <w:multiLevelType w:val="hybridMultilevel"/>
    <w:lvl w:ilvl="0">
      <w:lvlJc w:val="left"/>
      <w:lvlText w:val="%1."/>
      <w:numFmt w:val="decimal"/>
      <w:start w:val="6"/>
    </w:lvl>
  </w:abstractNum>
  <w:abstractNum w:abstractNumId="111">
    <w:nsid w:val="5399C654"/>
    <w:multiLevelType w:val="hybridMultilevel"/>
    <w:lvl w:ilvl="0">
      <w:lvlJc w:val="left"/>
      <w:lvlText w:val="%1."/>
      <w:numFmt w:val="decimal"/>
      <w:start w:val="7"/>
    </w:lvl>
  </w:abstractNum>
  <w:abstractNum w:abstractNumId="112">
    <w:nsid w:val="20EE1348"/>
    <w:multiLevelType w:val="hybridMultilevel"/>
    <w:lvl w:ilvl="0">
      <w:lvlJc w:val="left"/>
      <w:lvlText w:val="%1."/>
      <w:numFmt w:val="decimal"/>
      <w:start w:val="8"/>
    </w:lvl>
  </w:abstractNum>
  <w:abstractNum w:abstractNumId="113">
    <w:nsid w:val="4427069A"/>
    <w:multiLevelType w:val="hybridMultilevel"/>
    <w:lvl w:ilvl="0">
      <w:lvlJc w:val="left"/>
      <w:lvlText w:val="%1."/>
      <w:numFmt w:val="decimal"/>
      <w:start w:val="9"/>
    </w:lvl>
  </w:abstractNum>
  <w:abstractNum w:abstractNumId="114">
    <w:nsid w:val="B37E80A"/>
    <w:multiLevelType w:val="hybridMultilevel"/>
    <w:lvl w:ilvl="0">
      <w:lvlJc w:val="left"/>
      <w:lvlText w:val="¹"/>
      <w:numFmt w:val="bullet"/>
      <w:start w:val="1"/>
    </w:lvl>
  </w:abstractNum>
  <w:abstractNum w:abstractNumId="115">
    <w:nsid w:val="2157F6BC"/>
    <w:multiLevelType w:val="hybridMultilevel"/>
    <w:lvl w:ilvl="0">
      <w:lvlJc w:val="left"/>
      <w:lvlText w:val="(%1)"/>
      <w:numFmt w:val="decimal"/>
      <w:start w:val="1"/>
    </w:lvl>
  </w:abstractNum>
  <w:abstractNum w:abstractNumId="116">
    <w:nsid w:val="704E1DD5"/>
    <w:multiLevelType w:val="hybridMultilevel"/>
    <w:lvl w:ilvl="0">
      <w:lvlJc w:val="left"/>
      <w:lvlText w:val="•"/>
      <w:numFmt w:val="bullet"/>
      <w:start w:val="1"/>
    </w:lvl>
  </w:abstractNum>
  <w:abstractNum w:abstractNumId="117">
    <w:nsid w:val="57D2F10E"/>
    <w:multiLevelType w:val="hybridMultilevel"/>
    <w:lvl w:ilvl="0">
      <w:lvlJc w:val="left"/>
      <w:lvlText w:val="•"/>
      <w:numFmt w:val="bullet"/>
      <w:start w:val="1"/>
    </w:lvl>
  </w:abstractNum>
  <w:abstractNum w:abstractNumId="118">
    <w:nsid w:val="BFFAE18"/>
    <w:multiLevelType w:val="hybridMultilevel"/>
    <w:lvl w:ilvl="0">
      <w:lvlJc w:val="left"/>
      <w:lvlText w:val="•"/>
      <w:numFmt w:val="bullet"/>
      <w:start w:val="1"/>
    </w:lvl>
  </w:abstractNum>
  <w:abstractNum w:abstractNumId="119">
    <w:nsid w:val="E3E47A8"/>
    <w:multiLevelType w:val="hybridMultilevel"/>
    <w:lvl w:ilvl="0">
      <w:lvlJc w:val="left"/>
      <w:lvlText w:val="•"/>
      <w:numFmt w:val="bullet"/>
      <w:start w:val="1"/>
    </w:lvl>
  </w:abstractNum>
  <w:abstractNum w:abstractNumId="120">
    <w:nsid w:val="2E48F044"/>
    <w:multiLevelType w:val="hybridMultilevel"/>
    <w:lvl w:ilvl="0">
      <w:lvlJc w:val="left"/>
      <w:lvlText w:val="%1."/>
      <w:numFmt w:val="decimal"/>
      <w:start w:val="1"/>
    </w:lvl>
  </w:abstractNum>
  <w:abstractNum w:abstractNumId="121">
    <w:nsid w:val="49D0FEAC"/>
    <w:multiLevelType w:val="hybridMultilevel"/>
    <w:lvl w:ilvl="0">
      <w:lvlJc w:val="left"/>
      <w:lvlText w:val="%1."/>
      <w:numFmt w:val="decimal"/>
      <w:start w:val="2"/>
    </w:lvl>
  </w:abstractNum>
  <w:abstractNum w:abstractNumId="122">
    <w:nsid w:val="4BEE5A5B"/>
    <w:multiLevelType w:val="hybridMultilevel"/>
    <w:lvl w:ilvl="0">
      <w:lvlJc w:val="left"/>
      <w:lvlText w:val="(%1)"/>
      <w:numFmt w:val="lowerRoman"/>
      <w:start w:val="2"/>
    </w:lvl>
  </w:abstractNum>
  <w:abstractNum w:abstractNumId="123">
    <w:nsid w:val="5551B9F3"/>
    <w:multiLevelType w:val="hybridMultilevel"/>
    <w:lvl w:ilvl="0">
      <w:lvlJc w:val="left"/>
      <w:lvlText w:val="%1."/>
      <w:numFmt w:val="decimal"/>
      <w:start w:val="3"/>
    </w:lvl>
  </w:abstractNum>
  <w:abstractNum w:abstractNumId="124">
    <w:nsid w:val="24F6AB8E"/>
    <w:multiLevelType w:val="hybridMultilevel"/>
    <w:lvl w:ilvl="0">
      <w:lvlJc w:val="left"/>
      <w:lvlText w:val="•"/>
      <w:numFmt w:val="bullet"/>
      <w:start w:val="1"/>
    </w:lvl>
  </w:abstractNum>
  <w:abstractNum w:abstractNumId="125">
    <w:nsid w:val="634C574C"/>
    <w:multiLevelType w:val="hybridMultilevel"/>
    <w:lvl w:ilvl="0">
      <w:lvlJc w:val="left"/>
      <w:lvlText w:val="•"/>
      <w:numFmt w:val="bullet"/>
      <w:start w:val="1"/>
    </w:lvl>
    <w:lvl w:ilvl="1">
      <w:lvlJc w:val="left"/>
      <w:lvlText w:val="○"/>
      <w:numFmt w:val="bullet"/>
      <w:start w:val="1"/>
    </w:lvl>
  </w:abstractNum>
  <w:abstractNum w:abstractNumId="126">
    <w:nsid w:val="24E99DD7"/>
    <w:multiLevelType w:val="hybridMultilevel"/>
    <w:lvl w:ilvl="0">
      <w:lvlJc w:val="left"/>
      <w:lvlText w:val="•"/>
      <w:numFmt w:val="bullet"/>
      <w:start w:val="1"/>
    </w:lvl>
  </w:abstractNum>
  <w:abstractNum w:abstractNumId="127">
    <w:nsid w:val="2A31B62D"/>
    <w:multiLevelType w:val="hybridMultilevel"/>
    <w:lvl w:ilvl="0">
      <w:lvlJc w:val="left"/>
      <w:lvlText w:val="1"/>
      <w:numFmt w:val="bullet"/>
      <w:start w:val="1"/>
    </w:lvl>
  </w:abstractNum>
  <w:abstractNum w:abstractNumId="128">
    <w:nsid w:val="1849C29B"/>
    <w:multiLevelType w:val="hybridMultilevel"/>
    <w:lvl w:ilvl="0">
      <w:lvlJc w:val="left"/>
      <w:lvlText w:val="%1."/>
      <w:numFmt w:val="decimal"/>
      <w:start w:val="4"/>
    </w:lvl>
  </w:abstractNum>
  <w:abstractNum w:abstractNumId="129">
    <w:nsid w:val="7DFF9D09"/>
    <w:multiLevelType w:val="hybridMultilevel"/>
    <w:lvl w:ilvl="0">
      <w:lvlJc w:val="left"/>
      <w:lvlText w:val="%1."/>
      <w:numFmt w:val="decimal"/>
      <w:start w:val="5"/>
    </w:lvl>
  </w:abstractNum>
  <w:abstractNum w:abstractNumId="130">
    <w:nsid w:val="754342"/>
    <w:multiLevelType w:val="hybridMultilevel"/>
    <w:lvl w:ilvl="0">
      <w:lvlJc w:val="left"/>
      <w:lvlText w:val="%1."/>
      <w:numFmt w:val="decimal"/>
      <w:start w:val="6"/>
    </w:lvl>
  </w:abstractNum>
  <w:abstractNum w:abstractNumId="131">
    <w:nsid w:val="69E7F3E5"/>
    <w:multiLevelType w:val="hybridMultilevel"/>
    <w:lvl w:ilvl="0">
      <w:lvlJc w:val="left"/>
      <w:lvlText w:val="•"/>
      <w:numFmt w:val="bullet"/>
      <w:start w:val="1"/>
    </w:lvl>
  </w:abstractNum>
  <w:abstractNum w:abstractNumId="132">
    <w:nsid w:val="2A6DE806"/>
    <w:multiLevelType w:val="hybridMultilevel"/>
    <w:lvl w:ilvl="0">
      <w:lvlJc w:val="left"/>
      <w:lvlText w:val="%1."/>
      <w:numFmt w:val="decimal"/>
      <w:start w:val="7"/>
    </w:lvl>
  </w:abstractNum>
  <w:abstractNum w:abstractNumId="133">
    <w:nsid w:val="1816F8C4"/>
    <w:multiLevelType w:val="hybridMultilevel"/>
    <w:lvl w:ilvl="0">
      <w:lvlJc w:val="left"/>
      <w:lvlText w:val="•"/>
      <w:numFmt w:val="bullet"/>
      <w:start w:val="1"/>
    </w:lvl>
  </w:abstractNum>
  <w:abstractNum w:abstractNumId="134">
    <w:nsid w:val="37DF2233"/>
    <w:multiLevelType w:val="hybridMultilevel"/>
    <w:lvl w:ilvl="0">
      <w:lvlJc w:val="left"/>
      <w:lvlText w:val="•"/>
      <w:numFmt w:val="bullet"/>
      <w:start w:val="1"/>
    </w:lvl>
  </w:abstractNum>
  <w:abstractNum w:abstractNumId="135">
    <w:nsid w:val="7AB49DAF"/>
    <w:multiLevelType w:val="hybridMultilevel"/>
    <w:lvl w:ilvl="0">
      <w:lvlJc w:val="left"/>
      <w:lvlText w:val="%1."/>
      <w:numFmt w:val="decimal"/>
      <w:start w:val="8"/>
    </w:lvl>
  </w:abstractNum>
  <w:abstractNum w:abstractNumId="136">
    <w:nsid w:val="759F82CD"/>
    <w:multiLevelType w:val="hybridMultilevel"/>
    <w:lvl w:ilvl="0">
      <w:lvlJc w:val="left"/>
      <w:lvlText w:val="(%1)"/>
      <w:numFmt w:val="decimal"/>
      <w:start w:val="1"/>
    </w:lvl>
  </w:abstractNum>
  <w:abstractNum w:abstractNumId="137">
    <w:nsid w:val="61E74EA3"/>
    <w:multiLevelType w:val="hybridMultilevel"/>
    <w:lvl w:ilvl="0">
      <w:lvlJc w:val="left"/>
      <w:lvlText w:val="(%1)"/>
      <w:numFmt w:val="decimal"/>
      <w:start w:val="1"/>
    </w:lvl>
  </w:abstractNum>
  <w:abstractNum w:abstractNumId="138">
    <w:nsid w:val="597B4D84"/>
    <w:multiLevelType w:val="hybridMultilevel"/>
    <w:lvl w:ilvl="0">
      <w:lvlJc w:val="left"/>
      <w:lvlText w:val="(%1)"/>
      <w:numFmt w:val="decimal"/>
      <w:start w:val="1"/>
    </w:lvl>
  </w:abstractNum>
  <w:abstractNum w:abstractNumId="139">
    <w:nsid w:val="F819E7F"/>
    <w:multiLevelType w:val="hybridMultilevel"/>
    <w:lvl w:ilvl="0">
      <w:lvlJc w:val="left"/>
      <w:lvlText w:val="%1."/>
      <w:numFmt w:val="decimal"/>
      <w:start w:val="9"/>
    </w:lvl>
  </w:abstractNum>
  <w:abstractNum w:abstractNumId="140">
    <w:nsid w:val="57C7D42D"/>
    <w:multiLevelType w:val="hybridMultilevel"/>
    <w:lvl w:ilvl="0">
      <w:lvlJc w:val="left"/>
      <w:lvlText w:val="¹"/>
      <w:numFmt w:val="bullet"/>
      <w:start w:val="1"/>
    </w:lvl>
  </w:abstractNum>
  <w:abstractNum w:abstractNumId="141">
    <w:nsid w:val="312167AD"/>
    <w:multiLevelType w:val="hybridMultilevel"/>
    <w:lvl w:ilvl="0">
      <w:lvlJc w:val="left"/>
      <w:lvlText w:val="+"/>
      <w:numFmt w:val="bullet"/>
      <w:start w:val="1"/>
    </w:lvl>
  </w:abstractNum>
  <w:abstractNum w:abstractNumId="142">
    <w:nsid w:val="631B64D4"/>
    <w:multiLevelType w:val="hybridMultilevel"/>
    <w:lvl w:ilvl="0">
      <w:lvlJc w:val="left"/>
      <w:lvlText w:val="*"/>
      <w:numFmt w:val="bullet"/>
      <w:start w:val="1"/>
    </w:lvl>
  </w:abstractNum>
  <w:abstractNum w:abstractNumId="143">
    <w:nsid w:val="78B5E776"/>
    <w:multiLevelType w:val="hybridMultilevel"/>
    <w:lvl w:ilvl="0">
      <w:lvlJc w:val="left"/>
      <w:lvlText w:val="•"/>
      <w:numFmt w:val="bullet"/>
      <w:start w:val="1"/>
    </w:lvl>
  </w:abstractNum>
  <w:abstractNum w:abstractNumId="144">
    <w:nsid w:val="75486E47"/>
    <w:multiLevelType w:val="hybridMultilevel"/>
    <w:lvl w:ilvl="0">
      <w:lvlJc w:val="left"/>
      <w:lvlText w:val="%1"/>
      <w:numFmt w:val="decimal"/>
      <w:start w:val="107"/>
    </w:lvl>
  </w:abstractNum>
  <w:abstractNum w:abstractNumId="145">
    <w:nsid w:val="6E534CDE"/>
    <w:multiLevelType w:val="hybridMultilevel"/>
    <w:lvl w:ilvl="0">
      <w:lvlJc w:val="left"/>
      <w:lvlText w:val="+"/>
      <w:numFmt w:val="bullet"/>
      <w:start w:val="1"/>
    </w:lvl>
  </w:abstractNum>
  <w:abstractNum w:abstractNumId="146">
    <w:nsid w:val="1A0DDE32"/>
    <w:multiLevelType w:val="hybridMultilevel"/>
    <w:lvl w:ilvl="0">
      <w:lvlJc w:val="left"/>
      <w:lvlText w:val="#"/>
      <w:numFmt w:val="bullet"/>
      <w:start w:val="1"/>
    </w:lvl>
  </w:abstractNum>
  <w:abstractNum w:abstractNumId="147">
    <w:nsid w:val="65968C1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48">
    <w:nsid w:val="46263DEC"/>
    <w:multiLevelType w:val="hybridMultilevel"/>
    <w:lvl w:ilvl="0">
      <w:lvlJc w:val="left"/>
      <w:lvlText w:val="(%1)"/>
      <w:numFmt w:val="decimal"/>
      <w:start w:val="2"/>
    </w:lvl>
    <w:lvl w:ilvl="1">
      <w:lvlJc w:val="left"/>
      <w:lvlText w:val="(%2)"/>
      <w:numFmt w:val="lowerRoman"/>
      <w:start w:val="1"/>
    </w:lvl>
  </w:abstractNum>
  <w:abstractNum w:abstractNumId="149">
    <w:nsid w:val="260D8C4A"/>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150">
    <w:nsid w:val="73D4D3C4"/>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95" Type="http://schemas.openxmlformats.org/officeDocument/2006/relationships/image" Target="media/image567.png"/><Relationship Id="rId610" Type="http://schemas.openxmlformats.org/officeDocument/2006/relationships/image" Target="media/image568.png"/><Relationship Id="rId611" Type="http://schemas.openxmlformats.org/officeDocument/2006/relationships/image" Target="media/image569.png"/><Relationship Id="rId612" Type="http://schemas.openxmlformats.org/officeDocument/2006/relationships/image" Target="media/image570.png"/><Relationship Id="rId613" Type="http://schemas.openxmlformats.org/officeDocument/2006/relationships/image" Target="media/image571.png"/><Relationship Id="rId614" Type="http://schemas.openxmlformats.org/officeDocument/2006/relationships/image" Target="media/image572.png"/><Relationship Id="rId615" Type="http://schemas.openxmlformats.org/officeDocument/2006/relationships/image" Target="media/image573.png"/><Relationship Id="rId616" Type="http://schemas.openxmlformats.org/officeDocument/2006/relationships/image" Target="media/image574.png"/><Relationship Id="rId617" Type="http://schemas.openxmlformats.org/officeDocument/2006/relationships/image" Target="media/image575.png"/><Relationship Id="rId618" Type="http://schemas.openxmlformats.org/officeDocument/2006/relationships/image" Target="media/image576.png"/><Relationship Id="rId619" Type="http://schemas.openxmlformats.org/officeDocument/2006/relationships/image" Target="media/image577.png"/><Relationship Id="rId620" Type="http://schemas.openxmlformats.org/officeDocument/2006/relationships/image" Target="media/image578.png"/><Relationship Id="rId621" Type="http://schemas.openxmlformats.org/officeDocument/2006/relationships/image" Target="media/image579.jpeg"/><Relationship Id="rId622" Type="http://schemas.openxmlformats.org/officeDocument/2006/relationships/image" Target="media/image580.jpeg"/><Relationship Id="rId623" Type="http://schemas.openxmlformats.org/officeDocument/2006/relationships/image" Target="media/image581.png"/><Relationship Id="rId624" Type="http://schemas.openxmlformats.org/officeDocument/2006/relationships/image" Target="media/image582.jpeg"/><Relationship Id="rId574" Type="http://schemas.openxmlformats.org/officeDocument/2006/relationships/hyperlink" Target="https://www.sec.gov/Archives/edgar/data/1779474/000095010320024045/dp142700_ex0201.htm" TargetMode="External"/><Relationship Id="rId575" Type="http://schemas.openxmlformats.org/officeDocument/2006/relationships/hyperlink" Target="https://www.sec.gov/Archives/edgar/data/1779474/000114036121021785/brhc10025756_ex3-1.htm" TargetMode="External"/><Relationship Id="rId576" Type="http://schemas.openxmlformats.org/officeDocument/2006/relationships/hyperlink" Target="https://www.sec.gov/Archives/edgar/data/1779474/000114036121021785/brhc10025756_ex3-2.htm" TargetMode="External"/><Relationship Id="rId577" Type="http://schemas.openxmlformats.org/officeDocument/2006/relationships/hyperlink" Target="https://www.sec.gov/Archives/edgar/data/1779474/000114036121021785/brhc10025756_ex4-1.htm" TargetMode="External"/><Relationship Id="rId578" Type="http://schemas.openxmlformats.org/officeDocument/2006/relationships/hyperlink" Target="https://www.sec.gov/Archives/edgar/data/1779474/000114036121021785/brhc10025756_ex4-2.htm" TargetMode="External"/><Relationship Id="rId579" Type="http://schemas.openxmlformats.org/officeDocument/2006/relationships/hyperlink" Target="https://www.sec.gov/Archives/edgar/data/1779474/000095010319010751/dp111173_ex0401.htm" TargetMode="External"/><Relationship Id="rId580" Type="http://schemas.openxmlformats.org/officeDocument/2006/relationships/hyperlink" Target="https://www.sec.gov/Archives/edgar/data/1779474/000177947422000010/exhibit45descriptionofsecu.htm" TargetMode="External"/><Relationship Id="rId581" Type="http://schemas.openxmlformats.org/officeDocument/2006/relationships/hyperlink" Target="https://www.sec.gov/Archives/edgar/data/1779474/000114036121023775/nt10026588x1_ex5-1.htm" TargetMode="External"/><Relationship Id="rId582" Type="http://schemas.openxmlformats.org/officeDocument/2006/relationships/hyperlink" Target="https://www.sec.gov/Archives/edgar/data/1779474/000114036121021785/brhc10025756_ex10-1.htm" TargetMode="External"/><Relationship Id="rId583" Type="http://schemas.openxmlformats.org/officeDocument/2006/relationships/hyperlink" Target="https://www.sec.gov/Archives/edgar/data/1779474/000114036121021785/brhc10025756_ex10-2.htm" TargetMode="External"/><Relationship Id="rId584" Type="http://schemas.openxmlformats.org/officeDocument/2006/relationships/hyperlink" Target="https://www.sec.gov/Archives/edgar/data/1779474/000114036121021785/brhc10025756_ex10-3.htm" TargetMode="External"/><Relationship Id="rId585" Type="http://schemas.openxmlformats.org/officeDocument/2006/relationships/hyperlink" Target="https://www.sec.gov/Archives/edgar/data/1779474/000095010320024045/dp142700_ex1001.htm" TargetMode="External"/><Relationship Id="rId586" Type="http://schemas.openxmlformats.org/officeDocument/2006/relationships/hyperlink" Target="https://www.sec.gov/Archives/edgar/data/1779474/000114036121021785/brhc10025756_ex10-5.htm" TargetMode="External"/><Relationship Id="rId587" Type="http://schemas.openxmlformats.org/officeDocument/2006/relationships/hyperlink" Target="https://www.sec.gov/Archives/edgar/data/1779474/000114036121021785/brhc10025756_ex10-6.htm" TargetMode="External"/><Relationship Id="rId588" Type="http://schemas.openxmlformats.org/officeDocument/2006/relationships/hyperlink" Target="https://www.sec.gov/Archives/edgar/data/1779474/000114036121021785/brhc10025756_ex10-7.htm" TargetMode="External"/><Relationship Id="rId589" Type="http://schemas.openxmlformats.org/officeDocument/2006/relationships/hyperlink" Target="https://www.sec.gov/Archives/edgar/data/1779474/000114036121021785/brhc10025756_ex10-7a.htm" TargetMode="External"/><Relationship Id="rId590" Type="http://schemas.openxmlformats.org/officeDocument/2006/relationships/hyperlink" Target="https://www.sec.gov/Archives/edgar/data/1779474/000114036121021785/brhc10025756_ex10-7b.htm" TargetMode="External"/><Relationship Id="rId591" Type="http://schemas.openxmlformats.org/officeDocument/2006/relationships/hyperlink" Target="https://www.sec.gov/Archives/edgar/data/1779474/000114036121021785/brhc10025756_ex10-8.htm" TargetMode="External"/><Relationship Id="rId592" Type="http://schemas.openxmlformats.org/officeDocument/2006/relationships/hyperlink" Target="https://www.sec.gov/Archives/edgar/data/1779474/000114036121021785/brhc10025756_ex10-12.htm" TargetMode="External"/><Relationship Id="rId593" Type="http://schemas.openxmlformats.org/officeDocument/2006/relationships/hyperlink" Target="https://www.sec.gov/Archives/edgar/data/1779474/000114036121021785/brhc10025756_ex10-13.htm" TargetMode="External"/><Relationship Id="rId594" Type="http://schemas.openxmlformats.org/officeDocument/2006/relationships/hyperlink" Target="https://www.sec.gov/Archives/edgar/data/1779474/000114036121021785/brhc10025756_ex10-14.htm" TargetMode="External"/><Relationship Id="rId596" Type="http://schemas.openxmlformats.org/officeDocument/2006/relationships/hyperlink" Target="https://www.sec.gov/Archives/edgar/data/1779474/000114036121021785/brhc10025756_ex10-15.htm" TargetMode="External"/><Relationship Id="rId597" Type="http://schemas.openxmlformats.org/officeDocument/2006/relationships/hyperlink" Target="https://www.sec.gov/Archives/edgar/data/1779474/000114036121021785/brhc10025756_ex10-16.htm" TargetMode="External"/><Relationship Id="rId598" Type="http://schemas.openxmlformats.org/officeDocument/2006/relationships/hyperlink" Target="https://www.sec.gov/Archives/edgar/data/1779474/000177947421000027/exhibit101.htm" TargetMode="External"/><Relationship Id="rId599" Type="http://schemas.openxmlformats.org/officeDocument/2006/relationships/hyperlink" Target="https://www.sec.gov/Archives/edgar/data/1779474/000177947423000072/exhibit102amendedandrestat.htm" TargetMode="External"/><Relationship Id="rId600" Type="http://schemas.openxmlformats.org/officeDocument/2006/relationships/hyperlink" Target="https://www.sec.gov/Archives/edgar/data/1779474/000177947423000023/exhibit1019dgrazier_offerl.htm" TargetMode="External"/><Relationship Id="rId601" Type="http://schemas.openxmlformats.org/officeDocument/2006/relationships/hyperlink" Target="https://www.sec.gov/Archives/edgar/data/1779474/000177947423000072/exhibit101retentionagreeme.htm" TargetMode="External"/><Relationship Id="rId602" Type="http://schemas.openxmlformats.org/officeDocument/2006/relationships/hyperlink" Target="https://www.sec.gov/Archives/edgar/data/1779474/000177947423000066/exhibit101dougsemploymenta.htm" TargetMode="External"/><Relationship Id="rId603" Type="http://schemas.openxmlformats.org/officeDocument/2006/relationships/hyperlink" Target="https://www.sec.gov/Archives/edgar/data/1779474/000177947424000023/exhibit1020briancamiresoff.htm" TargetMode="External"/><Relationship Id="rId604" Type="http://schemas.openxmlformats.org/officeDocument/2006/relationships/hyperlink" Target="https://www.sec.gov/Archives/edgar/data/1779474/000177947423000062/exhibit101q223.htm" TargetMode="External"/><Relationship Id="rId605" Type="http://schemas.openxmlformats.org/officeDocument/2006/relationships/hyperlink" Target="https://www.sec.gov/Archives/edgar/data/1779474/000177947423000076/exhibit105randasseperation.htm" TargetMode="External"/><Relationship Id="rId606" Type="http://schemas.openxmlformats.org/officeDocument/2006/relationships/hyperlink" Target="https://www.sec.gov/Archives/edgar/data/1779474/000177947424000023/exhibit1023seatonhillresou.htm" TargetMode="External"/><Relationship Id="rId607" Type="http://schemas.openxmlformats.org/officeDocument/2006/relationships/hyperlink" Target="https://www.sec.gov/Archives/edgar/data/1779474/000177947424000023/exhibit211listofsubsidiari.htm" TargetMode="External"/><Relationship Id="rId608" Type="http://schemas.openxmlformats.org/officeDocument/2006/relationships/hyperlink" Target="https://www.sec.gov/Archives/edgar/data/1779474/000114036121040114/brhc10031383_ex5-1.htm" TargetMode="External"/><Relationship Id="rId609" Type="http://schemas.openxmlformats.org/officeDocument/2006/relationships/hyperlink" Target="https://www.sec.gov/Archives/edgar/data/1779474/000114036121023775/nt10026588x1_s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2024-07-29T17:08:18Z</dcterms:created>
  <dcterms:modified xsi:type="dcterms:W3CDTF">2024-07-29T17:08:18Z</dcterms:modified>
</cp:coreProperties>
</file>