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601980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484505</wp:posOffset>
            </wp:positionV>
            <wp:extent cx="713486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33655"/>
                    </a:xfrm>
                    <a:prstGeom prst="rect">
                      <a:avLst/>
                    </a:prstGeom>
                    <a:noFill/>
                  </pic:spPr>
                </pic:pic>
              </a:graphicData>
            </a:graphic>
          </wp:anchor>
        </w:drawing>
        <w:t>As filed with the Securities and Exchange Commission on August 25, 2021</w:t>
      </w: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WM Technology, Inc.</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65" w:lineRule="exact"/>
        <w:rPr>
          <w:sz w:val="24"/>
          <w:szCs w:val="24"/>
          <w:color w:val="auto"/>
        </w:rPr>
      </w:pPr>
    </w:p>
    <w:tbl>
      <w:tblPr>
        <w:tblLayout w:type="fixed"/>
        <w:tblInd w:w="680" w:type="dxa"/>
        <w:tblCellMar>
          <w:top w:w="0" w:type="dxa"/>
          <w:left w:w="0" w:type="dxa"/>
          <w:bottom w:w="0" w:type="dxa"/>
          <w:right w:w="0" w:type="dxa"/>
        </w:tblCellMar>
      </w:tblPr>
      <w:tr>
        <w:trPr>
          <w:trHeight w:val="229"/>
        </w:trPr>
        <w:tc>
          <w:tcPr>
            <w:tcW w:w="4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Delaware</w:t>
            </w:r>
          </w:p>
        </w:tc>
        <w:tc>
          <w:tcPr>
            <w:tcW w:w="4920" w:type="dxa"/>
            <w:vAlign w:val="bottom"/>
          </w:tcPr>
          <w:p>
            <w:pPr>
              <w:jc w:val="right"/>
              <w:ind w:right="1952"/>
              <w:spacing w:after="0"/>
              <w:rPr>
                <w:sz w:val="20"/>
                <w:szCs w:val="20"/>
                <w:color w:val="auto"/>
              </w:rPr>
            </w:pPr>
            <w:r>
              <w:rPr>
                <w:rFonts w:ascii="Arial" w:cs="Arial" w:eastAsia="Arial" w:hAnsi="Arial"/>
                <w:sz w:val="18"/>
                <w:szCs w:val="18"/>
                <w:b w:val="1"/>
                <w:bCs w:val="1"/>
                <w:color w:val="auto"/>
              </w:rPr>
              <w:t>98-1605615</w:t>
            </w:r>
          </w:p>
        </w:tc>
      </w:tr>
      <w:tr>
        <w:trPr>
          <w:trHeight w:val="28"/>
        </w:trPr>
        <w:tc>
          <w:tcPr>
            <w:tcW w:w="4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1"/>
        </w:trPr>
        <w:tc>
          <w:tcPr>
            <w:tcW w:w="4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4920" w:type="dxa"/>
            <w:vAlign w:val="bottom"/>
          </w:tcPr>
          <w:p>
            <w:pPr>
              <w:jc w:val="center"/>
              <w:spacing w:after="0"/>
              <w:rPr>
                <w:sz w:val="20"/>
                <w:szCs w:val="20"/>
                <w:color w:val="auto"/>
              </w:rPr>
            </w:pPr>
            <w:r>
              <w:rPr>
                <w:rFonts w:ascii="Arial" w:cs="Arial" w:eastAsia="Arial" w:hAnsi="Arial"/>
                <w:sz w:val="18"/>
                <w:szCs w:val="18"/>
                <w:color w:val="auto"/>
                <w:w w:val="92"/>
              </w:rPr>
              <w:t>(I.R.S Employer Identification No.)</w:t>
            </w:r>
          </w:p>
        </w:tc>
      </w:tr>
      <w:tr>
        <w:trPr>
          <w:trHeight w:val="437"/>
        </w:trPr>
        <w:tc>
          <w:tcPr>
            <w:tcW w:w="4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41 Discovery</w:t>
            </w:r>
          </w:p>
        </w:tc>
        <w:tc>
          <w:tcPr>
            <w:tcW w:w="4920" w:type="dxa"/>
            <w:vAlign w:val="bottom"/>
          </w:tcPr>
          <w:p>
            <w:pPr>
              <w:spacing w:after="0"/>
              <w:rPr>
                <w:sz w:val="24"/>
                <w:szCs w:val="24"/>
                <w:color w:val="auto"/>
              </w:rPr>
            </w:pPr>
          </w:p>
        </w:tc>
      </w:tr>
      <w:tr>
        <w:trPr>
          <w:trHeight w:val="292"/>
        </w:trPr>
        <w:tc>
          <w:tcPr>
            <w:tcW w:w="4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Irvine, California</w:t>
            </w:r>
          </w:p>
        </w:tc>
        <w:tc>
          <w:tcPr>
            <w:tcW w:w="4920" w:type="dxa"/>
            <w:vAlign w:val="bottom"/>
          </w:tcPr>
          <w:p>
            <w:pPr>
              <w:jc w:val="right"/>
              <w:ind w:right="2152"/>
              <w:spacing w:after="0"/>
              <w:rPr>
                <w:sz w:val="20"/>
                <w:szCs w:val="20"/>
                <w:color w:val="auto"/>
              </w:rPr>
            </w:pPr>
            <w:r>
              <w:rPr>
                <w:rFonts w:ascii="Arial" w:cs="Arial" w:eastAsia="Arial" w:hAnsi="Arial"/>
                <w:sz w:val="18"/>
                <w:szCs w:val="18"/>
                <w:b w:val="1"/>
                <w:bCs w:val="1"/>
                <w:color w:val="auto"/>
              </w:rPr>
              <w:t>92618</w:t>
            </w:r>
          </w:p>
        </w:tc>
      </w:tr>
      <w:tr>
        <w:trPr>
          <w:trHeight w:val="28"/>
        </w:trPr>
        <w:tc>
          <w:tcPr>
            <w:tcW w:w="4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1"/>
        </w:trPr>
        <w:tc>
          <w:tcPr>
            <w:tcW w:w="49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(Address of Principal Executive Offices)</w:t>
            </w:r>
          </w:p>
        </w:tc>
        <w:tc>
          <w:tcPr>
            <w:tcW w:w="492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WM Technology, Inc. 2021 Equity Incentive Plan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WM Technology, Inc. 2021 Employee Stock Purchase Plan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Brian Camire</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WM Technology, Inc.</w:t>
      </w:r>
    </w:p>
    <w:p>
      <w:pPr>
        <w:spacing w:after="0" w:line="58" w:lineRule="exact"/>
        <w:rPr>
          <w:sz w:val="24"/>
          <w:szCs w:val="24"/>
          <w:color w:val="auto"/>
        </w:rPr>
      </w:pPr>
    </w:p>
    <w:p>
      <w:pPr>
        <w:ind w:left="5360" w:hanging="219"/>
        <w:spacing w:after="0"/>
        <w:tabs>
          <w:tab w:leader="none" w:pos="53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58" w:lineRule="exact"/>
        <w:rPr>
          <w:rFonts w:ascii="Arial" w:cs="Arial" w:eastAsia="Arial" w:hAnsi="Arial"/>
          <w:sz w:val="18"/>
          <w:szCs w:val="18"/>
          <w:b w:val="1"/>
          <w:bCs w:val="1"/>
          <w:color w:val="auto"/>
        </w:rPr>
      </w:pPr>
    </w:p>
    <w:p>
      <w:pPr>
        <w:ind w:left="4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Irvine, California 92618</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(844) 933-3627</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2637155</wp:posOffset>
            </wp:positionH>
            <wp:positionV relativeFrom="paragraph">
              <wp:posOffset>154305</wp:posOffset>
            </wp:positionV>
            <wp:extent cx="1876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Dave Peinsipp</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Garth Osterman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Kristin VanderPas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Peter Byrne</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Cooley LLP</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California Street, 5th Floor</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California 94111</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(415) 693-2177</w:t>
      </w:r>
    </w:p>
    <w:p>
      <w:pPr>
        <w:spacing w:after="0" w:line="23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6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21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20" w:type="dxa"/>
            <w:vAlign w:val="bottom"/>
          </w:tcPr>
          <w:p>
            <w:pPr>
              <w:ind w:left="246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13" w:lineRule="exact"/>
        <w:rPr>
          <w:sz w:val="24"/>
          <w:szCs w:val="24"/>
          <w:color w:val="auto"/>
        </w:rPr>
      </w:pPr>
    </w:p>
    <w:p>
      <w:pPr>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113" w:right="339" w:bottom="1440" w:gutter="0" w:footer="0" w:header="0"/>
        </w:sectPr>
      </w:pPr>
    </w:p>
    <w:bookmarkStart w:id="1" w:name="page2"/>
    <w:bookmarkEnd w:id="1"/>
    <w:tbl>
      <w:tblPr>
        <w:tblLayout w:type="fixed"/>
        <w:tblInd w:w="1200" w:type="dxa"/>
        <w:tblCellMar>
          <w:top w:w="0" w:type="dxa"/>
          <w:left w:w="0" w:type="dxa"/>
          <w:bottom w:w="0" w:type="dxa"/>
          <w:right w:w="0" w:type="dxa"/>
        </w:tblCellMar>
      </w:tblPr>
      <w:tr>
        <w:trPr>
          <w:trHeight w:val="229"/>
        </w:trPr>
        <w:tc>
          <w:tcPr>
            <w:tcW w:w="2640" w:type="dxa"/>
            <w:vAlign w:val="bottom"/>
          </w:tcPr>
          <w:p>
            <w:pPr>
              <w:spacing w:after="0"/>
              <w:rPr>
                <w:sz w:val="19"/>
                <w:szCs w:val="19"/>
                <w:color w:val="auto"/>
              </w:rPr>
            </w:pPr>
          </w:p>
        </w:tc>
        <w:tc>
          <w:tcPr>
            <w:tcW w:w="4200" w:type="dxa"/>
            <w:vAlign w:val="bottom"/>
            <w:gridSpan w:val="2"/>
          </w:tcPr>
          <w:p>
            <w:pPr>
              <w:ind w:left="60"/>
              <w:spacing w:after="0"/>
              <w:rPr>
                <w:sz w:val="20"/>
                <w:szCs w:val="20"/>
                <w:color w:val="auto"/>
              </w:rPr>
            </w:pPr>
            <w:r>
              <w:rPr>
                <w:rFonts w:ascii="Arial" w:cs="Arial" w:eastAsia="Arial" w:hAnsi="Arial"/>
                <w:sz w:val="18"/>
                <w:szCs w:val="18"/>
                <w:b w:val="1"/>
                <w:bCs w:val="1"/>
                <w:color w:val="auto"/>
              </w:rPr>
              <w:t>CALCULATION OF REGISTRATION FEE</w:t>
            </w:r>
          </w:p>
        </w:tc>
        <w:tc>
          <w:tcPr>
            <w:tcW w:w="17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86"/>
        </w:trPr>
        <w:tc>
          <w:tcPr>
            <w:tcW w:w="26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jc w:val="center"/>
              <w:ind w:left="72"/>
              <w:spacing w:after="0"/>
              <w:rPr>
                <w:sz w:val="20"/>
                <w:szCs w:val="20"/>
                <w:color w:val="auto"/>
              </w:rPr>
            </w:pPr>
            <w:r>
              <w:rPr>
                <w:rFonts w:ascii="Arial" w:cs="Arial" w:eastAsia="Arial" w:hAnsi="Arial"/>
                <w:sz w:val="18"/>
                <w:szCs w:val="18"/>
                <w:b w:val="1"/>
                <w:bCs w:val="1"/>
                <w:color w:val="auto"/>
                <w:w w:val="86"/>
              </w:rPr>
              <w:t>Proposed</w:t>
            </w:r>
          </w:p>
        </w:tc>
        <w:tc>
          <w:tcPr>
            <w:tcW w:w="17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2"/>
        </w:trPr>
        <w:tc>
          <w:tcPr>
            <w:tcW w:w="2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40" w:type="dxa"/>
            <w:vAlign w:val="bottom"/>
          </w:tcPr>
          <w:p>
            <w:pPr>
              <w:jc w:val="center"/>
              <w:ind w:left="72"/>
              <w:spacing w:after="0"/>
              <w:rPr>
                <w:sz w:val="20"/>
                <w:szCs w:val="20"/>
                <w:color w:val="auto"/>
              </w:rPr>
            </w:pPr>
            <w:r>
              <w:rPr>
                <w:rFonts w:ascii="Arial" w:cs="Arial" w:eastAsia="Arial" w:hAnsi="Arial"/>
                <w:sz w:val="18"/>
                <w:szCs w:val="18"/>
                <w:b w:val="1"/>
                <w:bCs w:val="1"/>
                <w:color w:val="auto"/>
                <w:w w:val="90"/>
              </w:rPr>
              <w:t>maximum</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7"/>
              </w:rPr>
              <w:t>Proposed maximum</w:t>
            </w:r>
          </w:p>
        </w:tc>
        <w:tc>
          <w:tcPr>
            <w:tcW w:w="1380" w:type="dxa"/>
            <w:vAlign w:val="bottom"/>
          </w:tcPr>
          <w:p>
            <w:pPr>
              <w:spacing w:after="0"/>
              <w:rPr>
                <w:sz w:val="18"/>
                <w:szCs w:val="18"/>
                <w:color w:val="auto"/>
              </w:rPr>
            </w:pPr>
          </w:p>
        </w:tc>
      </w:tr>
      <w:tr>
        <w:trPr>
          <w:trHeight w:val="209"/>
        </w:trPr>
        <w:tc>
          <w:tcPr>
            <w:tcW w:w="2640" w:type="dxa"/>
            <w:vAlign w:val="bottom"/>
          </w:tcPr>
          <w:p>
            <w:pPr>
              <w:spacing w:after="0"/>
              <w:rPr>
                <w:sz w:val="18"/>
                <w:szCs w:val="18"/>
                <w:color w:val="auto"/>
              </w:rPr>
            </w:pPr>
          </w:p>
        </w:tc>
        <w:tc>
          <w:tcPr>
            <w:tcW w:w="2760" w:type="dxa"/>
            <w:vAlign w:val="bottom"/>
          </w:tcPr>
          <w:p>
            <w:pPr>
              <w:jc w:val="center"/>
              <w:ind w:left="1052"/>
              <w:spacing w:after="0"/>
              <w:rPr>
                <w:sz w:val="20"/>
                <w:szCs w:val="20"/>
                <w:color w:val="auto"/>
              </w:rPr>
            </w:pPr>
            <w:r>
              <w:rPr>
                <w:rFonts w:ascii="Arial" w:cs="Arial" w:eastAsia="Arial" w:hAnsi="Arial"/>
                <w:sz w:val="18"/>
                <w:szCs w:val="18"/>
                <w:b w:val="1"/>
                <w:bCs w:val="1"/>
                <w:color w:val="auto"/>
                <w:w w:val="87"/>
              </w:rPr>
              <w:t>Amount to be</w:t>
            </w:r>
          </w:p>
        </w:tc>
        <w:tc>
          <w:tcPr>
            <w:tcW w:w="1440" w:type="dxa"/>
            <w:vAlign w:val="bottom"/>
          </w:tcPr>
          <w:p>
            <w:pPr>
              <w:jc w:val="center"/>
              <w:ind w:left="72"/>
              <w:spacing w:after="0"/>
              <w:rPr>
                <w:sz w:val="20"/>
                <w:szCs w:val="20"/>
                <w:color w:val="auto"/>
              </w:rPr>
            </w:pPr>
            <w:r>
              <w:rPr>
                <w:rFonts w:ascii="Arial" w:cs="Arial" w:eastAsia="Arial" w:hAnsi="Arial"/>
                <w:sz w:val="18"/>
                <w:szCs w:val="18"/>
                <w:b w:val="1"/>
                <w:bCs w:val="1"/>
                <w:color w:val="auto"/>
                <w:w w:val="90"/>
              </w:rPr>
              <w:t>offering price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 offering</w:t>
            </w:r>
          </w:p>
        </w:tc>
        <w:tc>
          <w:tcPr>
            <w:tcW w:w="138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Amount of</w:t>
            </w:r>
          </w:p>
        </w:tc>
      </w:tr>
      <w:tr>
        <w:trPr>
          <w:trHeight w:val="301"/>
        </w:trPr>
        <w:tc>
          <w:tcPr>
            <w:tcW w:w="2640" w:type="dxa"/>
            <w:vAlign w:val="bottom"/>
          </w:tcPr>
          <w:p>
            <w:pPr>
              <w:spacing w:after="0"/>
              <w:rPr>
                <w:sz w:val="20"/>
                <w:szCs w:val="20"/>
                <w:color w:val="auto"/>
              </w:rPr>
            </w:pPr>
            <w:r>
              <w:rPr>
                <w:rFonts w:ascii="Arial" w:cs="Arial" w:eastAsia="Arial" w:hAnsi="Arial"/>
                <w:sz w:val="18"/>
                <w:szCs w:val="18"/>
                <w:b w:val="1"/>
                <w:bCs w:val="1"/>
                <w:color w:val="auto"/>
                <w:w w:val="88"/>
              </w:rPr>
              <w:t>Title of Securities to be Registered</w:t>
            </w:r>
          </w:p>
        </w:tc>
        <w:tc>
          <w:tcPr>
            <w:tcW w:w="2760" w:type="dxa"/>
            <w:vAlign w:val="bottom"/>
          </w:tcPr>
          <w:p>
            <w:pPr>
              <w:jc w:val="center"/>
              <w:ind w:left="1052"/>
              <w:spacing w:after="0"/>
              <w:rPr>
                <w:sz w:val="20"/>
                <w:szCs w:val="20"/>
                <w:color w:val="auto"/>
              </w:rPr>
            </w:pPr>
            <w:r>
              <w:rPr>
                <w:rFonts w:ascii="Arial" w:cs="Arial" w:eastAsia="Arial" w:hAnsi="Arial"/>
                <w:sz w:val="18"/>
                <w:szCs w:val="18"/>
                <w:b w:val="1"/>
                <w:bCs w:val="1"/>
                <w:color w:val="auto"/>
                <w:w w:val="85"/>
              </w:rPr>
              <w:t>registered</w:t>
            </w:r>
            <w:r>
              <w:rPr>
                <w:rFonts w:ascii="Arial" w:cs="Arial" w:eastAsia="Arial" w:hAnsi="Arial"/>
                <w:sz w:val="22"/>
                <w:szCs w:val="22"/>
                <w:b w:val="1"/>
                <w:bCs w:val="1"/>
                <w:color w:val="auto"/>
                <w:w w:val="85"/>
                <w:vertAlign w:val="superscript"/>
              </w:rPr>
              <w:t>(1)</w:t>
            </w:r>
          </w:p>
        </w:tc>
        <w:tc>
          <w:tcPr>
            <w:tcW w:w="1440" w:type="dxa"/>
            <w:vAlign w:val="bottom"/>
          </w:tcPr>
          <w:p>
            <w:pPr>
              <w:jc w:val="center"/>
              <w:ind w:left="72"/>
              <w:spacing w:after="0"/>
              <w:rPr>
                <w:sz w:val="20"/>
                <w:szCs w:val="20"/>
                <w:color w:val="auto"/>
              </w:rPr>
            </w:pPr>
            <w:r>
              <w:rPr>
                <w:rFonts w:ascii="Arial" w:cs="Arial" w:eastAsia="Arial" w:hAnsi="Arial"/>
                <w:sz w:val="18"/>
                <w:szCs w:val="18"/>
                <w:b w:val="1"/>
                <w:bCs w:val="1"/>
                <w:color w:val="auto"/>
                <w:w w:val="84"/>
              </w:rPr>
              <w:t>per share</w:t>
            </w:r>
            <w:r>
              <w:rPr>
                <w:rFonts w:ascii="Arial" w:cs="Arial" w:eastAsia="Arial" w:hAnsi="Arial"/>
                <w:sz w:val="22"/>
                <w:szCs w:val="22"/>
                <w:b w:val="1"/>
                <w:bCs w:val="1"/>
                <w:color w:val="auto"/>
                <w:w w:val="84"/>
                <w:vertAlign w:val="superscript"/>
              </w:rPr>
              <w:t>(3)</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1"/>
              </w:rPr>
              <w:t>price</w:t>
            </w:r>
            <w:r>
              <w:rPr>
                <w:rFonts w:ascii="Arial" w:cs="Arial" w:eastAsia="Arial" w:hAnsi="Arial"/>
                <w:sz w:val="22"/>
                <w:szCs w:val="22"/>
                <w:b w:val="1"/>
                <w:bCs w:val="1"/>
                <w:color w:val="auto"/>
                <w:w w:val="81"/>
                <w:vertAlign w:val="superscript"/>
              </w:rPr>
              <w:t>(3)</w:t>
            </w:r>
          </w:p>
        </w:tc>
        <w:tc>
          <w:tcPr>
            <w:tcW w:w="1380" w:type="dxa"/>
            <w:vAlign w:val="bottom"/>
          </w:tcPr>
          <w:p>
            <w:pPr>
              <w:jc w:val="center"/>
              <w:ind w:left="12"/>
              <w:spacing w:after="0"/>
              <w:rPr>
                <w:sz w:val="20"/>
                <w:szCs w:val="20"/>
                <w:color w:val="auto"/>
              </w:rPr>
            </w:pPr>
            <w:r>
              <w:rPr>
                <w:rFonts w:ascii="Arial" w:cs="Arial" w:eastAsia="Arial" w:hAnsi="Arial"/>
                <w:sz w:val="18"/>
                <w:szCs w:val="18"/>
                <w:b w:val="1"/>
                <w:bCs w:val="1"/>
                <w:color w:val="auto"/>
                <w:w w:val="86"/>
              </w:rPr>
              <w:t>registration fee</w:t>
            </w:r>
            <w:r>
              <w:rPr>
                <w:rFonts w:ascii="Arial" w:cs="Arial" w:eastAsia="Arial" w:hAnsi="Arial"/>
                <w:sz w:val="22"/>
                <w:szCs w:val="22"/>
                <w:b w:val="1"/>
                <w:bCs w:val="1"/>
                <w:color w:val="auto"/>
                <w:w w:val="86"/>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-25400</wp:posOffset>
            </wp:positionV>
            <wp:extent cx="7134860" cy="311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3111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2021 Equity Incentive Plan</w:t>
      </w:r>
    </w:p>
    <w:p>
      <w:pPr>
        <w:sectPr>
          <w:pgSz w:w="11900" w:h="16838" w:orient="portrait"/>
          <w:cols w:equalWidth="0" w:num="1">
            <w:col w:w="11220"/>
          </w:cols>
          <w:pgMar w:left="340" w:top="996" w:right="33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00" w:type="dxa"/>
            <w:vAlign w:val="bottom"/>
          </w:tcPr>
          <w:p>
            <w:pPr>
              <w:ind w:left="100"/>
              <w:spacing w:after="0"/>
              <w:rPr>
                <w:sz w:val="20"/>
                <w:szCs w:val="20"/>
                <w:color w:val="auto"/>
              </w:rPr>
            </w:pPr>
            <w:r>
              <w:rPr>
                <w:rFonts w:ascii="Arial" w:cs="Arial" w:eastAsia="Arial" w:hAnsi="Arial"/>
                <w:sz w:val="18"/>
                <w:szCs w:val="18"/>
                <w:color w:val="auto"/>
              </w:rPr>
              <w:t>(Class A Common Stock, par value $0.0001 per share)</w:t>
            </w:r>
          </w:p>
        </w:tc>
        <w:tc>
          <w:tcPr>
            <w:tcW w:w="1380" w:type="dxa"/>
            <w:vAlign w:val="bottom"/>
          </w:tcPr>
          <w:p>
            <w:pPr>
              <w:jc w:val="right"/>
              <w:spacing w:after="0"/>
              <w:rPr>
                <w:sz w:val="20"/>
                <w:szCs w:val="20"/>
                <w:color w:val="auto"/>
              </w:rPr>
            </w:pPr>
            <w:r>
              <w:rPr>
                <w:rFonts w:ascii="Arial" w:cs="Arial" w:eastAsia="Arial" w:hAnsi="Arial"/>
                <w:sz w:val="18"/>
                <w:szCs w:val="18"/>
                <w:color w:val="auto"/>
              </w:rPr>
              <w:t>19,209,986</w:t>
            </w:r>
          </w:p>
        </w:tc>
      </w:tr>
      <w:tr>
        <w:trPr>
          <w:trHeight w:val="242"/>
        </w:trPr>
        <w:tc>
          <w:tcPr>
            <w:tcW w:w="5100" w:type="dxa"/>
            <w:vAlign w:val="bottom"/>
          </w:tcPr>
          <w:p>
            <w:pPr>
              <w:spacing w:after="0"/>
              <w:rPr>
                <w:sz w:val="20"/>
                <w:szCs w:val="20"/>
                <w:color w:val="auto"/>
              </w:rPr>
            </w:pPr>
            <w:r>
              <w:rPr>
                <w:rFonts w:ascii="Arial" w:cs="Arial" w:eastAsia="Arial" w:hAnsi="Arial"/>
                <w:sz w:val="18"/>
                <w:szCs w:val="18"/>
                <w:b w:val="1"/>
                <w:bCs w:val="1"/>
                <w:color w:val="auto"/>
              </w:rPr>
              <w:t>2021 Employee Stock Purchase Plan</w:t>
            </w:r>
          </w:p>
        </w:tc>
        <w:tc>
          <w:tcPr>
            <w:tcW w:w="1380" w:type="dxa"/>
            <w:vAlign w:val="bottom"/>
          </w:tcPr>
          <w:p>
            <w:pPr>
              <w:spacing w:after="0"/>
              <w:rPr>
                <w:sz w:val="21"/>
                <w:szCs w:val="21"/>
                <w:color w:val="auto"/>
              </w:rPr>
            </w:pPr>
          </w:p>
        </w:tc>
      </w:tr>
      <w:tr>
        <w:trPr>
          <w:trHeight w:val="223"/>
        </w:trPr>
        <w:tc>
          <w:tcPr>
            <w:tcW w:w="5100" w:type="dxa"/>
            <w:vAlign w:val="bottom"/>
          </w:tcPr>
          <w:p>
            <w:pPr>
              <w:ind w:left="100"/>
              <w:spacing w:after="0"/>
              <w:rPr>
                <w:sz w:val="20"/>
                <w:szCs w:val="20"/>
                <w:color w:val="auto"/>
              </w:rPr>
            </w:pPr>
            <w:r>
              <w:rPr>
                <w:rFonts w:ascii="Arial" w:cs="Arial" w:eastAsia="Arial" w:hAnsi="Arial"/>
                <w:sz w:val="18"/>
                <w:szCs w:val="18"/>
                <w:color w:val="auto"/>
              </w:rPr>
              <w:t>(Class A Common Stock, par value $0.0001 per share)</w:t>
            </w:r>
          </w:p>
        </w:tc>
        <w:tc>
          <w:tcPr>
            <w:tcW w:w="1380" w:type="dxa"/>
            <w:vAlign w:val="bottom"/>
          </w:tcPr>
          <w:p>
            <w:pPr>
              <w:jc w:val="right"/>
              <w:spacing w:after="0"/>
              <w:rPr>
                <w:sz w:val="20"/>
                <w:szCs w:val="20"/>
                <w:color w:val="auto"/>
              </w:rPr>
            </w:pPr>
            <w:r>
              <w:rPr>
                <w:rFonts w:ascii="Arial" w:cs="Arial" w:eastAsia="Arial" w:hAnsi="Arial"/>
                <w:sz w:val="18"/>
                <w:szCs w:val="18"/>
                <w:color w:val="auto"/>
              </w:rPr>
              <w:t>2,619,543</w:t>
            </w:r>
          </w:p>
        </w:tc>
      </w:tr>
      <w:tr>
        <w:trPr>
          <w:trHeight w:val="28"/>
        </w:trPr>
        <w:tc>
          <w:tcPr>
            <w:tcW w:w="5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8"/>
        </w:trPr>
        <w:tc>
          <w:tcPr>
            <w:tcW w:w="5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21,829,529</w:t>
            </w:r>
          </w:p>
        </w:tc>
      </w:tr>
      <w:tr>
        <w:trPr>
          <w:trHeight w:val="20"/>
        </w:trPr>
        <w:tc>
          <w:tcPr>
            <w:tcW w:w="5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34860" cy="193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93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(2)</w:t>
      </w:r>
    </w:p>
    <w:p>
      <w:pPr>
        <w:spacing w:after="0" w:line="374"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13.31</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255,684,914</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27,896</w:t>
            </w:r>
          </w:p>
        </w:tc>
      </w:tr>
      <w:tr>
        <w:trPr>
          <w:trHeight w:val="466"/>
        </w:trPr>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13.31</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34,866,117</w:t>
            </w:r>
          </w:p>
        </w:tc>
        <w:tc>
          <w:tcPr>
            <w:tcW w:w="100" w:type="dxa"/>
            <w:vAlign w:val="bottom"/>
          </w:tcPr>
          <w:p>
            <w:pPr>
              <w:spacing w:after="0"/>
              <w:rPr>
                <w:sz w:val="24"/>
                <w:szCs w:val="24"/>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3,804</w:t>
            </w:r>
          </w:p>
        </w:tc>
      </w:tr>
      <w:tr>
        <w:trPr>
          <w:trHeight w:val="28"/>
        </w:trPr>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290,551,031</w:t>
            </w:r>
          </w:p>
        </w:tc>
        <w:tc>
          <w:tcPr>
            <w:tcW w:w="100" w:type="dxa"/>
            <w:vAlign w:val="bottom"/>
          </w:tcPr>
          <w:p>
            <w:pPr>
              <w:spacing w:after="0"/>
              <w:rPr>
                <w:sz w:val="20"/>
                <w:szCs w:val="20"/>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31,700</w:t>
            </w:r>
          </w:p>
        </w:tc>
      </w:tr>
      <w:tr>
        <w:trPr>
          <w:trHeight w:val="28"/>
        </w:trPr>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6480" w:space="20"/>
            <w:col w:w="120" w:space="200"/>
            <w:col w:w="4400"/>
          </w:cols>
          <w:pgMar w:left="340" w:top="996" w:right="339" w:bottom="1440" w:gutter="0" w:footer="0" w:header="0"/>
          <w:type w:val="continuous"/>
        </w:sectPr>
      </w:pPr>
    </w:p>
    <w:p>
      <w:pPr>
        <w:spacing w:after="0" w:line="159" w:lineRule="exact"/>
        <w:rPr>
          <w:sz w:val="20"/>
          <w:szCs w:val="20"/>
          <w:color w:val="auto"/>
        </w:rPr>
      </w:pPr>
    </w:p>
    <w:p>
      <w:pPr>
        <w:jc w:val="both"/>
        <w:ind w:left="620" w:hanging="316"/>
        <w:spacing w:after="0" w:line="281" w:lineRule="auto"/>
        <w:tabs>
          <w:tab w:leader="none" w:pos="614" w:val="left"/>
        </w:tabs>
        <w:numPr>
          <w:ilvl w:val="0"/>
          <w:numId w:val="2"/>
        </w:numPr>
        <w:rPr>
          <w:rFonts w:ascii="Arial" w:cs="Arial" w:eastAsia="Arial" w:hAnsi="Arial"/>
          <w:sz w:val="15"/>
          <w:szCs w:val="15"/>
          <w:color w:val="auto"/>
        </w:rPr>
      </w:pPr>
      <w:r>
        <w:rPr>
          <w:rFonts w:ascii="Arial" w:cs="Arial" w:eastAsia="Arial" w:hAnsi="Arial"/>
          <w:sz w:val="15"/>
          <w:szCs w:val="15"/>
          <w:color w:val="auto"/>
        </w:rPr>
        <w:t>Pursuant to Rule 416(a) under the Securities Act of 1933, as amended (the “Securities Act”), this registration statement also covers an indeterminate number of additional shares that may be issued to adjust the number of shares issued pursuant to the plans described herein in the event of a stock dividend, stock split, reverse stock split, extraordinary dividend, extraordinary distribution, recapitalization, reorganization, merger, combination, consolidation, split-up, spin-off, combination, exchange of shares, rights offering, separation, reorganization, liquidation or similar event.</w:t>
      </w:r>
    </w:p>
    <w:p>
      <w:pPr>
        <w:spacing w:after="0" w:line="278" w:lineRule="exact"/>
        <w:rPr>
          <w:rFonts w:ascii="Arial" w:cs="Arial" w:eastAsia="Arial" w:hAnsi="Arial"/>
          <w:sz w:val="15"/>
          <w:szCs w:val="15"/>
          <w:color w:val="auto"/>
        </w:rPr>
      </w:pPr>
    </w:p>
    <w:p>
      <w:pPr>
        <w:jc w:val="both"/>
        <w:ind w:left="620" w:hanging="316"/>
        <w:spacing w:after="0" w:line="293" w:lineRule="auto"/>
        <w:tabs>
          <w:tab w:leader="none" w:pos="614" w:val="left"/>
        </w:tabs>
        <w:numPr>
          <w:ilvl w:val="0"/>
          <w:numId w:val="2"/>
        </w:numPr>
        <w:rPr>
          <w:rFonts w:ascii="Arial" w:cs="Arial" w:eastAsia="Arial" w:hAnsi="Arial"/>
          <w:sz w:val="15"/>
          <w:szCs w:val="15"/>
          <w:color w:val="auto"/>
        </w:rPr>
      </w:pPr>
      <w:r>
        <w:rPr>
          <w:rFonts w:ascii="Arial" w:cs="Arial" w:eastAsia="Arial" w:hAnsi="Arial"/>
          <w:sz w:val="15"/>
          <w:szCs w:val="15"/>
          <w:color w:val="auto"/>
        </w:rPr>
        <w:t>Represents 19,209,986 shares of the registrant’s Class A Common Stock currently reserved for issuance under the WM Technology, Inc. 2021 Equity Incentive Plan (the “2021 Plan”). To the extent that awards outstanding under the 2021 Plan are forfeited, cancelled, surrendered or terminated without issuance of shares, the shares of Class A Common Stock subject to such awards will be available for future issuance under the 2021 Plan.</w:t>
      </w:r>
    </w:p>
    <w:p>
      <w:pPr>
        <w:spacing w:after="0" w:line="269" w:lineRule="exact"/>
        <w:rPr>
          <w:rFonts w:ascii="Arial" w:cs="Arial" w:eastAsia="Arial" w:hAnsi="Arial"/>
          <w:sz w:val="15"/>
          <w:szCs w:val="15"/>
          <w:color w:val="auto"/>
        </w:rPr>
      </w:pPr>
    </w:p>
    <w:p>
      <w:pPr>
        <w:jc w:val="both"/>
        <w:ind w:left="620" w:hanging="316"/>
        <w:spacing w:after="0" w:line="229" w:lineRule="auto"/>
        <w:tabs>
          <w:tab w:leader="none" w:pos="614"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Rules 457(c) and 457(h) under the Securities Act, solely for the purposes of calculating the registration fee and based on the average of the high and low prices of the registrant’s Class A Common Stock as reported on the Nasdaq Global Select Market on August 20, 2021, which date is within five business days prior to the filing of this registration statement.</w:t>
      </w:r>
    </w:p>
    <w:p>
      <w:pPr>
        <w:spacing w:after="0" w:line="308" w:lineRule="exact"/>
        <w:rPr>
          <w:rFonts w:ascii="Arial" w:cs="Arial" w:eastAsia="Arial" w:hAnsi="Arial"/>
          <w:sz w:val="18"/>
          <w:szCs w:val="18"/>
          <w:color w:val="auto"/>
        </w:rPr>
      </w:pPr>
    </w:p>
    <w:p>
      <w:pPr>
        <w:ind w:left="620" w:hanging="316"/>
        <w:spacing w:after="0" w:line="237" w:lineRule="auto"/>
        <w:tabs>
          <w:tab w:leader="none" w:pos="614"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2,619,543 shares of the registrant’s Class A Common Stock currently reserved for issuance under the WM Technology, Inc. 2021 Employee Stock Purchase Plan (the “2021 ESPP”).</w:t>
      </w:r>
    </w:p>
    <w:p>
      <w:pPr>
        <w:sectPr>
          <w:pgSz w:w="11900" w:h="16838" w:orient="portrait"/>
          <w:cols w:equalWidth="0" w:num="1">
            <w:col w:w="11220"/>
          </w:cols>
          <w:pgMar w:left="340" w:top="996"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0" w:lineRule="exact"/>
        <w:rPr>
          <w:sz w:val="20"/>
          <w:szCs w:val="20"/>
          <w:color w:val="auto"/>
        </w:rPr>
      </w:pPr>
    </w:p>
    <w:p>
      <w:pPr>
        <w:spacing w:after="0" w:line="242" w:lineRule="exact"/>
        <w:rPr>
          <w:sz w:val="20"/>
          <w:szCs w:val="20"/>
          <w:color w:val="auto"/>
        </w:rPr>
      </w:pPr>
    </w:p>
    <w:p>
      <w:pPr>
        <w:jc w:val="both"/>
        <w:ind w:firstLine="636"/>
        <w:spacing w:after="0" w:line="269" w:lineRule="auto"/>
        <w:rPr>
          <w:sz w:val="20"/>
          <w:szCs w:val="20"/>
          <w:color w:val="auto"/>
        </w:rPr>
      </w:pPr>
      <w:r>
        <w:rPr>
          <w:rFonts w:ascii="Arial" w:cs="Arial" w:eastAsia="Arial" w:hAnsi="Arial"/>
          <w:sz w:val="15"/>
          <w:szCs w:val="15"/>
          <w:color w:val="auto"/>
        </w:rPr>
        <w:t>The information required by Part I of Form S-8 to be contained in the Section 10(a) prospectus is omitted from this registration statement in accordance with Rule 428 under the Securities Act or 1933, as amended (the “Securities Act”). The document(s) containing the information specified in Part I will be sent or given to participants in the WM Technology, Inc. 2021 Equity Incentive Plan (the “2021 Plan”) and participants in the WM Technology, Inc. 2021 Employee Stock Purchase Plan (the “2021 ESPP” and together with the 2021 Plan, the “Plans”) as specified by Rule 428(b)(1) of the Securities Act. Such documents are not being filed with the Securities and Exchange Commission (the “Commission”) as part of this registration statement or as prospectuses or prospectus supplements pursuant to Rule 424 of the Securities Act. These document(s) and the documents incorporated by reference in the registration statement pursuant to Item 3 of Part II of this form, taken together, constitute a prospectus that meets the requirements of Section 10(a) of the Securities Act.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documents filed by the registrant with the Commission are hereby incorporated by reference in this registration statement:</w:t>
      </w:r>
    </w:p>
    <w:p>
      <w:pPr>
        <w:spacing w:after="0" w:line="282" w:lineRule="exact"/>
        <w:rPr>
          <w:sz w:val="20"/>
          <w:szCs w:val="20"/>
          <w:color w:val="auto"/>
        </w:rPr>
      </w:pPr>
    </w:p>
    <w:p>
      <w:pPr>
        <w:ind w:left="960" w:hanging="318"/>
        <w:spacing w:after="0" w:line="237" w:lineRule="auto"/>
        <w:tabs>
          <w:tab w:leader="none" w:pos="105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2020 filed with the Commission on March 9, 2021 and as amended on Form 10-K/A filed with the Commission on May 12, 2021;</w:t>
      </w:r>
    </w:p>
    <w:p>
      <w:pPr>
        <w:spacing w:after="0" w:line="253" w:lineRule="exact"/>
        <w:rPr>
          <w:rFonts w:ascii="Arial" w:cs="Arial" w:eastAsia="Arial" w:hAnsi="Arial"/>
          <w:sz w:val="18"/>
          <w:szCs w:val="18"/>
          <w:color w:val="auto"/>
        </w:rPr>
      </w:pPr>
    </w:p>
    <w:p>
      <w:pPr>
        <w:ind w:left="960" w:hanging="318"/>
        <w:spacing w:after="0" w:line="237" w:lineRule="auto"/>
        <w:tabs>
          <w:tab w:leader="none" w:pos="106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quarterly reports on Form 10-Q for the quarters ended March 31, 2021 and June 30, 2021, filed with the Commission on May 13, 2021 and August 13, 2021, respectively;</w:t>
      </w:r>
    </w:p>
    <w:p>
      <w:pPr>
        <w:spacing w:after="0" w:line="306" w:lineRule="exact"/>
        <w:rPr>
          <w:rFonts w:ascii="Arial" w:cs="Arial" w:eastAsia="Arial" w:hAnsi="Arial"/>
          <w:sz w:val="18"/>
          <w:szCs w:val="18"/>
          <w:color w:val="auto"/>
        </w:rPr>
      </w:pPr>
    </w:p>
    <w:p>
      <w:pPr>
        <w:ind w:left="960" w:hanging="318"/>
        <w:spacing w:after="0" w:line="237" w:lineRule="auto"/>
        <w:tabs>
          <w:tab w:leader="none" w:pos="10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current reports on Form 8-K filed with the Commission on January 14, 2021, February 18, 2021, May 3, 2021, June 2, 2021, June 11, 2021, June 22, 2021, July 8, 2021 and August 16, 2021;</w:t>
      </w:r>
    </w:p>
    <w:p>
      <w:pPr>
        <w:spacing w:after="0" w:line="306" w:lineRule="exact"/>
        <w:rPr>
          <w:rFonts w:ascii="Arial" w:cs="Arial" w:eastAsia="Arial" w:hAnsi="Arial"/>
          <w:sz w:val="18"/>
          <w:szCs w:val="18"/>
          <w:color w:val="auto"/>
        </w:rPr>
      </w:pPr>
    </w:p>
    <w:p>
      <w:pPr>
        <w:jc w:val="both"/>
        <w:ind w:left="960" w:hanging="318"/>
        <w:spacing w:after="0" w:line="229" w:lineRule="auto"/>
        <w:tabs>
          <w:tab w:leader="none" w:pos="108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prospectus filed on July 20, 2021 pursuant to Rule 424(b) under the Securities Act, relating to the Registration Statement on Form S-1 (File No. 333-257774), which contains audited financial statements for the Registrant’s latest fiscal year for which such statements have been filed; and</w:t>
      </w:r>
    </w:p>
    <w:p>
      <w:pPr>
        <w:spacing w:after="0" w:line="255" w:lineRule="exact"/>
        <w:rPr>
          <w:rFonts w:ascii="Arial" w:cs="Arial" w:eastAsia="Arial" w:hAnsi="Arial"/>
          <w:sz w:val="18"/>
          <w:szCs w:val="18"/>
          <w:color w:val="auto"/>
        </w:rPr>
      </w:pPr>
    </w:p>
    <w:p>
      <w:pPr>
        <w:ind w:left="960" w:hanging="318"/>
        <w:spacing w:after="0" w:line="237" w:lineRule="auto"/>
        <w:tabs>
          <w:tab w:leader="none" w:pos="10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securities contained in the registration statement on Form 8-A filed with the Commission on August 7, 2019 and any amendment or report filed with the Commission for the purpose of updating the description.</w:t>
      </w:r>
    </w:p>
    <w:p>
      <w:pPr>
        <w:spacing w:after="0" w:line="201"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5"/>
          <w:szCs w:val="15"/>
          <w:color w:val="auto"/>
        </w:rPr>
        <w:t>All reports and other documents filed by the registrant pursuant to Section 13(a), 13(c), 14 or 15(d) of the Securities Exchange Act of 1934, as amended, other than current reports furnished under Item 2.02 and Item 7.01 of Form 8-K and any exhibits furnished on such form that relate to such items, after the date of this registration statement, and prior to the filing of a post-effective amendment that indicates that all securities offered hereby have been sold or that deregisters all securities then remaining unsold, shall be deemed to be incorporated by reference herein and to be a part of this registration statement from the date of filing of such reports and documents. Any statement contained in a document incorporated or deemed to be incorporated herein by reference shall be deemed to be modified or superseded for purposes of this registration statement to the extent that a statement herein or in any other subsequently filed document that also is or is deemed to be incorporated by reference herein modifies or supersedes such statement. Any such statement so modified or superseded shall not constitute a part of this registration statement, except as so modified or superseded.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ind w:left="640"/>
        <w:spacing w:after="0"/>
        <w:rPr>
          <w:sz w:val="20"/>
          <w:szCs w:val="20"/>
          <w:color w:val="auto"/>
        </w:rPr>
      </w:pPr>
      <w:r>
        <w:rPr>
          <w:rFonts w:ascii="Arial" w:cs="Arial" w:eastAsia="Arial" w:hAnsi="Arial"/>
          <w:sz w:val="18"/>
          <w:szCs w:val="18"/>
          <w:color w:val="auto"/>
        </w:rPr>
        <w:t>Not applicable.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ind w:left="640"/>
        <w:spacing w:after="0"/>
        <w:rPr>
          <w:sz w:val="20"/>
          <w:szCs w:val="20"/>
          <w:color w:val="auto"/>
        </w:rPr>
      </w:pPr>
      <w:r>
        <w:rPr>
          <w:rFonts w:ascii="Arial" w:cs="Arial" w:eastAsia="Arial" w:hAnsi="Arial"/>
          <w:sz w:val="18"/>
          <w:szCs w:val="18"/>
          <w:color w:val="auto"/>
        </w:rPr>
        <w:t>Not applicable.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3"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Section 145(a) of the Delaware General Corporation Law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w:t>
      </w:r>
    </w:p>
    <w:p>
      <w:pPr>
        <w:sectPr>
          <w:pgSz w:w="11900" w:h="16838" w:orient="portrait"/>
          <w:cols w:equalWidth="0" w:num="1">
            <w:col w:w="11240"/>
          </w:cols>
          <w:pgMar w:left="320" w:top="981" w:right="339" w:bottom="1440" w:gutter="0" w:footer="0" w:header="0"/>
        </w:sectPr>
      </w:pPr>
    </w:p>
    <w:bookmarkStart w:id="3" w:name="page4"/>
    <w:bookmarkEnd w:id="3"/>
    <w:p>
      <w:pPr>
        <w:jc w:val="both"/>
        <w:spacing w:after="0" w:line="237" w:lineRule="auto"/>
        <w:rPr>
          <w:sz w:val="20"/>
          <w:szCs w:val="20"/>
          <w:color w:val="auto"/>
        </w:rPr>
      </w:pPr>
      <w:r>
        <w:rPr>
          <w:rFonts w:ascii="Arial" w:cs="Arial" w:eastAsia="Arial" w:hAnsi="Arial"/>
          <w:sz w:val="17"/>
          <w:szCs w:val="17"/>
          <w:color w:val="auto"/>
        </w:rPr>
        <w:t>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201"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15"/>
          <w:szCs w:val="15"/>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87"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204" w:lineRule="exact"/>
        <w:rPr>
          <w:sz w:val="20"/>
          <w:szCs w:val="20"/>
          <w:color w:val="auto"/>
        </w:rPr>
      </w:pPr>
    </w:p>
    <w:p>
      <w:pPr>
        <w:jc w:val="both"/>
        <w:ind w:firstLine="636"/>
        <w:spacing w:after="0" w:line="328" w:lineRule="auto"/>
        <w:rPr>
          <w:sz w:val="20"/>
          <w:szCs w:val="20"/>
          <w:color w:val="auto"/>
        </w:rPr>
      </w:pPr>
      <w:r>
        <w:rPr>
          <w:rFonts w:ascii="Arial" w:cs="Arial" w:eastAsia="Arial" w:hAnsi="Arial"/>
          <w:sz w:val="15"/>
          <w:szCs w:val="15"/>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38"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217"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201"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201" w:lineRule="exact"/>
        <w:rPr>
          <w:sz w:val="20"/>
          <w:szCs w:val="20"/>
          <w:color w:val="auto"/>
        </w:rPr>
      </w:pPr>
    </w:p>
    <w:p>
      <w:pPr>
        <w:jc w:val="both"/>
        <w:ind w:right="20" w:firstLine="636"/>
        <w:spacing w:after="0" w:line="237"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750" w:right="339" w:bottom="1440" w:gutter="0" w:footer="0" w:header="0"/>
        </w:sectPr>
      </w:pPr>
    </w:p>
    <w:bookmarkStart w:id="4" w:name="page5"/>
    <w:bookmarkEnd w:id="4"/>
    <w:p>
      <w:pPr>
        <w:spacing w:after="0"/>
        <w:rPr>
          <w:sz w:val="20"/>
          <w:szCs w:val="20"/>
          <w:color w:val="auto"/>
        </w:rPr>
      </w:pPr>
      <w:r>
        <w:rPr>
          <w:rFonts w:ascii="Arial" w:cs="Arial" w:eastAsia="Arial" w:hAnsi="Arial"/>
          <w:sz w:val="15"/>
          <w:szCs w:val="15"/>
          <w:b w:val="1"/>
          <w:bCs w:val="1"/>
          <w:color w:val="auto"/>
        </w:rPr>
        <w:t>Item 8. Exhibits.</w:t>
      </w:r>
    </w:p>
    <w:p>
      <w:pPr>
        <w:spacing w:after="0" w:line="200" w:lineRule="exact"/>
        <w:rPr>
          <w:sz w:val="20"/>
          <w:szCs w:val="20"/>
          <w:color w:val="auto"/>
        </w:rPr>
      </w:pPr>
    </w:p>
    <w:p>
      <w:pPr>
        <w:spacing w:after="0" w:line="356"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Exhibit No.</w:t>
      </w:r>
    </w:p>
    <w:p>
      <w:pPr>
        <w:spacing w:after="0" w:line="271" w:lineRule="exact"/>
        <w:rPr>
          <w:sz w:val="20"/>
          <w:szCs w:val="20"/>
          <w:color w:val="auto"/>
        </w:rPr>
      </w:pPr>
    </w:p>
    <w:p>
      <w:pPr>
        <w:ind w:left="300"/>
        <w:spacing w:after="0"/>
        <w:rPr>
          <w:rFonts w:ascii="Arial" w:cs="Arial" w:eastAsia="Arial" w:hAnsi="Arial"/>
          <w:sz w:val="18"/>
          <w:szCs w:val="18"/>
          <w:u w:val="single" w:color="auto"/>
          <w:color w:val="0000FF"/>
        </w:rPr>
      </w:pPr>
      <w:hyperlink r:id="rId13">
        <w:r>
          <w:rPr>
            <w:rFonts w:ascii="Arial" w:cs="Arial" w:eastAsia="Arial" w:hAnsi="Arial"/>
            <w:sz w:val="18"/>
            <w:szCs w:val="18"/>
            <w:u w:val="single" w:color="auto"/>
            <w:color w:val="0000FF"/>
          </w:rPr>
          <w:t>4.1</w:t>
        </w:r>
      </w:hyperlink>
    </w:p>
    <w:p>
      <w:pPr>
        <w:spacing w:after="0" w:line="217" w:lineRule="exact"/>
        <w:rPr>
          <w:sz w:val="20"/>
          <w:szCs w:val="20"/>
          <w:color w:val="auto"/>
        </w:rPr>
      </w:pPr>
    </w:p>
    <w:p>
      <w:pPr>
        <w:ind w:left="300"/>
        <w:spacing w:after="0"/>
        <w:rPr>
          <w:rFonts w:ascii="Arial" w:cs="Arial" w:eastAsia="Arial" w:hAnsi="Arial"/>
          <w:sz w:val="18"/>
          <w:szCs w:val="18"/>
          <w:u w:val="single" w:color="auto"/>
          <w:color w:val="0000FF"/>
        </w:rPr>
      </w:pPr>
      <w:hyperlink r:id="rId14">
        <w:r>
          <w:rPr>
            <w:rFonts w:ascii="Arial" w:cs="Arial" w:eastAsia="Arial" w:hAnsi="Arial"/>
            <w:sz w:val="18"/>
            <w:szCs w:val="18"/>
            <w:u w:val="single" w:color="auto"/>
            <w:color w:val="0000FF"/>
          </w:rPr>
          <w:t>4.2</w:t>
        </w:r>
      </w:hyperlink>
    </w:p>
    <w:p>
      <w:pPr>
        <w:spacing w:after="0" w:line="58" w:lineRule="exact"/>
        <w:rPr>
          <w:sz w:val="20"/>
          <w:szCs w:val="20"/>
          <w:color w:val="auto"/>
        </w:rPr>
      </w:pPr>
    </w:p>
    <w:p>
      <w:pPr>
        <w:ind w:left="30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5.1</w:t>
        </w:r>
      </w:hyperlink>
    </w:p>
    <w:p>
      <w:pPr>
        <w:spacing w:after="0" w:line="217" w:lineRule="exact"/>
        <w:rPr>
          <w:sz w:val="20"/>
          <w:szCs w:val="20"/>
          <w:color w:val="auto"/>
        </w:rPr>
      </w:pPr>
    </w:p>
    <w:p>
      <w:pPr>
        <w:ind w:left="300"/>
        <w:spacing w:after="0"/>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16.1</w:t>
        </w:r>
      </w:hyperlink>
    </w:p>
    <w:p>
      <w:pPr>
        <w:spacing w:after="0" w:line="58" w:lineRule="exact"/>
        <w:rPr>
          <w:sz w:val="20"/>
          <w:szCs w:val="20"/>
          <w:color w:val="auto"/>
        </w:rPr>
      </w:pPr>
    </w:p>
    <w:p>
      <w:pPr>
        <w:ind w:left="30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23.1</w:t>
        </w:r>
      </w:hyperlink>
    </w:p>
    <w:p>
      <w:pPr>
        <w:spacing w:after="0" w:line="58" w:lineRule="exact"/>
        <w:rPr>
          <w:sz w:val="20"/>
          <w:szCs w:val="20"/>
          <w:color w:val="auto"/>
        </w:rPr>
      </w:pPr>
    </w:p>
    <w:p>
      <w:pPr>
        <w:ind w:left="30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23.2</w:t>
        </w:r>
      </w:hyperlink>
    </w:p>
    <w:p>
      <w:pPr>
        <w:spacing w:after="0" w:line="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23.3</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24.1</w:t>
      </w:r>
    </w:p>
    <w:p>
      <w:pPr>
        <w:spacing w:after="0" w:line="58" w:lineRule="exact"/>
        <w:rPr>
          <w:sz w:val="20"/>
          <w:szCs w:val="20"/>
          <w:color w:val="auto"/>
        </w:rPr>
      </w:pPr>
    </w:p>
    <w:p>
      <w:pPr>
        <w:ind w:left="30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99.1</w:t>
        </w:r>
      </w:hyperlink>
    </w:p>
    <w:p>
      <w:pPr>
        <w:spacing w:after="0" w:line="270" w:lineRule="exact"/>
        <w:rPr>
          <w:sz w:val="20"/>
          <w:szCs w:val="20"/>
          <w:color w:val="auto"/>
        </w:rPr>
      </w:pPr>
    </w:p>
    <w:p>
      <w:pPr>
        <w:ind w:left="300"/>
        <w:spacing w:after="0"/>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99.2</w:t>
        </w:r>
      </w:hyperlink>
    </w:p>
    <w:p>
      <w:pPr>
        <w:spacing w:after="0" w:line="217" w:lineRule="exact"/>
        <w:rPr>
          <w:sz w:val="20"/>
          <w:szCs w:val="20"/>
          <w:color w:val="auto"/>
        </w:rPr>
      </w:pPr>
    </w:p>
    <w:p>
      <w:pPr>
        <w:ind w:left="300"/>
        <w:spacing w:after="0"/>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99.3</w:t>
        </w:r>
      </w:hyperlink>
    </w:p>
    <w:p>
      <w:pPr>
        <w:spacing w:after="0" w:line="58" w:lineRule="exact"/>
        <w:rPr>
          <w:sz w:val="20"/>
          <w:szCs w:val="20"/>
          <w:color w:val="auto"/>
        </w:rPr>
      </w:pPr>
    </w:p>
    <w:p>
      <w:pPr>
        <w:ind w:left="30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99.4</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31750</wp:posOffset>
            </wp:positionV>
            <wp:extent cx="6772910" cy="277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6772910" cy="277495"/>
                    </a:xfrm>
                    <a:prstGeom prst="rect">
                      <a:avLst/>
                    </a:prstGeom>
                    <a:noFill/>
                  </pic:spPr>
                </pic:pic>
              </a:graphicData>
            </a:graphic>
          </wp:anchor>
        </w:drawing>
      </w:r>
    </w:p>
    <w:p>
      <w:pPr>
        <w:spacing w:after="0" w:line="44" w:lineRule="exact"/>
        <w:rPr>
          <w:sz w:val="20"/>
          <w:szCs w:val="20"/>
          <w:color w:val="auto"/>
        </w:rPr>
      </w:pPr>
    </w:p>
    <w:p>
      <w:pPr>
        <w:ind w:right="500"/>
        <w:spacing w:after="0" w:line="237" w:lineRule="auto"/>
        <w:rPr>
          <w:rFonts w:ascii="Arial" w:cs="Arial" w:eastAsia="Arial" w:hAnsi="Arial"/>
          <w:sz w:val="18"/>
          <w:szCs w:val="18"/>
          <w:u w:val="single" w:color="auto"/>
          <w:color w:val="0000FF"/>
        </w:rPr>
      </w:pPr>
      <w:hyperlink r:id="rId13">
        <w:r>
          <w:rPr>
            <w:rFonts w:ascii="Arial" w:cs="Arial" w:eastAsia="Arial" w:hAnsi="Arial"/>
            <w:sz w:val="18"/>
            <w:szCs w:val="18"/>
            <w:u w:val="single" w:color="auto"/>
            <w:color w:val="0000FF"/>
          </w:rPr>
          <w:t>Certificate of Incorporation of the Company, dated June 15, 2021 (incorporated by reference to Exhibit 3.1 to the Current Report on</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Form 8-K filed on June 22, 2021).</w:t>
        </w:r>
      </w:hyperlink>
    </w:p>
    <w:p>
      <w:pPr>
        <w:spacing w:after="0" w:line="15" w:lineRule="exact"/>
        <w:rPr>
          <w:sz w:val="20"/>
          <w:szCs w:val="20"/>
          <w:color w:val="auto"/>
        </w:rPr>
      </w:pPr>
    </w:p>
    <w:p>
      <w:pPr>
        <w:ind w:right="440"/>
        <w:spacing w:after="0" w:line="237" w:lineRule="auto"/>
        <w:rPr>
          <w:rFonts w:ascii="Arial" w:cs="Arial" w:eastAsia="Arial" w:hAnsi="Arial"/>
          <w:sz w:val="18"/>
          <w:szCs w:val="18"/>
          <w:u w:val="single" w:color="auto"/>
          <w:color w:val="0000FF"/>
        </w:rPr>
      </w:pPr>
      <w:hyperlink r:id="rId14">
        <w:r>
          <w:rPr>
            <w:rFonts w:ascii="Arial" w:cs="Arial" w:eastAsia="Arial" w:hAnsi="Arial"/>
            <w:sz w:val="18"/>
            <w:szCs w:val="18"/>
            <w:u w:val="single" w:color="auto"/>
            <w:color w:val="0000FF"/>
          </w:rPr>
          <w:t>Amended and Restated Bylaws of the Company, dated June 16, 2021 (incorporated by reference to Exhibit 3.2 to the Current Report</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on Form 8-K filed on June 22,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6772910" cy="16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6772910" cy="168275"/>
                    </a:xfrm>
                    <a:prstGeom prst="rect">
                      <a:avLst/>
                    </a:prstGeom>
                    <a:noFill/>
                  </pic:spPr>
                </pic:pic>
              </a:graphicData>
            </a:graphic>
          </wp:anchor>
        </w:drawing>
      </w:r>
    </w:p>
    <w:p>
      <w:pPr>
        <w:spacing w:after="0" w:line="22" w:lineRule="exact"/>
        <w:rPr>
          <w:sz w:val="20"/>
          <w:szCs w:val="20"/>
          <w:color w:val="auto"/>
        </w:rPr>
      </w:pPr>
    </w:p>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Opinion of Cooley LLP.</w:t>
        </w:r>
      </w:hyperlink>
    </w:p>
    <w:p>
      <w:pPr>
        <w:spacing w:after="0" w:line="32" w:lineRule="exact"/>
        <w:rPr>
          <w:sz w:val="20"/>
          <w:szCs w:val="20"/>
          <w:color w:val="auto"/>
        </w:rPr>
      </w:pPr>
    </w:p>
    <w:p>
      <w:pPr>
        <w:ind w:right="320"/>
        <w:spacing w:after="0" w:line="237" w:lineRule="auto"/>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Letter from Marcum LLP to the SEC, dated June 16, 2021 (incorporated by reference to Exhibit 16.1 to the Current Report on Form</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8-K filed on June 22,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6772910" cy="168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6772910" cy="168275"/>
                    </a:xfrm>
                    <a:prstGeom prst="rect">
                      <a:avLst/>
                    </a:prstGeom>
                    <a:noFill/>
                  </pic:spPr>
                </pic:pic>
              </a:graphicData>
            </a:graphic>
          </wp:anchor>
        </w:drawing>
      </w:r>
    </w:p>
    <w:p>
      <w:pPr>
        <w:spacing w:after="0" w:line="22" w:lineRule="exact"/>
        <w:rPr>
          <w:sz w:val="20"/>
          <w:szCs w:val="20"/>
          <w:color w:val="auto"/>
        </w:rPr>
      </w:pPr>
    </w:p>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Consent of Baker Tilly US, LLP</w:t>
        </w:r>
      </w:hyperlink>
    </w:p>
    <w:p>
      <w:pPr>
        <w:spacing w:after="0" w:line="58" w:lineRule="exact"/>
        <w:rPr>
          <w:sz w:val="20"/>
          <w:szCs w:val="20"/>
          <w:color w:val="auto"/>
        </w:rPr>
      </w:pPr>
    </w:p>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Consent of Marcum 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6772910" cy="168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6772910" cy="16827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Consent of Cooley LLP (included in Exhibit 5.1).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 (contained on the signature page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27940</wp:posOffset>
            </wp:positionV>
            <wp:extent cx="6772910" cy="168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6772910" cy="168275"/>
                    </a:xfrm>
                    <a:prstGeom prst="rect">
                      <a:avLst/>
                    </a:prstGeom>
                    <a:noFill/>
                  </pic:spPr>
                </pic:pic>
              </a:graphicData>
            </a:graphic>
          </wp:anchor>
        </w:drawing>
      </w:r>
    </w:p>
    <w:p>
      <w:pPr>
        <w:spacing w:after="0" w:line="38" w:lineRule="exact"/>
        <w:rPr>
          <w:sz w:val="20"/>
          <w:szCs w:val="20"/>
          <w:color w:val="auto"/>
        </w:rPr>
      </w:pPr>
    </w:p>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WM Technology, Inc. 2021 Equity Incentive Plan.</w:t>
        </w:r>
      </w:hyperlink>
    </w:p>
    <w:p>
      <w:pPr>
        <w:spacing w:after="0" w:line="58" w:lineRule="exact"/>
        <w:rPr>
          <w:sz w:val="20"/>
          <w:szCs w:val="20"/>
          <w:color w:val="auto"/>
        </w:rPr>
      </w:pPr>
    </w:p>
    <w:p>
      <w:pPr>
        <w:ind w:right="320"/>
        <w:spacing w:after="0" w:line="264" w:lineRule="auto"/>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WM Technology, Inc. 2021 Employee Stock Purchase Plan (incorporated by reference to Exhibit 10.8 to the Current Report on Form</w:t>
        </w:r>
      </w:hyperlink>
      <w:r>
        <w:rPr>
          <w:rFonts w:ascii="Arial" w:cs="Arial" w:eastAsia="Arial" w:hAnsi="Arial"/>
          <w:sz w:val="18"/>
          <w:szCs w:val="18"/>
          <w:u w:val="single" w:color="auto"/>
          <w:color w:val="0000FF"/>
        </w:rPr>
        <w:t xml:space="preserve"> </w:t>
      </w:r>
      <w:hyperlink r:id="rId16">
        <w:r>
          <w:rPr>
            <w:rFonts w:ascii="Arial" w:cs="Arial" w:eastAsia="Arial" w:hAnsi="Arial"/>
            <w:sz w:val="18"/>
            <w:szCs w:val="18"/>
            <w:u w:val="single" w:color="auto"/>
            <w:color w:val="0000FF"/>
          </w:rPr>
          <w:t>8-K filed on June 22,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5080</wp:posOffset>
            </wp:positionV>
            <wp:extent cx="6772910" cy="269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6772910" cy="269240"/>
                    </a:xfrm>
                    <a:prstGeom prst="rect">
                      <a:avLst/>
                    </a:prstGeom>
                    <a:noFill/>
                  </pic:spPr>
                </pic:pic>
              </a:graphicData>
            </a:graphic>
          </wp:anchor>
        </w:drawing>
      </w:r>
    </w:p>
    <w:p>
      <w:pPr>
        <w:ind w:right="340"/>
        <w:spacing w:after="0" w:line="237" w:lineRule="auto"/>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Form of Stock Option Grant Notice (incorporated by reference to Exhibit 10.7(a) to the Current Report on Form 8-K filed on June 22,</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2021).</w:t>
        </w:r>
      </w:hyperlink>
    </w:p>
    <w:p>
      <w:pPr>
        <w:spacing w:after="0" w:line="42" w:lineRule="exact"/>
        <w:rPr>
          <w:sz w:val="20"/>
          <w:szCs w:val="20"/>
          <w:color w:val="auto"/>
        </w:rPr>
      </w:pPr>
    </w:p>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Form of RSU Award Grant Notice</w:t>
        </w:r>
      </w:hyperlink>
    </w:p>
    <w:p>
      <w:pPr>
        <w:spacing w:after="0" w:line="200" w:lineRule="exact"/>
        <w:rPr>
          <w:sz w:val="20"/>
          <w:szCs w:val="20"/>
          <w:color w:val="auto"/>
        </w:rPr>
      </w:pPr>
    </w:p>
    <w:p>
      <w:pPr>
        <w:sectPr>
          <w:pgSz w:w="11900" w:h="16838" w:orient="portrait"/>
          <w:cols w:equalWidth="0" w:num="2">
            <w:col w:w="1260" w:space="180"/>
            <w:col w:w="9800"/>
          </w:cols>
          <w:pgMar w:left="320" w:top="982" w:right="33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3"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70" w:lineRule="exact"/>
        <w:rPr>
          <w:rFonts w:ascii="Arial" w:cs="Arial" w:eastAsia="Arial" w:hAnsi="Arial"/>
          <w:sz w:val="18"/>
          <w:szCs w:val="18"/>
          <w:color w:val="auto"/>
        </w:rPr>
      </w:pPr>
    </w:p>
    <w:p>
      <w:pPr>
        <w:ind w:left="1900" w:hanging="304"/>
        <w:spacing w:after="0"/>
        <w:tabs>
          <w:tab w:leader="none" w:pos="1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81" w:lineRule="exact"/>
        <w:rPr>
          <w:rFonts w:ascii="Arial" w:cs="Arial" w:eastAsia="Arial" w:hAnsi="Arial"/>
          <w:sz w:val="17"/>
          <w:szCs w:val="17"/>
          <w:color w:val="auto"/>
        </w:rPr>
      </w:pPr>
    </w:p>
    <w:p>
      <w:pPr>
        <w:ind w:left="2220" w:hanging="306"/>
        <w:spacing w:after="0"/>
        <w:tabs>
          <w:tab w:leader="none" w:pos="22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17" w:lineRule="exact"/>
        <w:rPr>
          <w:rFonts w:ascii="Arial" w:cs="Arial" w:eastAsia="Arial" w:hAnsi="Arial"/>
          <w:sz w:val="18"/>
          <w:szCs w:val="18"/>
          <w:color w:val="auto"/>
        </w:rPr>
      </w:pPr>
    </w:p>
    <w:p>
      <w:pPr>
        <w:jc w:val="both"/>
        <w:ind w:left="2240" w:hanging="326"/>
        <w:spacing w:after="0" w:line="220" w:lineRule="auto"/>
        <w:tabs>
          <w:tab w:leader="none" w:pos="223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204" w:lineRule="exact"/>
        <w:rPr>
          <w:rFonts w:ascii="Arial" w:cs="Arial" w:eastAsia="Arial" w:hAnsi="Arial"/>
          <w:sz w:val="18"/>
          <w:szCs w:val="18"/>
          <w:color w:val="auto"/>
        </w:rPr>
      </w:pPr>
    </w:p>
    <w:p>
      <w:pPr>
        <w:ind w:left="2240" w:hanging="326"/>
        <w:spacing w:after="0" w:line="237" w:lineRule="auto"/>
        <w:tabs>
          <w:tab w:leader="none" w:pos="224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1" w:lineRule="exact"/>
        <w:rPr>
          <w:sz w:val="20"/>
          <w:szCs w:val="20"/>
          <w:color w:val="auto"/>
        </w:rPr>
      </w:pPr>
    </w:p>
    <w:p>
      <w:pPr>
        <w:jc w:val="both"/>
        <w:ind w:left="1920"/>
        <w:spacing w:after="0" w:line="226"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254" w:lineRule="exact"/>
        <w:rPr>
          <w:sz w:val="20"/>
          <w:szCs w:val="20"/>
          <w:color w:val="auto"/>
        </w:rPr>
      </w:pPr>
    </w:p>
    <w:p>
      <w:pPr>
        <w:jc w:val="both"/>
        <w:ind w:left="1920" w:hanging="324"/>
        <w:spacing w:after="0" w:line="229" w:lineRule="auto"/>
        <w:tabs>
          <w:tab w:leader="none" w:pos="191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55" w:lineRule="exact"/>
        <w:rPr>
          <w:rFonts w:ascii="Arial" w:cs="Arial" w:eastAsia="Arial" w:hAnsi="Arial"/>
          <w:sz w:val="18"/>
          <w:szCs w:val="18"/>
          <w:color w:val="auto"/>
        </w:rPr>
      </w:pPr>
    </w:p>
    <w:p>
      <w:pPr>
        <w:ind w:left="1920" w:hanging="324"/>
        <w:spacing w:after="0" w:line="237" w:lineRule="auto"/>
        <w:tabs>
          <w:tab w:leader="none" w:pos="1914"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00" w:lineRule="exact"/>
        <w:rPr>
          <w:rFonts w:ascii="Arial" w:cs="Arial" w:eastAsia="Arial" w:hAnsi="Arial"/>
          <w:sz w:val="18"/>
          <w:szCs w:val="18"/>
          <w:color w:val="auto"/>
        </w:rPr>
      </w:pPr>
    </w:p>
    <w:p>
      <w:pPr>
        <w:ind w:left="640" w:hanging="316"/>
        <w:spacing w:after="0" w:line="237" w:lineRule="auto"/>
        <w:tabs>
          <w:tab w:leader="none" w:pos="63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Securities Exchange Act of 1934 (and,</w:t>
      </w:r>
    </w:p>
    <w:p>
      <w:pPr>
        <w:sectPr>
          <w:pgSz w:w="11900" w:h="16838" w:orient="portrait"/>
          <w:cols w:equalWidth="0" w:num="1">
            <w:col w:w="11240"/>
          </w:cols>
          <w:pgMar w:left="320" w:top="982" w:right="339" w:bottom="1440" w:gutter="0" w:footer="0" w:header="0"/>
          <w:type w:val="continuous"/>
        </w:sectPr>
      </w:pPr>
    </w:p>
    <w:bookmarkStart w:id="5" w:name="page6"/>
    <w:bookmarkEnd w:id="5"/>
    <w:p>
      <w:pPr>
        <w:jc w:val="both"/>
        <w:ind w:left="316"/>
        <w:spacing w:after="0" w:line="244" w:lineRule="auto"/>
        <w:rPr>
          <w:sz w:val="20"/>
          <w:szCs w:val="20"/>
          <w:color w:val="auto"/>
        </w:rPr>
      </w:pPr>
      <w:r>
        <w:rPr>
          <w:rFonts w:ascii="Arial" w:cs="Arial" w:eastAsia="Arial" w:hAnsi="Arial"/>
          <w:sz w:val="17"/>
          <w:szCs w:val="17"/>
          <w:color w:val="auto"/>
        </w:rPr>
        <w:t>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99" w:lineRule="exact"/>
        <w:rPr>
          <w:sz w:val="20"/>
          <w:szCs w:val="20"/>
          <w:color w:val="auto"/>
        </w:rPr>
      </w:pPr>
    </w:p>
    <w:p>
      <w:pPr>
        <w:jc w:val="both"/>
        <w:ind w:left="316" w:hanging="316"/>
        <w:spacing w:after="0" w:line="233" w:lineRule="auto"/>
        <w:tabs>
          <w:tab w:leader="none" w:pos="313" w:val="left"/>
        </w:tabs>
        <w:numPr>
          <w:ilvl w:val="0"/>
          <w:numId w:val="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16"/>
          </w:cols>
          <w:pgMar w:left="644" w:top="75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36"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Irvine, State of California on August 25, 2021</w:t>
      </w:r>
    </w:p>
    <w:p>
      <w:pPr>
        <w:spacing w:after="0" w:line="263"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WM TECHNOLOGY, INC.</w:t>
      </w:r>
    </w:p>
    <w:p>
      <w:pPr>
        <w:spacing w:after="0" w:line="32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27940</wp:posOffset>
            </wp:positionV>
            <wp:extent cx="23679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367915" cy="8255"/>
                    </a:xfrm>
                    <a:prstGeom prst="rect">
                      <a:avLst/>
                    </a:prstGeom>
                    <a:noFill/>
                  </pic:spPr>
                </pic:pic>
              </a:graphicData>
            </a:graphic>
          </wp:anchor>
        </w:drawing>
      </w:r>
    </w:p>
    <w:p>
      <w:pPr>
        <w:spacing w:after="0" w:line="51"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Name: Christopher Beals</w:t>
      </w:r>
    </w:p>
    <w:p>
      <w:pPr>
        <w:spacing w:after="0" w:line="58"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Title: Chief Executive Officer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3" w:lineRule="exact"/>
        <w:rPr>
          <w:sz w:val="20"/>
          <w:szCs w:val="20"/>
          <w:color w:val="auto"/>
        </w:rPr>
      </w:pPr>
    </w:p>
    <w:p>
      <w:pPr>
        <w:jc w:val="both"/>
        <w:ind w:firstLine="636"/>
        <w:spacing w:after="0" w:line="269" w:lineRule="auto"/>
        <w:rPr>
          <w:sz w:val="20"/>
          <w:szCs w:val="20"/>
          <w:color w:val="auto"/>
        </w:rPr>
      </w:pPr>
      <w:r>
        <w:rPr>
          <w:rFonts w:ascii="Arial" w:cs="Arial" w:eastAsia="Arial" w:hAnsi="Arial"/>
          <w:sz w:val="15"/>
          <w:szCs w:val="15"/>
          <w:color w:val="auto"/>
        </w:rPr>
        <w:t>KNOW ALL PERSONS BY THESE PRESENTS, that each person whose signature appears below hereby constitutes and appoints Christopher Beals and Arden Lee, and each of them, his true and lawful attorneys-in-fact and agents, each with full power of substitution and resubstitution, for him and in his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might or could do in person, hereby ratifying and confirming all that each of said attorneys-in-fact and agents, or his substitute or substitutes may lawfully do or cause to be done by virtue hereof.</w:t>
      </w:r>
    </w:p>
    <w:p>
      <w:pPr>
        <w:spacing w:after="0" w:line="184"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ectPr>
          <w:pgSz w:w="11900" w:h="16838" w:orient="portrait"/>
          <w:cols w:equalWidth="0" w:num="1">
            <w:col w:w="11240"/>
          </w:cols>
          <w:pgMar w:left="320" w:top="996" w:right="339" w:bottom="1440" w:gutter="0" w:footer="0" w:header="0"/>
        </w:sectPr>
      </w:pPr>
    </w:p>
    <w:p>
      <w:pPr>
        <w:spacing w:after="0" w:line="261"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34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Signature</w:t>
            </w:r>
          </w:p>
        </w:tc>
        <w:tc>
          <w:tcPr>
            <w:tcW w:w="100" w:type="dxa"/>
            <w:vAlign w:val="bottom"/>
          </w:tcPr>
          <w:p>
            <w:pPr>
              <w:spacing w:after="0"/>
              <w:rPr>
                <w:sz w:val="19"/>
                <w:szCs w:val="19"/>
                <w:color w:val="auto"/>
              </w:rPr>
            </w:pPr>
          </w:p>
        </w:tc>
        <w:tc>
          <w:tcPr>
            <w:tcW w:w="5260" w:type="dxa"/>
            <w:vAlign w:val="bottom"/>
          </w:tcPr>
          <w:p>
            <w:pPr>
              <w:ind w:left="2620"/>
              <w:spacing w:after="0"/>
              <w:rPr>
                <w:sz w:val="20"/>
                <w:szCs w:val="20"/>
                <w:color w:val="auto"/>
              </w:rPr>
            </w:pPr>
            <w:r>
              <w:rPr>
                <w:rFonts w:ascii="Arial" w:cs="Arial" w:eastAsia="Arial" w:hAnsi="Arial"/>
                <w:sz w:val="18"/>
                <w:szCs w:val="18"/>
                <w:b w:val="1"/>
                <w:bCs w:val="1"/>
                <w:color w:val="auto"/>
              </w:rPr>
              <w:t>Title</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490"/>
        </w:trPr>
        <w:tc>
          <w:tcPr>
            <w:tcW w:w="342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color w:val="auto"/>
                <w:w w:val="88"/>
              </w:rPr>
              <w:t>/s/ Christopher Beals</w:t>
            </w:r>
          </w:p>
        </w:tc>
        <w:tc>
          <w:tcPr>
            <w:tcW w:w="100" w:type="dxa"/>
            <w:vAlign w:val="bottom"/>
          </w:tcPr>
          <w:p>
            <w:pPr>
              <w:spacing w:after="0"/>
              <w:rPr>
                <w:sz w:val="24"/>
                <w:szCs w:val="24"/>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Chief Executive Officer and Director</w:t>
            </w:r>
          </w:p>
        </w:tc>
      </w:tr>
      <w:tr>
        <w:trPr>
          <w:trHeight w:val="238"/>
        </w:trPr>
        <w:tc>
          <w:tcPr>
            <w:tcW w:w="3420" w:type="dxa"/>
            <w:vAlign w:val="bottom"/>
          </w:tcPr>
          <w:p>
            <w:pPr>
              <w:jc w:val="center"/>
              <w:ind w:left="232"/>
              <w:spacing w:after="0"/>
              <w:rPr>
                <w:sz w:val="20"/>
                <w:szCs w:val="20"/>
                <w:color w:val="auto"/>
              </w:rPr>
            </w:pPr>
            <w:r>
              <w:rPr>
                <w:rFonts w:ascii="Arial" w:cs="Arial" w:eastAsia="Arial" w:hAnsi="Arial"/>
                <w:sz w:val="18"/>
                <w:szCs w:val="18"/>
                <w:color w:val="auto"/>
                <w:w w:val="88"/>
              </w:rPr>
              <w:t>Christopher Beals</w:t>
            </w:r>
          </w:p>
        </w:tc>
        <w:tc>
          <w:tcPr>
            <w:tcW w:w="100" w:type="dxa"/>
            <w:vAlign w:val="bottom"/>
          </w:tcPr>
          <w:p>
            <w:pPr>
              <w:spacing w:after="0"/>
              <w:rPr>
                <w:sz w:val="20"/>
                <w:szCs w:val="20"/>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537"/>
        </w:trPr>
        <w:tc>
          <w:tcPr>
            <w:tcW w:w="342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color w:val="auto"/>
                <w:w w:val="89"/>
              </w:rPr>
              <w:t>/s/ Arden Lee</w:t>
            </w:r>
          </w:p>
        </w:tc>
        <w:tc>
          <w:tcPr>
            <w:tcW w:w="100" w:type="dxa"/>
            <w:vAlign w:val="bottom"/>
          </w:tcPr>
          <w:p>
            <w:pPr>
              <w:spacing w:after="0"/>
              <w:rPr>
                <w:sz w:val="24"/>
                <w:szCs w:val="24"/>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Chief Financial Officer</w:t>
            </w:r>
          </w:p>
        </w:tc>
      </w:tr>
      <w:tr>
        <w:trPr>
          <w:trHeight w:val="238"/>
        </w:trPr>
        <w:tc>
          <w:tcPr>
            <w:tcW w:w="3420" w:type="dxa"/>
            <w:vAlign w:val="bottom"/>
          </w:tcPr>
          <w:p>
            <w:pPr>
              <w:jc w:val="center"/>
              <w:ind w:left="232"/>
              <w:spacing w:after="0"/>
              <w:rPr>
                <w:sz w:val="20"/>
                <w:szCs w:val="20"/>
                <w:color w:val="auto"/>
              </w:rPr>
            </w:pPr>
            <w:r>
              <w:rPr>
                <w:rFonts w:ascii="Arial" w:cs="Arial" w:eastAsia="Arial" w:hAnsi="Arial"/>
                <w:sz w:val="18"/>
                <w:szCs w:val="18"/>
                <w:color w:val="auto"/>
                <w:w w:val="89"/>
              </w:rPr>
              <w:t>Arden Lee</w:t>
            </w:r>
          </w:p>
        </w:tc>
        <w:tc>
          <w:tcPr>
            <w:tcW w:w="100" w:type="dxa"/>
            <w:vAlign w:val="bottom"/>
          </w:tcPr>
          <w:p>
            <w:pPr>
              <w:spacing w:after="0"/>
              <w:rPr>
                <w:sz w:val="20"/>
                <w:szCs w:val="20"/>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538"/>
        </w:trPr>
        <w:tc>
          <w:tcPr>
            <w:tcW w:w="342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2"/>
              </w:rPr>
              <w:t>/s/ Tony Aquila</w:t>
            </w:r>
          </w:p>
        </w:tc>
        <w:tc>
          <w:tcPr>
            <w:tcW w:w="100" w:type="dxa"/>
            <w:vAlign w:val="bottom"/>
          </w:tcPr>
          <w:p>
            <w:pPr>
              <w:spacing w:after="0"/>
              <w:rPr>
                <w:sz w:val="24"/>
                <w:szCs w:val="24"/>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38"/>
        </w:trPr>
        <w:tc>
          <w:tcPr>
            <w:tcW w:w="3420" w:type="dxa"/>
            <w:vAlign w:val="bottom"/>
          </w:tcPr>
          <w:p>
            <w:pPr>
              <w:jc w:val="center"/>
              <w:ind w:left="232"/>
              <w:spacing w:after="0"/>
              <w:rPr>
                <w:sz w:val="20"/>
                <w:szCs w:val="20"/>
                <w:color w:val="auto"/>
              </w:rPr>
            </w:pPr>
            <w:r>
              <w:rPr>
                <w:rFonts w:ascii="Arial" w:cs="Arial" w:eastAsia="Arial" w:hAnsi="Arial"/>
                <w:sz w:val="18"/>
                <w:szCs w:val="18"/>
                <w:color w:val="auto"/>
                <w:w w:val="94"/>
              </w:rPr>
              <w:t>Tony Aquila</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538"/>
        </w:trPr>
        <w:tc>
          <w:tcPr>
            <w:tcW w:w="342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color w:val="auto"/>
                <w:w w:val="88"/>
              </w:rPr>
              <w:t>/s/ Douglas Francis</w:t>
            </w:r>
          </w:p>
        </w:tc>
        <w:tc>
          <w:tcPr>
            <w:tcW w:w="100" w:type="dxa"/>
            <w:vAlign w:val="bottom"/>
          </w:tcPr>
          <w:p>
            <w:pPr>
              <w:spacing w:after="0"/>
              <w:rPr>
                <w:sz w:val="24"/>
                <w:szCs w:val="24"/>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38"/>
        </w:trPr>
        <w:tc>
          <w:tcPr>
            <w:tcW w:w="3420" w:type="dxa"/>
            <w:vAlign w:val="bottom"/>
          </w:tcPr>
          <w:p>
            <w:pPr>
              <w:jc w:val="center"/>
              <w:ind w:left="232"/>
              <w:spacing w:after="0"/>
              <w:rPr>
                <w:sz w:val="20"/>
                <w:szCs w:val="20"/>
                <w:color w:val="auto"/>
              </w:rPr>
            </w:pPr>
            <w:r>
              <w:rPr>
                <w:rFonts w:ascii="Arial" w:cs="Arial" w:eastAsia="Arial" w:hAnsi="Arial"/>
                <w:sz w:val="18"/>
                <w:szCs w:val="18"/>
                <w:color w:val="auto"/>
                <w:w w:val="87"/>
              </w:rPr>
              <w:t>Douglas Francis</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538"/>
        </w:trPr>
        <w:tc>
          <w:tcPr>
            <w:tcW w:w="342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86"/>
              </w:rPr>
              <w:t>/s/ Brenda Freeman</w:t>
            </w:r>
          </w:p>
        </w:tc>
        <w:tc>
          <w:tcPr>
            <w:tcW w:w="100" w:type="dxa"/>
            <w:vAlign w:val="bottom"/>
          </w:tcPr>
          <w:p>
            <w:pPr>
              <w:spacing w:after="0"/>
              <w:rPr>
                <w:sz w:val="24"/>
                <w:szCs w:val="24"/>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38"/>
        </w:trPr>
        <w:tc>
          <w:tcPr>
            <w:tcW w:w="3420" w:type="dxa"/>
            <w:vAlign w:val="bottom"/>
          </w:tcPr>
          <w:p>
            <w:pPr>
              <w:jc w:val="center"/>
              <w:ind w:left="232"/>
              <w:spacing w:after="0"/>
              <w:rPr>
                <w:sz w:val="20"/>
                <w:szCs w:val="20"/>
                <w:color w:val="auto"/>
              </w:rPr>
            </w:pPr>
            <w:r>
              <w:rPr>
                <w:rFonts w:ascii="Arial" w:cs="Arial" w:eastAsia="Arial" w:hAnsi="Arial"/>
                <w:sz w:val="18"/>
                <w:szCs w:val="18"/>
                <w:color w:val="auto"/>
                <w:w w:val="87"/>
              </w:rPr>
              <w:t>Brenda Freeman</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538"/>
        </w:trPr>
        <w:tc>
          <w:tcPr>
            <w:tcW w:w="342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88"/>
              </w:rPr>
              <w:t>/s/ Olga Gonzalez</w:t>
            </w:r>
          </w:p>
        </w:tc>
        <w:tc>
          <w:tcPr>
            <w:tcW w:w="100" w:type="dxa"/>
            <w:vAlign w:val="bottom"/>
          </w:tcPr>
          <w:p>
            <w:pPr>
              <w:spacing w:after="0"/>
              <w:rPr>
                <w:sz w:val="24"/>
                <w:szCs w:val="24"/>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38"/>
        </w:trPr>
        <w:tc>
          <w:tcPr>
            <w:tcW w:w="3420" w:type="dxa"/>
            <w:vAlign w:val="bottom"/>
          </w:tcPr>
          <w:p>
            <w:pPr>
              <w:jc w:val="center"/>
              <w:ind w:left="232"/>
              <w:spacing w:after="0"/>
              <w:rPr>
                <w:sz w:val="20"/>
                <w:szCs w:val="20"/>
                <w:color w:val="auto"/>
              </w:rPr>
            </w:pPr>
            <w:r>
              <w:rPr>
                <w:rFonts w:ascii="Arial" w:cs="Arial" w:eastAsia="Arial" w:hAnsi="Arial"/>
                <w:sz w:val="18"/>
                <w:szCs w:val="18"/>
                <w:color w:val="auto"/>
                <w:w w:val="88"/>
              </w:rPr>
              <w:t>Olga Gonzalez</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537"/>
        </w:trPr>
        <w:tc>
          <w:tcPr>
            <w:tcW w:w="342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color w:val="auto"/>
                <w:w w:val="89"/>
              </w:rPr>
              <w:t>/s/ Scott Gordon</w:t>
            </w:r>
          </w:p>
        </w:tc>
        <w:tc>
          <w:tcPr>
            <w:tcW w:w="100" w:type="dxa"/>
            <w:vAlign w:val="bottom"/>
          </w:tcPr>
          <w:p>
            <w:pPr>
              <w:spacing w:after="0"/>
              <w:rPr>
                <w:sz w:val="24"/>
                <w:szCs w:val="24"/>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38"/>
        </w:trPr>
        <w:tc>
          <w:tcPr>
            <w:tcW w:w="3420" w:type="dxa"/>
            <w:vAlign w:val="bottom"/>
          </w:tcPr>
          <w:p>
            <w:pPr>
              <w:jc w:val="center"/>
              <w:ind w:left="232"/>
              <w:spacing w:after="0"/>
              <w:rPr>
                <w:sz w:val="20"/>
                <w:szCs w:val="20"/>
                <w:color w:val="auto"/>
              </w:rPr>
            </w:pPr>
            <w:r>
              <w:rPr>
                <w:rFonts w:ascii="Arial" w:cs="Arial" w:eastAsia="Arial" w:hAnsi="Arial"/>
                <w:sz w:val="18"/>
                <w:szCs w:val="18"/>
                <w:color w:val="auto"/>
                <w:w w:val="88"/>
              </w:rPr>
              <w:t>Scott Gordon</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537"/>
        </w:trPr>
        <w:tc>
          <w:tcPr>
            <w:tcW w:w="342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0"/>
              </w:rPr>
              <w:t>/s/ Justin Hartfield</w:t>
            </w:r>
          </w:p>
        </w:tc>
        <w:tc>
          <w:tcPr>
            <w:tcW w:w="100" w:type="dxa"/>
            <w:vAlign w:val="bottom"/>
          </w:tcPr>
          <w:p>
            <w:pPr>
              <w:spacing w:after="0"/>
              <w:rPr>
                <w:sz w:val="24"/>
                <w:szCs w:val="24"/>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38"/>
        </w:trPr>
        <w:tc>
          <w:tcPr>
            <w:tcW w:w="3420" w:type="dxa"/>
            <w:vAlign w:val="bottom"/>
          </w:tcPr>
          <w:p>
            <w:pPr>
              <w:jc w:val="center"/>
              <w:ind w:left="232"/>
              <w:spacing w:after="0"/>
              <w:rPr>
                <w:sz w:val="20"/>
                <w:szCs w:val="20"/>
                <w:color w:val="auto"/>
              </w:rPr>
            </w:pPr>
            <w:r>
              <w:rPr>
                <w:rFonts w:ascii="Arial" w:cs="Arial" w:eastAsia="Arial" w:hAnsi="Arial"/>
                <w:sz w:val="18"/>
                <w:szCs w:val="18"/>
                <w:color w:val="auto"/>
                <w:w w:val="92"/>
              </w:rPr>
              <w:t>Justin Hartfield</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538"/>
        </w:trPr>
        <w:tc>
          <w:tcPr>
            <w:tcW w:w="342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color w:val="auto"/>
                <w:w w:val="87"/>
              </w:rPr>
              <w:t>/s/ Fiona Tan</w:t>
            </w:r>
          </w:p>
        </w:tc>
        <w:tc>
          <w:tcPr>
            <w:tcW w:w="100" w:type="dxa"/>
            <w:vAlign w:val="bottom"/>
          </w:tcPr>
          <w:p>
            <w:pPr>
              <w:spacing w:after="0"/>
              <w:rPr>
                <w:sz w:val="24"/>
                <w:szCs w:val="24"/>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38"/>
        </w:trPr>
        <w:tc>
          <w:tcPr>
            <w:tcW w:w="3420" w:type="dxa"/>
            <w:vAlign w:val="bottom"/>
          </w:tcPr>
          <w:p>
            <w:pPr>
              <w:jc w:val="center"/>
              <w:ind w:left="232"/>
              <w:spacing w:after="0"/>
              <w:rPr>
                <w:sz w:val="20"/>
                <w:szCs w:val="20"/>
                <w:color w:val="auto"/>
              </w:rPr>
            </w:pPr>
            <w:r>
              <w:rPr>
                <w:rFonts w:ascii="Arial" w:cs="Arial" w:eastAsia="Arial" w:hAnsi="Arial"/>
                <w:sz w:val="18"/>
                <w:szCs w:val="18"/>
                <w:color w:val="auto"/>
                <w:w w:val="86"/>
              </w:rPr>
              <w:t>Fiona Tan</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31750</wp:posOffset>
            </wp:positionV>
            <wp:extent cx="9842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984250"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ectPr>
          <w:pgSz w:w="11900" w:h="16838" w:orient="portrait"/>
          <w:cols w:equalWidth="0" w:num="2">
            <w:col w:w="9100" w:space="440"/>
            <w:col w:w="1700"/>
          </w:cols>
          <w:pgMar w:left="320" w:top="996" w:right="339" w:bottom="1440" w:gutter="0" w:footer="0" w:header="0"/>
          <w:type w:val="continuous"/>
        </w:sectPr>
      </w:pPr>
    </w:p>
    <w:bookmarkStart w:id="7" w:name="page8"/>
    <w:bookmarkEnd w:id="7"/>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967740" cy="319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967740" cy="319405"/>
                    </a:xfrm>
                    <a:prstGeom prst="rect">
                      <a:avLst/>
                    </a:prstGeom>
                    <a:noFill/>
                  </pic:spPr>
                </pic:pic>
              </a:graphicData>
            </a:graphic>
          </wp:anchor>
        </w:drawing>
      </w:r>
    </w:p>
    <w:p>
      <w:pPr>
        <w:ind w:left="10260"/>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August 25, 2021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WM Technology,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41 Discovery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 92618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acted as counsel to WM Technology,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covering the offering of up to 21,829,529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Class A common stock, par value $0.0001 per share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consisting of (a) 19,209,986 shares of Class A Common Stock issuable pursuant to the Company’s 2021 Equity Incentive Plan (the “</w:t>
      </w:r>
      <w:r>
        <w:rPr>
          <w:rFonts w:ascii="Arial" w:cs="Arial" w:eastAsia="Arial" w:hAnsi="Arial"/>
          <w:sz w:val="18"/>
          <w:szCs w:val="18"/>
          <w:b w:val="1"/>
          <w:bCs w:val="1"/>
          <w:i w:val="1"/>
          <w:iCs w:val="1"/>
          <w:color w:val="auto"/>
        </w:rPr>
        <w:t>2021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(b) 2,619,543 shares of Class A Common Stock issuable pursuant to the Company’s 2021 Employee Stock Purchase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2021 ESPP</w:t>
      </w:r>
      <w:r>
        <w:rPr>
          <w:rFonts w:ascii="Arial" w:cs="Arial" w:eastAsia="Arial" w:hAnsi="Arial"/>
          <w:sz w:val="18"/>
          <w:szCs w:val="18"/>
          <w:color w:val="auto"/>
        </w:rPr>
        <w:t>,” together with the 2021 Plan,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this opinion, we have examined and relied upon (a) the Registration Statement and related prospectuses, (b) the Company’s Certificate of Incorporation and Amended and Restated Bylaws, each as currently in effect, (c) the Plans, and (d) originals or copies certified to our satisfaction of such records, documents, certificates, memoranda and other instruments as in our judgment are necessary or appropriate to enable us to render the opinion expressed below.</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We have assumed that the approval of the Plans by the shareholders of the Company as a Cayman Islands company was effective under Cayman Islands law. As to certain factual matters, we have relied upon a certificate of an officer of the Company and have not independently verified such matters.</w:t>
      </w: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certain deferred payment arrangements, which will be fully paid and nonassessable when such deferred payments are made in full).</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Cooley LLP 3 Embarcadero Center 20th Floor San Francisco, CA 94111-4004</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 (415) 693-2000 f: (415) 693-2222 cooley.com</w:t>
      </w:r>
    </w:p>
    <w:p>
      <w:pPr>
        <w:sectPr>
          <w:pgSz w:w="11900" w:h="16838" w:orient="portrait"/>
          <w:cols w:equalWidth="0" w:num="1">
            <w:col w:w="11240"/>
          </w:cols>
          <w:pgMar w:left="320" w:top="1440" w:right="339" w:bottom="1440" w:gutter="0" w:footer="0" w:header="0"/>
        </w:sectPr>
      </w:pPr>
    </w:p>
    <w:bookmarkStart w:id="8" w:name="page9"/>
    <w:bookmarkEnd w:id="8"/>
    <w:p>
      <w:pPr>
        <w:ind w:left="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967740" cy="319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967740" cy="319405"/>
                    </a:xfrm>
                    <a:prstGeom prst="rect">
                      <a:avLst/>
                    </a:prstGeom>
                    <a:noFill/>
                  </pic:spPr>
                </pic:pic>
              </a:graphicData>
            </a:graphic>
          </wp:anchor>
        </w:drawing>
        <w:t>August 25, 2021</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filing of this opinion as an exhibit to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/s/David G. Peinsipp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-20955</wp:posOffset>
            </wp:positionV>
            <wp:extent cx="12649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David G. Peinsipp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00"/>
        <w:spacing w:after="0"/>
        <w:rPr>
          <w:sz w:val="20"/>
          <w:szCs w:val="20"/>
          <w:color w:val="auto"/>
        </w:rPr>
      </w:pPr>
      <w:r>
        <w:rPr>
          <w:rFonts w:ascii="Arial" w:cs="Arial" w:eastAsia="Arial" w:hAnsi="Arial"/>
          <w:sz w:val="12"/>
          <w:szCs w:val="12"/>
          <w:color w:val="auto"/>
        </w:rPr>
        <w:t>Cooley LLP 3 Embarcadero Center 20th Floor San Francisco, CA 94111-4004</w:t>
      </w:r>
    </w:p>
    <w:p>
      <w:pPr>
        <w:spacing w:after="0" w:line="34" w:lineRule="exact"/>
        <w:rPr>
          <w:sz w:val="20"/>
          <w:szCs w:val="20"/>
          <w:color w:val="auto"/>
        </w:rPr>
      </w:pPr>
    </w:p>
    <w:p>
      <w:pPr>
        <w:jc w:val="center"/>
        <w:ind w:right="-1100"/>
        <w:spacing w:after="0"/>
        <w:rPr>
          <w:sz w:val="20"/>
          <w:szCs w:val="20"/>
          <w:color w:val="auto"/>
        </w:rPr>
      </w:pPr>
      <w:r>
        <w:rPr>
          <w:rFonts w:ascii="Arial" w:cs="Arial" w:eastAsia="Arial" w:hAnsi="Arial"/>
          <w:sz w:val="12"/>
          <w:szCs w:val="12"/>
          <w:color w:val="auto"/>
        </w:rPr>
        <w:t>t: (415) 693-2000 f: (415) 693-2222 cooley.com</w:t>
      </w:r>
    </w:p>
    <w:p>
      <w:pPr>
        <w:sectPr>
          <w:pgSz w:w="11900" w:h="16838" w:orient="portrait"/>
          <w:cols w:equalWidth="0" w:num="1">
            <w:col w:w="10139"/>
          </w:cols>
          <w:pgMar w:left="320" w:top="1212"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22222"/>
        </w:rPr>
        <w:t>Consent of Independent Registered Public Accounting Firm</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this Registration Statement on Form S-8 of WM Technology, Inc. of our report dated March 9, 2021 relating to the consolidated financial statements of WM Holding Company, LLC incorporated by reference in the WM Technology, Inc. 424(b) prospectus dated July 20, 2021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August 25, 2021</w:t>
      </w:r>
    </w:p>
    <w:p>
      <w:pPr>
        <w:sectPr>
          <w:pgSz w:w="11900" w:h="16838" w:orient="portrait"/>
          <w:cols w:equalWidth="0" w:num="1">
            <w:col w:w="11240"/>
          </w:cols>
          <w:pgMar w:left="320" w:top="1393"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1"/>
          <w:szCs w:val="21"/>
          <w:b w:val="1"/>
          <w:bCs w:val="1"/>
          <w:color w:val="auto"/>
        </w:rPr>
        <w:t>Exhibit 23.2</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INDEPENDENT REGISTERED PUBLIC ACCOUNTING FIRM’S CONSENT</w:t>
      </w:r>
    </w:p>
    <w:p>
      <w:pPr>
        <w:spacing w:after="0" w:line="249"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We consent to the incorporation by reference in this Registration Statement of WM Technology, Inc. (f/k/a Silver Spike Acquisition Corp.) on Form S-8, of our report dated March 8, 2021, except for the effects of the restatement discussed in Note 2 as to which the date is May 12, 2021, which includes an explanatory paragraph as to the Company’s ability to continue as a going concern, with respect to our audit of the consolidated financial statements of WM Technology, Inc. (f/k/a Silver Spike Acquisition Corp.) as of December 31, 2020 and for the year then ended appearing in the Annual Report on Form 10-K/A of WM Technology, Inc. (f/k/a Silver Spike Acquisition Corp.) We were dismissed as auditors of Silver Spike Acquisition Corp. on June 16, 2021 and, accordingly, we have not performed any audit or review procedures with respect to any financial statements appearing in such Prospectus for the periods after the date of our dismissal.</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/s/ Marcum llp</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Marcum llp</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New York, NY</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August 25, 2021</w:t>
      </w:r>
    </w:p>
    <w:p>
      <w:pPr>
        <w:sectPr>
          <w:pgSz w:w="11900" w:h="16838" w:orient="portrait"/>
          <w:cols w:equalWidth="0" w:num="1">
            <w:col w:w="11240"/>
          </w:cols>
          <w:pgMar w:left="320" w:top="1013"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99.1</w:t>
      </w:r>
    </w:p>
    <w:p>
      <w:pPr>
        <w:spacing w:after="0" w:line="2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WM Technology, Inc.</w:t>
      </w:r>
    </w:p>
    <w:p>
      <w:pPr>
        <w:spacing w:after="0" w:line="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2021 Equity Incentive Plan</w:t>
      </w:r>
    </w:p>
    <w:p>
      <w:pPr>
        <w:spacing w:after="0" w:line="200"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Adopted by the Board of Directors: December 9, 2020</w:t>
      </w:r>
    </w:p>
    <w:p>
      <w:pPr>
        <w:spacing w:after="0" w:line="5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Approved by the Stockholders: June 10, 2021</w:t>
      </w:r>
    </w:p>
    <w:p>
      <w:pPr>
        <w:spacing w:after="0" w:line="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Ratified by the Board of Directors: June 16, 2021</w:t>
      </w:r>
    </w:p>
    <w:p>
      <w:pPr>
        <w:sectPr>
          <w:pgSz w:w="11900" w:h="16838" w:orient="portrait"/>
          <w:cols w:equalWidth="0" w:num="1">
            <w:col w:w="10120"/>
          </w:cols>
          <w:pgMar w:left="1440" w:top="123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9"/>
        </w:trPr>
        <w:tc>
          <w:tcPr>
            <w:tcW w:w="520" w:type="dxa"/>
            <w:vAlign w:val="bottom"/>
          </w:tcPr>
          <w:p>
            <w:pPr>
              <w:spacing w:after="0"/>
              <w:rPr>
                <w:sz w:val="19"/>
                <w:szCs w:val="19"/>
                <w:color w:val="auto"/>
              </w:rPr>
            </w:pPr>
          </w:p>
        </w:tc>
        <w:tc>
          <w:tcPr>
            <w:tcW w:w="8060" w:type="dxa"/>
            <w:vAlign w:val="bottom"/>
          </w:tcPr>
          <w:p>
            <w:pPr>
              <w:ind w:left="4440"/>
              <w:spacing w:after="0"/>
              <w:rPr>
                <w:sz w:val="20"/>
                <w:szCs w:val="20"/>
                <w:color w:val="auto"/>
              </w:rPr>
            </w:pPr>
            <w:r>
              <w:rPr>
                <w:rFonts w:ascii="Arial" w:cs="Arial" w:eastAsia="Arial" w:hAnsi="Arial"/>
                <w:sz w:val="18"/>
                <w:szCs w:val="18"/>
                <w:b w:val="1"/>
                <w:bCs w:val="1"/>
                <w:color w:val="auto"/>
              </w:rPr>
              <w:t>Table of Contents</w:t>
            </w:r>
          </w:p>
        </w:tc>
        <w:tc>
          <w:tcPr>
            <w:tcW w:w="2660" w:type="dxa"/>
            <w:vAlign w:val="bottom"/>
          </w:tcPr>
          <w:p>
            <w:pPr>
              <w:spacing w:after="0"/>
              <w:rPr>
                <w:sz w:val="19"/>
                <w:szCs w:val="19"/>
                <w:color w:val="auto"/>
              </w:rPr>
            </w:pPr>
          </w:p>
        </w:tc>
      </w:tr>
      <w:tr>
        <w:trPr>
          <w:trHeight w:val="503"/>
        </w:trPr>
        <w:tc>
          <w:tcPr>
            <w:tcW w:w="5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93"/>
        </w:trPr>
        <w:tc>
          <w:tcPr>
            <w:tcW w:w="5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45"/>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1.</w:t>
            </w:r>
          </w:p>
        </w:tc>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General.</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2.</w:t>
            </w: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Shares Subject to the Plan.</w:t>
            </w:r>
          </w:p>
        </w:tc>
        <w:tc>
          <w:tcPr>
            <w:tcW w:w="2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
        </w:trPr>
        <w:tc>
          <w:tcPr>
            <w:tcW w:w="5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45"/>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3.</w:t>
            </w:r>
          </w:p>
        </w:tc>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Eligibility and Limitations.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4.</w:t>
            </w: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Options and Stock Appreciation Rights.</w:t>
            </w:r>
          </w:p>
        </w:tc>
        <w:tc>
          <w:tcPr>
            <w:tcW w:w="2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8"/>
        </w:trPr>
        <w:tc>
          <w:tcPr>
            <w:tcW w:w="5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45"/>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5.</w:t>
            </w:r>
          </w:p>
        </w:tc>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Awards Other Than Options and Stock Appreciation Rights.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6.</w:t>
            </w: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OpCo Units.</w:t>
            </w:r>
          </w:p>
        </w:tc>
        <w:tc>
          <w:tcPr>
            <w:tcW w:w="26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
        </w:trPr>
        <w:tc>
          <w:tcPr>
            <w:tcW w:w="5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45"/>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7.</w:t>
            </w:r>
          </w:p>
        </w:tc>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Adjustments upon Changes in Common Stock; Other Corporate Events.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8.</w:t>
            </w: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Administration.</w:t>
            </w:r>
          </w:p>
        </w:tc>
        <w:tc>
          <w:tcPr>
            <w:tcW w:w="2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
        </w:trPr>
        <w:tc>
          <w:tcPr>
            <w:tcW w:w="5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45"/>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9.</w:t>
            </w:r>
          </w:p>
        </w:tc>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Tax Withholding</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10.</w:t>
            </w: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Miscellaneous.</w:t>
            </w:r>
          </w:p>
        </w:tc>
        <w:tc>
          <w:tcPr>
            <w:tcW w:w="2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
        </w:trPr>
        <w:tc>
          <w:tcPr>
            <w:tcW w:w="5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45"/>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11.</w:t>
            </w:r>
          </w:p>
        </w:tc>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Covenants of the Company.</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12.</w:t>
            </w: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Additional Rules for Awards Subject to Section 409A.</w:t>
            </w:r>
          </w:p>
        </w:tc>
        <w:tc>
          <w:tcPr>
            <w:tcW w:w="2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
        </w:trPr>
        <w:tc>
          <w:tcPr>
            <w:tcW w:w="5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45"/>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13.</w:t>
            </w:r>
          </w:p>
        </w:tc>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Severability.</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14.</w:t>
            </w: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Termination of the Plan.</w:t>
            </w:r>
          </w:p>
        </w:tc>
        <w:tc>
          <w:tcPr>
            <w:tcW w:w="2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8"/>
        </w:trPr>
        <w:tc>
          <w:tcPr>
            <w:tcW w:w="5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37"/>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15.</w:t>
            </w:r>
          </w:p>
        </w:tc>
        <w:tc>
          <w:tcPr>
            <w:tcW w:w="80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Definitions.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8"/>
        </w:trPr>
        <w:tc>
          <w:tcPr>
            <w:tcW w:w="520" w:type="dxa"/>
            <w:vAlign w:val="bottom"/>
            <w:shd w:val="clear" w:color="auto" w:fill="CCEEFF"/>
          </w:tcPr>
          <w:p>
            <w:pPr>
              <w:spacing w:after="0"/>
              <w:rPr>
                <w:sz w:val="2"/>
                <w:szCs w:val="2"/>
                <w:color w:val="auto"/>
              </w:rPr>
            </w:pPr>
          </w:p>
        </w:tc>
        <w:tc>
          <w:tcPr>
            <w:tcW w:w="80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240"/>
          </w:cols>
          <w:pgMar w:left="320" w:top="996" w:right="339" w:bottom="1440" w:gutter="0" w:footer="0" w:header="0"/>
        </w:sectPr>
      </w:pPr>
    </w:p>
    <w:bookmarkStart w:id="13" w:name="page14"/>
    <w:bookmarkEnd w:id="13"/>
    <w:p>
      <w:pPr>
        <w:ind w:left="660" w:hanging="65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17" w:lineRule="exact"/>
        <w:rPr>
          <w:rFonts w:ascii="Arial" w:cs="Arial" w:eastAsia="Arial" w:hAnsi="Arial"/>
          <w:sz w:val="18"/>
          <w:szCs w:val="18"/>
          <w:b w:val="1"/>
          <w:bCs w:val="1"/>
          <w:color w:val="auto"/>
        </w:rPr>
      </w:pPr>
    </w:p>
    <w:p>
      <w:pPr>
        <w:jc w:val="both"/>
        <w:ind w:firstLine="642"/>
        <w:spacing w:after="0" w:line="281" w:lineRule="auto"/>
        <w:tabs>
          <w:tab w:leader="none" w:pos="1301" w:val="left"/>
        </w:tabs>
        <w:numPr>
          <w:ilvl w:val="1"/>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Plan Purpose. </w:t>
      </w:r>
      <w:r>
        <w:rPr>
          <w:rFonts w:ascii="Arial" w:cs="Arial" w:eastAsia="Arial" w:hAnsi="Arial"/>
          <w:sz w:val="17"/>
          <w:szCs w:val="17"/>
          <w:color w:val="auto"/>
        </w:rPr>
        <w:t>The Company, by means of the Plan, seeks to secure and retain the services of Employees, Directors and Consultants,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61" w:lineRule="exact"/>
        <w:rPr>
          <w:rFonts w:ascii="Arial" w:cs="Arial" w:eastAsia="Arial" w:hAnsi="Arial"/>
          <w:sz w:val="17"/>
          <w:szCs w:val="17"/>
          <w:b w:val="1"/>
          <w:bCs w:val="1"/>
          <w:color w:val="auto"/>
        </w:rPr>
      </w:pPr>
    </w:p>
    <w:p>
      <w:pPr>
        <w:ind w:firstLine="642"/>
        <w:spacing w:after="0" w:line="271" w:lineRule="auto"/>
        <w:tabs>
          <w:tab w:leader="none" w:pos="1258"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Awards. </w:t>
      </w:r>
      <w:r>
        <w:rPr>
          <w:rFonts w:ascii="Arial" w:cs="Arial" w:eastAsia="Arial" w:hAnsi="Arial"/>
          <w:sz w:val="18"/>
          <w:szCs w:val="18"/>
          <w:color w:val="auto"/>
        </w:rPr>
        <w:t>The Plan provides for the grant of the following Awards: (i) Incentive Stock Options; (ii) Nonstatutory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(iii) SARs; (iv) Restricted Stock Awards; (v) RSU Awards; (vi) Performance Awards; and (vii) Other Awards.</w:t>
      </w:r>
    </w:p>
    <w:p>
      <w:pPr>
        <w:spacing w:after="0" w:line="168" w:lineRule="exact"/>
        <w:rPr>
          <w:rFonts w:ascii="Arial" w:cs="Arial" w:eastAsia="Arial" w:hAnsi="Arial"/>
          <w:sz w:val="18"/>
          <w:szCs w:val="18"/>
          <w:b w:val="1"/>
          <w:bCs w:val="1"/>
          <w:color w:val="auto"/>
        </w:rPr>
      </w:pPr>
    </w:p>
    <w:p>
      <w:pPr>
        <w:ind w:left="1460" w:hanging="818"/>
        <w:spacing w:after="0"/>
        <w:tabs>
          <w:tab w:leader="none" w:pos="1460" w:val="left"/>
        </w:tabs>
        <w:numPr>
          <w:ilvl w:val="1"/>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Adoption Date; Effective Date. </w:t>
      </w:r>
      <w:r>
        <w:rPr>
          <w:rFonts w:ascii="Arial" w:cs="Arial" w:eastAsia="Arial" w:hAnsi="Arial"/>
          <w:sz w:val="15"/>
          <w:szCs w:val="15"/>
          <w:color w:val="auto"/>
        </w:rPr>
        <w:t>The Plan will come into existence on the Adoption Date, but no Award may be granted prior to the</w:t>
      </w:r>
    </w:p>
    <w:p>
      <w:pPr>
        <w:spacing w:after="0" w:line="56"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Effective Date.</w:t>
      </w:r>
    </w:p>
    <w:p>
      <w:pPr>
        <w:spacing w:after="0" w:line="199" w:lineRule="exact"/>
        <w:rPr>
          <w:rFonts w:ascii="Arial" w:cs="Arial" w:eastAsia="Arial" w:hAnsi="Arial"/>
          <w:sz w:val="15"/>
          <w:szCs w:val="15"/>
          <w:b w:val="1"/>
          <w:bCs w:val="1"/>
          <w:color w:val="auto"/>
        </w:rPr>
      </w:pPr>
    </w:p>
    <w:p>
      <w:pPr>
        <w:ind w:left="660" w:hanging="65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17" w:lineRule="exact"/>
        <w:rPr>
          <w:rFonts w:ascii="Arial" w:cs="Arial" w:eastAsia="Arial" w:hAnsi="Arial"/>
          <w:sz w:val="18"/>
          <w:szCs w:val="18"/>
          <w:b w:val="1"/>
          <w:bCs w:val="1"/>
          <w:color w:val="auto"/>
        </w:rPr>
      </w:pPr>
    </w:p>
    <w:p>
      <w:pPr>
        <w:jc w:val="both"/>
        <w:ind w:firstLine="642"/>
        <w:spacing w:after="0" w:line="306" w:lineRule="auto"/>
        <w:tabs>
          <w:tab w:leader="none" w:pos="1319" w:val="left"/>
        </w:tabs>
        <w:numPr>
          <w:ilvl w:val="1"/>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 Reserve. </w:t>
      </w:r>
      <w:r>
        <w:rPr>
          <w:rFonts w:ascii="Arial" w:cs="Arial" w:eastAsia="Arial" w:hAnsi="Arial"/>
          <w:sz w:val="15"/>
          <w:szCs w:val="15"/>
          <w:color w:val="auto"/>
        </w:rPr>
        <w:t>Subject to adjustment in accordance with Section 2(c) and any adjustments as necessary to implement any Capitalization</w:t>
      </w:r>
      <w:r>
        <w:rPr>
          <w:rFonts w:ascii="Arial" w:cs="Arial" w:eastAsia="Arial" w:hAnsi="Arial"/>
          <w:sz w:val="15"/>
          <w:szCs w:val="15"/>
          <w:b w:val="1"/>
          <w:bCs w:val="1"/>
          <w:color w:val="auto"/>
        </w:rPr>
        <w:t xml:space="preserve"> </w:t>
      </w:r>
      <w:r>
        <w:rPr>
          <w:rFonts w:ascii="Arial" w:cs="Arial" w:eastAsia="Arial" w:hAnsi="Arial"/>
          <w:sz w:val="15"/>
          <w:szCs w:val="15"/>
          <w:color w:val="auto"/>
        </w:rPr>
        <w:t>Adjustments, the aggregate number of shares of Common Stock that may be issued pursuant to Awards will not exceed 19,209,986 shares of Common Stock (equal to eleven percent (11%) of the sum of (i) the number of shares of Common Stock outstanding as of the consummation of the transactions contemplated by the Merger Agreement and (ii) the number of shares of Common Stock underlying securities convertible into Common Stock). In addition, subject to any adjustments as necessary to implement any Capitalization Adjustments, such aggregate number of shares of Common Stock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w:t>
      </w:r>
      <w:r>
        <w:rPr>
          <w:rFonts w:ascii="Arial" w:cs="Arial" w:eastAsia="Arial" w:hAnsi="Arial"/>
          <w:sz w:val="7"/>
          <w:szCs w:val="7"/>
          <w:color w:val="auto"/>
        </w:rPr>
        <w:t>st</w:t>
      </w:r>
      <w:r>
        <w:rPr>
          <w:rFonts w:ascii="Arial" w:cs="Arial" w:eastAsia="Arial" w:hAnsi="Arial"/>
          <w:sz w:val="15"/>
          <w:szCs w:val="15"/>
          <w:color w:val="auto"/>
        </w:rPr>
        <w:t xml:space="preserve"> of a given year to provide that the increase for such year will be a lesser number of shares of Common Stock.</w:t>
      </w:r>
    </w:p>
    <w:p>
      <w:pPr>
        <w:spacing w:after="0" w:line="148" w:lineRule="exact"/>
        <w:rPr>
          <w:rFonts w:ascii="Arial" w:cs="Arial" w:eastAsia="Arial" w:hAnsi="Arial"/>
          <w:sz w:val="15"/>
          <w:szCs w:val="15"/>
          <w:b w:val="1"/>
          <w:bCs w:val="1"/>
          <w:color w:val="auto"/>
        </w:rPr>
      </w:pPr>
    </w:p>
    <w:p>
      <w:pPr>
        <w:jc w:val="both"/>
        <w:ind w:firstLine="642"/>
        <w:spacing w:after="0" w:line="254" w:lineRule="auto"/>
        <w:tabs>
          <w:tab w:leader="none" w:pos="1337"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Incentive Stock Option Limit. </w:t>
      </w:r>
      <w:r>
        <w:rPr>
          <w:rFonts w:ascii="Arial" w:cs="Arial" w:eastAsia="Arial" w:hAnsi="Arial"/>
          <w:sz w:val="18"/>
          <w:szCs w:val="18"/>
          <w:color w:val="auto"/>
        </w:rPr>
        <w:t>Notwithstanding anything to the contrary in Section 2(a) and subject to any adjustments as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implement any Capitalization Adjustments, the aggregate maximum number of shares of Common Stock that may be issued pursuant to the exercise of Incentive Stock Options is 57,629,388 shares (equal to three hundred percent (300%) of the total number of shares of Common Stock initially reserved for issuance under Section 2(a)).</w:t>
      </w:r>
    </w:p>
    <w:p>
      <w:pPr>
        <w:spacing w:after="0" w:line="183" w:lineRule="exact"/>
        <w:rPr>
          <w:rFonts w:ascii="Arial" w:cs="Arial" w:eastAsia="Arial" w:hAnsi="Arial"/>
          <w:sz w:val="18"/>
          <w:szCs w:val="18"/>
          <w:b w:val="1"/>
          <w:bCs w:val="1"/>
          <w:color w:val="auto"/>
        </w:rPr>
      </w:pPr>
    </w:p>
    <w:p>
      <w:pPr>
        <w:ind w:left="1280" w:hanging="638"/>
        <w:spacing w:after="0"/>
        <w:tabs>
          <w:tab w:leader="none" w:pos="128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 Operation.</w:t>
      </w:r>
    </w:p>
    <w:p>
      <w:pPr>
        <w:spacing w:after="0" w:line="217" w:lineRule="exact"/>
        <w:rPr>
          <w:rFonts w:ascii="Arial" w:cs="Arial" w:eastAsia="Arial" w:hAnsi="Arial"/>
          <w:sz w:val="18"/>
          <w:szCs w:val="18"/>
          <w:b w:val="1"/>
          <w:bCs w:val="1"/>
          <w:color w:val="auto"/>
        </w:rPr>
      </w:pPr>
    </w:p>
    <w:p>
      <w:pPr>
        <w:jc w:val="both"/>
        <w:ind w:firstLine="1278"/>
        <w:spacing w:after="0" w:line="314" w:lineRule="auto"/>
        <w:tabs>
          <w:tab w:leader="none" w:pos="1880" w:val="left"/>
        </w:tabs>
        <w:numPr>
          <w:ilvl w:val="2"/>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Limit Applies to Common Stock Issued Pursuant to Awards. </w:t>
      </w:r>
      <w:r>
        <w:rPr>
          <w:rFonts w:ascii="Arial" w:cs="Arial" w:eastAsia="Arial" w:hAnsi="Arial"/>
          <w:sz w:val="15"/>
          <w:szCs w:val="15"/>
          <w:color w:val="auto"/>
        </w:rPr>
        <w:t>For clarity, the Share Reserve is a limit on the number of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996" w:right="339" w:bottom="1440" w:gutter="0" w:footer="0" w:header="0"/>
        </w:sectPr>
      </w:pPr>
    </w:p>
    <w:bookmarkStart w:id="14" w:name="page15"/>
    <w:bookmarkEnd w:id="14"/>
    <w:p>
      <w:pPr>
        <w:jc w:val="both"/>
        <w:ind w:firstLine="1278"/>
        <w:spacing w:after="0" w:line="268" w:lineRule="auto"/>
        <w:tabs>
          <w:tab w:leader="none" w:pos="1881" w:val="left"/>
        </w:tabs>
        <w:numPr>
          <w:ilvl w:val="2"/>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Actions that Do Not Constitute Issuance of Common Stock and Do Not Reduce Share Reserve. </w:t>
      </w:r>
      <w:r>
        <w:rPr>
          <w:rFonts w:ascii="Arial" w:cs="Arial" w:eastAsia="Arial" w:hAnsi="Arial"/>
          <w:sz w:val="17"/>
          <w:szCs w:val="17"/>
          <w:color w:val="auto"/>
        </w:rPr>
        <w:t>The following actions do not</w:t>
      </w:r>
      <w:r>
        <w:rPr>
          <w:rFonts w:ascii="Arial" w:cs="Arial" w:eastAsia="Arial" w:hAnsi="Arial"/>
          <w:sz w:val="17"/>
          <w:szCs w:val="17"/>
          <w:b w:val="1"/>
          <w:bCs w:val="1"/>
          <w:color w:val="auto"/>
        </w:rPr>
        <w:t xml:space="preserve"> </w:t>
      </w:r>
      <w:r>
        <w:rPr>
          <w:rFonts w:ascii="Arial" w:cs="Arial" w:eastAsia="Arial" w:hAnsi="Arial"/>
          <w:sz w:val="17"/>
          <w:szCs w:val="17"/>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Arial" w:cs="Arial" w:eastAsia="Arial" w:hAnsi="Arial"/>
          <w:sz w:val="17"/>
          <w:szCs w:val="17"/>
          <w:i w:val="1"/>
          <w:iCs w:val="1"/>
          <w:color w:val="auto"/>
        </w:rPr>
        <w:t>i.e.</w:t>
      </w:r>
      <w:r>
        <w:rPr>
          <w:rFonts w:ascii="Arial" w:cs="Arial" w:eastAsia="Arial" w:hAnsi="Arial"/>
          <w:sz w:val="17"/>
          <w:szCs w:val="17"/>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74" w:lineRule="exact"/>
        <w:rPr>
          <w:rFonts w:ascii="Arial" w:cs="Arial" w:eastAsia="Arial" w:hAnsi="Arial"/>
          <w:sz w:val="17"/>
          <w:szCs w:val="17"/>
          <w:b w:val="1"/>
          <w:bCs w:val="1"/>
          <w:color w:val="auto"/>
        </w:rPr>
      </w:pPr>
    </w:p>
    <w:p>
      <w:pPr>
        <w:jc w:val="both"/>
        <w:ind w:firstLine="1278"/>
        <w:spacing w:after="0" w:line="314" w:lineRule="auto"/>
        <w:tabs>
          <w:tab w:leader="none" w:pos="1859" w:val="left"/>
        </w:tabs>
        <w:numPr>
          <w:ilvl w:val="2"/>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Reversion of Previously Issued Shares of Common Stock to Share Reserve. </w:t>
      </w:r>
      <w:r>
        <w:rPr>
          <w:rFonts w:ascii="Arial" w:cs="Arial" w:eastAsia="Arial" w:hAnsi="Arial"/>
          <w:sz w:val="15"/>
          <w:szCs w:val="15"/>
          <w:color w:val="auto"/>
        </w:rPr>
        <w:t>The following shares of Common Stock previously</w:t>
      </w:r>
      <w:r>
        <w:rPr>
          <w:rFonts w:ascii="Arial" w:cs="Arial" w:eastAsia="Arial" w:hAnsi="Arial"/>
          <w:sz w:val="15"/>
          <w:szCs w:val="15"/>
          <w:b w:val="1"/>
          <w:bCs w:val="1"/>
          <w:color w:val="auto"/>
        </w:rPr>
        <w:t xml:space="preserve"> </w:t>
      </w:r>
      <w:r>
        <w:rPr>
          <w:rFonts w:ascii="Arial" w:cs="Arial" w:eastAsia="Arial" w:hAnsi="Arial"/>
          <w:sz w:val="15"/>
          <w:szCs w:val="15"/>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43" w:lineRule="exact"/>
        <w:rPr>
          <w:rFonts w:ascii="Arial" w:cs="Arial" w:eastAsia="Arial" w:hAnsi="Arial"/>
          <w:sz w:val="15"/>
          <w:szCs w:val="15"/>
          <w:b w:val="1"/>
          <w:bCs w:val="1"/>
          <w:color w:val="auto"/>
        </w:rPr>
      </w:pPr>
    </w:p>
    <w:p>
      <w:pPr>
        <w:ind w:left="660" w:hanging="65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and Limitations.</w:t>
      </w:r>
    </w:p>
    <w:p>
      <w:pPr>
        <w:spacing w:after="0" w:line="217" w:lineRule="exact"/>
        <w:rPr>
          <w:rFonts w:ascii="Arial" w:cs="Arial" w:eastAsia="Arial" w:hAnsi="Arial"/>
          <w:sz w:val="18"/>
          <w:szCs w:val="18"/>
          <w:b w:val="1"/>
          <w:bCs w:val="1"/>
          <w:color w:val="auto"/>
        </w:rPr>
      </w:pPr>
    </w:p>
    <w:p>
      <w:pPr>
        <w:ind w:left="1240" w:hanging="598"/>
        <w:spacing w:after="0"/>
        <w:tabs>
          <w:tab w:leader="none" w:pos="1240" w:val="left"/>
        </w:tabs>
        <w:numPr>
          <w:ilvl w:val="1"/>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Eligible Award Recipients. </w:t>
      </w:r>
      <w:r>
        <w:rPr>
          <w:rFonts w:ascii="Arial" w:cs="Arial" w:eastAsia="Arial" w:hAnsi="Arial"/>
          <w:sz w:val="17"/>
          <w:szCs w:val="17"/>
          <w:color w:val="auto"/>
        </w:rPr>
        <w:t>Subject to the terms of the Plan, Employees, Directors and Consultants are eligible to receive Awards.</w:t>
      </w:r>
    </w:p>
    <w:p>
      <w:pPr>
        <w:spacing w:after="0" w:line="228" w:lineRule="exact"/>
        <w:rPr>
          <w:rFonts w:ascii="Arial" w:cs="Arial" w:eastAsia="Arial" w:hAnsi="Arial"/>
          <w:sz w:val="17"/>
          <w:szCs w:val="17"/>
          <w:b w:val="1"/>
          <w:bCs w:val="1"/>
          <w:color w:val="auto"/>
        </w:rPr>
      </w:pPr>
    </w:p>
    <w:p>
      <w:pPr>
        <w:ind w:left="1260" w:hanging="618"/>
        <w:spacing w:after="0"/>
        <w:tabs>
          <w:tab w:leader="none" w:pos="126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Specific Award Limitations.</w:t>
      </w:r>
    </w:p>
    <w:p>
      <w:pPr>
        <w:spacing w:after="0" w:line="217" w:lineRule="exact"/>
        <w:rPr>
          <w:rFonts w:ascii="Arial" w:cs="Arial" w:eastAsia="Arial" w:hAnsi="Arial"/>
          <w:sz w:val="18"/>
          <w:szCs w:val="18"/>
          <w:b w:val="1"/>
          <w:bCs w:val="1"/>
          <w:color w:val="auto"/>
        </w:rPr>
      </w:pPr>
    </w:p>
    <w:p>
      <w:pPr>
        <w:ind w:firstLine="1278"/>
        <w:spacing w:after="0" w:line="271" w:lineRule="auto"/>
        <w:tabs>
          <w:tab w:leader="none" w:pos="1920" w:val="left"/>
        </w:tabs>
        <w:numPr>
          <w:ilvl w:val="2"/>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on Incentive Stock Option Recipients. </w:t>
      </w:r>
      <w:r>
        <w:rPr>
          <w:rFonts w:ascii="Arial" w:cs="Arial" w:eastAsia="Arial" w:hAnsi="Arial"/>
          <w:sz w:val="18"/>
          <w:szCs w:val="18"/>
          <w:color w:val="auto"/>
        </w:rPr>
        <w:t>Incentive Stock Options may be granted only to Employees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a “parent corporation” or “subsidiary corporation” thereof (as such terms are defined in Sections 424(e) and (f) of the Code).</w:t>
      </w:r>
    </w:p>
    <w:p>
      <w:pPr>
        <w:spacing w:after="0" w:line="168" w:lineRule="exact"/>
        <w:rPr>
          <w:rFonts w:ascii="Arial" w:cs="Arial" w:eastAsia="Arial" w:hAnsi="Arial"/>
          <w:sz w:val="18"/>
          <w:szCs w:val="18"/>
          <w:b w:val="1"/>
          <w:bCs w:val="1"/>
          <w:color w:val="auto"/>
        </w:rPr>
      </w:pPr>
    </w:p>
    <w:p>
      <w:pPr>
        <w:jc w:val="both"/>
        <w:ind w:firstLine="1278"/>
        <w:spacing w:after="0" w:line="314" w:lineRule="auto"/>
        <w:tabs>
          <w:tab w:leader="none" w:pos="1854" w:val="left"/>
        </w:tabs>
        <w:numPr>
          <w:ilvl w:val="2"/>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Incentive Stock Option $100,000 Limitation. </w:t>
      </w:r>
      <w:r>
        <w:rPr>
          <w:rFonts w:ascii="Arial" w:cs="Arial" w:eastAsia="Arial" w:hAnsi="Arial"/>
          <w:sz w:val="15"/>
          <w:szCs w:val="15"/>
          <w:color w:val="auto"/>
        </w:rPr>
        <w:t>To the extent that the aggregate Fair Market Value (determined at the time of grant)</w:t>
      </w:r>
      <w:r>
        <w:rPr>
          <w:rFonts w:ascii="Arial" w:cs="Arial" w:eastAsia="Arial" w:hAnsi="Arial"/>
          <w:sz w:val="15"/>
          <w:szCs w:val="15"/>
          <w:b w:val="1"/>
          <w:bCs w:val="1"/>
          <w:color w:val="auto"/>
        </w:rPr>
        <w:t xml:space="preserve"> </w:t>
      </w:r>
      <w:r>
        <w:rPr>
          <w:rFonts w:ascii="Arial" w:cs="Arial" w:eastAsia="Arial" w:hAnsi="Arial"/>
          <w:sz w:val="15"/>
          <w:szCs w:val="15"/>
          <w:color w:val="auto"/>
        </w:rPr>
        <w:t>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43" w:lineRule="exact"/>
        <w:rPr>
          <w:rFonts w:ascii="Arial" w:cs="Arial" w:eastAsia="Arial" w:hAnsi="Arial"/>
          <w:sz w:val="15"/>
          <w:szCs w:val="15"/>
          <w:b w:val="1"/>
          <w:bCs w:val="1"/>
          <w:color w:val="auto"/>
        </w:rPr>
      </w:pPr>
    </w:p>
    <w:p>
      <w:pPr>
        <w:jc w:val="both"/>
        <w:ind w:firstLine="1278"/>
        <w:spacing w:after="0" w:line="258" w:lineRule="auto"/>
        <w:tabs>
          <w:tab w:leader="none" w:pos="1916" w:val="left"/>
        </w:tabs>
        <w:numPr>
          <w:ilvl w:val="2"/>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on Incentive Stock Options Granted to Ten Percent Stockholders. </w:t>
      </w:r>
      <w:r>
        <w:rPr>
          <w:rFonts w:ascii="Arial" w:cs="Arial" w:eastAsia="Arial" w:hAnsi="Arial"/>
          <w:sz w:val="18"/>
          <w:szCs w:val="18"/>
          <w:color w:val="auto"/>
        </w:rPr>
        <w:t>A Ten Percent Stockholder may not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996" w:right="339" w:bottom="1440" w:gutter="0" w:footer="0" w:header="0"/>
        </w:sectPr>
      </w:pPr>
    </w:p>
    <w:bookmarkStart w:id="15" w:name="page16"/>
    <w:bookmarkEnd w:id="15"/>
    <w:p>
      <w:pPr>
        <w:jc w:val="both"/>
        <w:ind w:firstLine="1278"/>
        <w:spacing w:after="0" w:line="274" w:lineRule="auto"/>
        <w:tabs>
          <w:tab w:leader="none" w:pos="1836" w:val="left"/>
        </w:tabs>
        <w:numPr>
          <w:ilvl w:val="2"/>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Limitations on Nonstatutory Stock Options and SARs. </w:t>
      </w:r>
      <w:r>
        <w:rPr>
          <w:rFonts w:ascii="Arial" w:cs="Arial" w:eastAsia="Arial" w:hAnsi="Arial"/>
          <w:sz w:val="17"/>
          <w:szCs w:val="17"/>
          <w:color w:val="auto"/>
        </w:rPr>
        <w:t>Nonstatutory Stock Options and SARs may not be granted to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67" w:lineRule="exact"/>
        <w:rPr>
          <w:rFonts w:ascii="Arial" w:cs="Arial" w:eastAsia="Arial" w:hAnsi="Arial"/>
          <w:sz w:val="17"/>
          <w:szCs w:val="17"/>
          <w:b w:val="1"/>
          <w:bCs w:val="1"/>
          <w:color w:val="auto"/>
        </w:rPr>
      </w:pPr>
    </w:p>
    <w:p>
      <w:pPr>
        <w:ind w:firstLine="642"/>
        <w:spacing w:after="0" w:line="271" w:lineRule="auto"/>
        <w:tabs>
          <w:tab w:leader="none" w:pos="1229"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Incentive Stock Option Limit. </w:t>
      </w:r>
      <w:r>
        <w:rPr>
          <w:rFonts w:ascii="Arial" w:cs="Arial" w:eastAsia="Arial" w:hAnsi="Arial"/>
          <w:sz w:val="18"/>
          <w:szCs w:val="18"/>
          <w:color w:val="auto"/>
        </w:rPr>
        <w:t>The aggregate maximum number of shares of Common Stock that may be issued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Incentive Stock Options is the number of shares specified in Section 2(b).</w:t>
      </w:r>
    </w:p>
    <w:p>
      <w:pPr>
        <w:spacing w:after="0" w:line="168" w:lineRule="exact"/>
        <w:rPr>
          <w:rFonts w:ascii="Arial" w:cs="Arial" w:eastAsia="Arial" w:hAnsi="Arial"/>
          <w:sz w:val="18"/>
          <w:szCs w:val="18"/>
          <w:b w:val="1"/>
          <w:bCs w:val="1"/>
          <w:color w:val="auto"/>
        </w:rPr>
      </w:pPr>
    </w:p>
    <w:p>
      <w:pPr>
        <w:jc w:val="both"/>
        <w:ind w:firstLine="642"/>
        <w:spacing w:after="0" w:line="251" w:lineRule="auto"/>
        <w:tabs>
          <w:tab w:leader="none" w:pos="1329"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Non-Employee Director Compensation Limit. </w:t>
      </w:r>
      <w:r>
        <w:rPr>
          <w:rFonts w:ascii="Arial" w:cs="Arial" w:eastAsia="Arial" w:hAnsi="Arial"/>
          <w:sz w:val="18"/>
          <w:szCs w:val="18"/>
          <w:color w:val="auto"/>
        </w:rPr>
        <w:t>The aggregate value of all compensation granted or paid, as applicable, to any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for 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185" w:lineRule="exact"/>
        <w:rPr>
          <w:rFonts w:ascii="Arial" w:cs="Arial" w:eastAsia="Arial" w:hAnsi="Arial"/>
          <w:sz w:val="18"/>
          <w:szCs w:val="18"/>
          <w:b w:val="1"/>
          <w:bCs w:val="1"/>
          <w:color w:val="auto"/>
        </w:rPr>
      </w:pPr>
    </w:p>
    <w:p>
      <w:pPr>
        <w:ind w:left="660" w:hanging="65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Options and Stock Appreciation Rights.</w:t>
      </w:r>
    </w:p>
    <w:p>
      <w:pPr>
        <w:spacing w:after="0" w:line="223"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90" w:lineRule="exact"/>
        <w:rPr>
          <w:sz w:val="20"/>
          <w:szCs w:val="20"/>
          <w:color w:val="auto"/>
        </w:rPr>
      </w:pPr>
    </w:p>
    <w:p>
      <w:pPr>
        <w:ind w:firstLine="642"/>
        <w:spacing w:after="0" w:line="271" w:lineRule="auto"/>
        <w:tabs>
          <w:tab w:leader="none" w:pos="130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Section 3(b) regarding Ten Percent Stockholders, no Option or SAR will be exercisable after the expiration of ten years</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date of grant of such Award or such shorter period specified in the Award Agreement.</w:t>
      </w:r>
    </w:p>
    <w:p>
      <w:pPr>
        <w:spacing w:after="0" w:line="168" w:lineRule="exact"/>
        <w:rPr>
          <w:rFonts w:ascii="Arial" w:cs="Arial" w:eastAsia="Arial" w:hAnsi="Arial"/>
          <w:sz w:val="18"/>
          <w:szCs w:val="18"/>
          <w:b w:val="1"/>
          <w:bCs w:val="1"/>
          <w:color w:val="auto"/>
        </w:rPr>
      </w:pPr>
    </w:p>
    <w:p>
      <w:pPr>
        <w:jc w:val="both"/>
        <w:ind w:firstLine="642"/>
        <w:spacing w:after="0" w:line="252" w:lineRule="auto"/>
        <w:tabs>
          <w:tab w:leader="none" w:pos="131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or Strike Price. </w:t>
      </w:r>
      <w:r>
        <w:rPr>
          <w:rFonts w:ascii="Arial" w:cs="Arial" w:eastAsia="Arial" w:hAnsi="Arial"/>
          <w:sz w:val="18"/>
          <w:szCs w:val="18"/>
          <w:color w:val="auto"/>
        </w:rPr>
        <w:t>Subject to Section 3(b) regarding Ten Percent Stockholders, the exercise or strike price of each Option or SAR</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996" w:right="339" w:bottom="1440" w:gutter="0" w:footer="0" w:header="0"/>
        </w:sectPr>
      </w:pPr>
    </w:p>
    <w:bookmarkStart w:id="16" w:name="page17"/>
    <w:bookmarkEnd w:id="16"/>
    <w:p>
      <w:pPr>
        <w:jc w:val="both"/>
        <w:ind w:firstLine="642"/>
        <w:spacing w:after="0" w:line="251" w:lineRule="auto"/>
        <w:tabs>
          <w:tab w:leader="none" w:pos="127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Procedure and Payment of Exercise Price for Options. </w:t>
      </w:r>
      <w:r>
        <w:rPr>
          <w:rFonts w:ascii="Arial" w:cs="Arial" w:eastAsia="Arial" w:hAnsi="Arial"/>
          <w:sz w:val="18"/>
          <w:szCs w:val="18"/>
          <w:color w:val="auto"/>
        </w:rPr>
        <w:t>In order to exercise an Option, the Participant must provide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91" w:lineRule="exact"/>
        <w:rPr>
          <w:rFonts w:ascii="Arial" w:cs="Arial" w:eastAsia="Arial" w:hAnsi="Arial"/>
          <w:sz w:val="18"/>
          <w:szCs w:val="18"/>
          <w:b w:val="1"/>
          <w:bCs w:val="1"/>
          <w:color w:val="auto"/>
        </w:rPr>
      </w:pPr>
    </w:p>
    <w:p>
      <w:pPr>
        <w:ind w:left="1880" w:hanging="602"/>
        <w:spacing w:after="0"/>
        <w:tabs>
          <w:tab w:leader="none" w:pos="188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by cash or check, bank draft or money order payable to the Company;</w:t>
      </w:r>
    </w:p>
    <w:p>
      <w:pPr>
        <w:spacing w:after="0" w:line="217" w:lineRule="exact"/>
        <w:rPr>
          <w:rFonts w:ascii="Arial" w:cs="Arial" w:eastAsia="Arial" w:hAnsi="Arial"/>
          <w:sz w:val="18"/>
          <w:szCs w:val="18"/>
          <w:b w:val="1"/>
          <w:bCs w:val="1"/>
          <w:color w:val="auto"/>
        </w:rPr>
      </w:pPr>
    </w:p>
    <w:p>
      <w:pPr>
        <w:jc w:val="both"/>
        <w:ind w:firstLine="1278"/>
        <w:spacing w:after="0" w:line="255" w:lineRule="auto"/>
        <w:tabs>
          <w:tab w:leader="none" w:pos="1822"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88" w:lineRule="exact"/>
        <w:rPr>
          <w:rFonts w:ascii="Arial" w:cs="Arial" w:eastAsia="Arial" w:hAnsi="Arial"/>
          <w:sz w:val="18"/>
          <w:szCs w:val="18"/>
          <w:b w:val="1"/>
          <w:bCs w:val="1"/>
          <w:color w:val="auto"/>
        </w:rPr>
      </w:pPr>
    </w:p>
    <w:p>
      <w:pPr>
        <w:jc w:val="both"/>
        <w:ind w:firstLine="1278"/>
        <w:spacing w:after="0" w:line="309" w:lineRule="auto"/>
        <w:tabs>
          <w:tab w:leader="none" w:pos="1996" w:val="left"/>
        </w:tabs>
        <w:numPr>
          <w:ilvl w:val="1"/>
          <w:numId w:val="16"/>
        </w:numPr>
        <w:rPr>
          <w:rFonts w:ascii="Arial" w:cs="Arial" w:eastAsia="Arial" w:hAnsi="Arial"/>
          <w:sz w:val="15"/>
          <w:szCs w:val="15"/>
          <w:b w:val="1"/>
          <w:bCs w:val="1"/>
          <w:color w:val="auto"/>
        </w:rPr>
      </w:pPr>
      <w:r>
        <w:rPr>
          <w:rFonts w:ascii="Arial" w:cs="Arial" w:eastAsia="Arial" w:hAnsi="Arial"/>
          <w:sz w:val="15"/>
          <w:szCs w:val="15"/>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51" w:lineRule="exact"/>
        <w:rPr>
          <w:rFonts w:ascii="Arial" w:cs="Arial" w:eastAsia="Arial" w:hAnsi="Arial"/>
          <w:sz w:val="15"/>
          <w:szCs w:val="15"/>
          <w:b w:val="1"/>
          <w:bCs w:val="1"/>
          <w:color w:val="auto"/>
        </w:rPr>
      </w:pPr>
    </w:p>
    <w:p>
      <w:pPr>
        <w:jc w:val="both"/>
        <w:ind w:firstLine="1278"/>
        <w:spacing w:after="0" w:line="318" w:lineRule="auto"/>
        <w:tabs>
          <w:tab w:leader="none" w:pos="2013" w:val="left"/>
        </w:tabs>
        <w:numPr>
          <w:ilvl w:val="1"/>
          <w:numId w:val="16"/>
        </w:numPr>
        <w:rPr>
          <w:rFonts w:ascii="Arial" w:cs="Arial" w:eastAsia="Arial" w:hAnsi="Arial"/>
          <w:sz w:val="15"/>
          <w:szCs w:val="15"/>
          <w:b w:val="1"/>
          <w:bCs w:val="1"/>
          <w:color w:val="auto"/>
        </w:rPr>
      </w:pPr>
      <w:r>
        <w:rPr>
          <w:rFonts w:ascii="Arial" w:cs="Arial" w:eastAsia="Arial" w:hAnsi="Arial"/>
          <w:sz w:val="15"/>
          <w:szCs w:val="15"/>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45" w:lineRule="exact"/>
        <w:rPr>
          <w:rFonts w:ascii="Arial" w:cs="Arial" w:eastAsia="Arial" w:hAnsi="Arial"/>
          <w:sz w:val="15"/>
          <w:szCs w:val="15"/>
          <w:b w:val="1"/>
          <w:bCs w:val="1"/>
          <w:color w:val="auto"/>
        </w:rPr>
      </w:pPr>
    </w:p>
    <w:p>
      <w:pPr>
        <w:ind w:left="1880" w:hanging="602"/>
        <w:spacing w:after="0"/>
        <w:tabs>
          <w:tab w:leader="none" w:pos="188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in any other form of consideration that may be acceptable to the Board and permissible under Applicable Law.</w:t>
      </w:r>
    </w:p>
    <w:p>
      <w:pPr>
        <w:spacing w:after="0" w:line="211" w:lineRule="exact"/>
        <w:rPr>
          <w:rFonts w:ascii="Arial" w:cs="Arial" w:eastAsia="Arial" w:hAnsi="Arial"/>
          <w:sz w:val="18"/>
          <w:szCs w:val="18"/>
          <w:b w:val="1"/>
          <w:bCs w:val="1"/>
          <w:color w:val="auto"/>
        </w:rPr>
      </w:pPr>
    </w:p>
    <w:p>
      <w:pPr>
        <w:jc w:val="both"/>
        <w:ind w:firstLine="642"/>
        <w:spacing w:after="0" w:line="268" w:lineRule="auto"/>
        <w:tabs>
          <w:tab w:leader="none" w:pos="1298"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Procedure and Payment of Appreciation Distribution for SARs. </w:t>
      </w:r>
      <w:r>
        <w:rPr>
          <w:rFonts w:ascii="Arial" w:cs="Arial" w:eastAsia="Arial" w:hAnsi="Arial"/>
          <w:sz w:val="17"/>
          <w:szCs w:val="17"/>
          <w:color w:val="auto"/>
        </w:rPr>
        <w:t>In order to exercise any SAR, the Participant must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996" w:right="339" w:bottom="1440" w:gutter="0" w:footer="0" w:header="0"/>
        </w:sectPr>
      </w:pPr>
    </w:p>
    <w:bookmarkStart w:id="17" w:name="page18"/>
    <w:bookmarkEnd w:id="17"/>
    <w:p>
      <w:pPr>
        <w:jc w:val="both"/>
        <w:ind w:firstLine="642"/>
        <w:spacing w:after="0" w:line="252" w:lineRule="auto"/>
        <w:tabs>
          <w:tab w:leader="none" w:pos="1331"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Options and SARs may not be transferred to third party financial institutions for value. The Board may impose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an Option is an Incentive Stock Option, such Option may be deemed to be a Nonstatutory Stock Option as a result of such transfer:</w:t>
      </w:r>
    </w:p>
    <w:p>
      <w:pPr>
        <w:spacing w:after="0" w:line="185" w:lineRule="exact"/>
        <w:rPr>
          <w:rFonts w:ascii="Arial" w:cs="Arial" w:eastAsia="Arial" w:hAnsi="Arial"/>
          <w:sz w:val="18"/>
          <w:szCs w:val="18"/>
          <w:b w:val="1"/>
          <w:bCs w:val="1"/>
          <w:color w:val="auto"/>
        </w:rPr>
      </w:pPr>
    </w:p>
    <w:p>
      <w:pPr>
        <w:jc w:val="both"/>
        <w:ind w:firstLine="1278"/>
        <w:spacing w:after="0" w:line="314" w:lineRule="auto"/>
        <w:tabs>
          <w:tab w:leader="none" w:pos="1849" w:val="left"/>
        </w:tabs>
        <w:numPr>
          <w:ilvl w:val="1"/>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Restrictions on Transfer. </w:t>
      </w:r>
      <w:r>
        <w:rPr>
          <w:rFonts w:ascii="Arial" w:cs="Arial" w:eastAsia="Arial" w:hAnsi="Arial"/>
          <w:sz w:val="15"/>
          <w:szCs w:val="15"/>
          <w:color w:val="auto"/>
        </w:rPr>
        <w:t>An Option or SAR will not be transferable, except by will or by the laws of descent and distribution, and</w:t>
      </w:r>
      <w:r>
        <w:rPr>
          <w:rFonts w:ascii="Arial" w:cs="Arial" w:eastAsia="Arial" w:hAnsi="Arial"/>
          <w:sz w:val="15"/>
          <w:szCs w:val="15"/>
          <w:b w:val="1"/>
          <w:bCs w:val="1"/>
          <w:color w:val="auto"/>
        </w:rPr>
        <w:t xml:space="preserve"> </w:t>
      </w:r>
      <w:r>
        <w:rPr>
          <w:rFonts w:ascii="Arial" w:cs="Arial" w:eastAsia="Arial" w:hAnsi="Arial"/>
          <w:sz w:val="15"/>
          <w:szCs w:val="15"/>
          <w:color w:val="auto"/>
        </w:rPr>
        <w:t>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43" w:lineRule="exact"/>
        <w:rPr>
          <w:rFonts w:ascii="Arial" w:cs="Arial" w:eastAsia="Arial" w:hAnsi="Arial"/>
          <w:sz w:val="15"/>
          <w:szCs w:val="15"/>
          <w:b w:val="1"/>
          <w:bCs w:val="1"/>
          <w:color w:val="auto"/>
        </w:rPr>
      </w:pPr>
    </w:p>
    <w:p>
      <w:pPr>
        <w:jc w:val="both"/>
        <w:ind w:firstLine="1278"/>
        <w:spacing w:after="0" w:line="258" w:lineRule="auto"/>
        <w:tabs>
          <w:tab w:leader="none" w:pos="2084"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Notwithstanding the foregoing, subject to the execution of transfer documentation in a format</w:t>
      </w:r>
      <w:r>
        <w:rPr>
          <w:rFonts w:ascii="Arial" w:cs="Arial" w:eastAsia="Arial" w:hAnsi="Arial"/>
          <w:sz w:val="18"/>
          <w:szCs w:val="18"/>
          <w:b w:val="1"/>
          <w:bCs w:val="1"/>
          <w:color w:val="auto"/>
        </w:rPr>
        <w:t xml:space="preserve"> </w:t>
      </w:r>
      <w:r>
        <w:rPr>
          <w:rFonts w:ascii="Arial" w:cs="Arial" w:eastAsia="Arial" w:hAnsi="Arial"/>
          <w:sz w:val="18"/>
          <w:szCs w:val="18"/>
          <w:color w:val="auto"/>
        </w:rPr>
        <w:t>acceptable to the Company and subject to the approval of the Board or a duly authorized Officer, an Option or SAR may be transferred pursuant to a domestic relations order.</w:t>
      </w:r>
    </w:p>
    <w:p>
      <w:pPr>
        <w:spacing w:after="0" w:line="180" w:lineRule="exact"/>
        <w:rPr>
          <w:rFonts w:ascii="Arial" w:cs="Arial" w:eastAsia="Arial" w:hAnsi="Arial"/>
          <w:sz w:val="18"/>
          <w:szCs w:val="18"/>
          <w:b w:val="1"/>
          <w:bCs w:val="1"/>
          <w:color w:val="auto"/>
        </w:rPr>
      </w:pPr>
    </w:p>
    <w:p>
      <w:pPr>
        <w:jc w:val="both"/>
        <w:ind w:firstLine="642"/>
        <w:spacing w:after="0" w:line="258" w:lineRule="auto"/>
        <w:tabs>
          <w:tab w:leader="none" w:pos="1223"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The Board may impose such restrictions on or conditions to the vesting and/or exercisability of an Option or SAR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pacing w:after="0" w:line="180" w:lineRule="exact"/>
        <w:rPr>
          <w:rFonts w:ascii="Arial" w:cs="Arial" w:eastAsia="Arial" w:hAnsi="Arial"/>
          <w:sz w:val="18"/>
          <w:szCs w:val="18"/>
          <w:b w:val="1"/>
          <w:bCs w:val="1"/>
          <w:color w:val="auto"/>
        </w:rPr>
      </w:pPr>
    </w:p>
    <w:p>
      <w:pPr>
        <w:jc w:val="both"/>
        <w:ind w:firstLine="642"/>
        <w:spacing w:after="0" w:line="314" w:lineRule="auto"/>
        <w:tabs>
          <w:tab w:leader="none" w:pos="1195"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Termination of Continuous Service for Cause. </w:t>
      </w:r>
      <w:r>
        <w:rPr>
          <w:rFonts w:ascii="Arial" w:cs="Arial" w:eastAsia="Arial" w:hAnsi="Arial"/>
          <w:sz w:val="15"/>
          <w:szCs w:val="15"/>
          <w:color w:val="auto"/>
        </w:rPr>
        <w:t>Except as explicitly otherwise provided in the Award Agreement or other written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996" w:right="339" w:bottom="1440" w:gutter="0" w:footer="0" w:header="0"/>
        </w:sectPr>
      </w:pPr>
    </w:p>
    <w:bookmarkStart w:id="18" w:name="page19"/>
    <w:bookmarkEnd w:id="18"/>
    <w:p>
      <w:pPr>
        <w:jc w:val="both"/>
        <w:ind w:firstLine="642"/>
        <w:spacing w:after="0" w:line="252" w:lineRule="auto"/>
        <w:tabs>
          <w:tab w:leader="none" w:pos="1329"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Post-Termination Exercise Period Following Termination of Continuous Service for Reasons Other than Cause. </w:t>
      </w:r>
      <w:r>
        <w:rPr>
          <w:rFonts w:ascii="Arial" w:cs="Arial" w:eastAsia="Arial" w:hAnsi="Arial"/>
          <w:sz w:val="18"/>
          <w:szCs w:val="18"/>
          <w:color w:val="auto"/>
        </w:rPr>
        <w:t>Subject to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91" w:lineRule="exact"/>
        <w:rPr>
          <w:rFonts w:ascii="Arial" w:cs="Arial" w:eastAsia="Arial" w:hAnsi="Arial"/>
          <w:sz w:val="18"/>
          <w:szCs w:val="18"/>
          <w:b w:val="1"/>
          <w:bCs w:val="1"/>
          <w:color w:val="auto"/>
        </w:rPr>
      </w:pPr>
    </w:p>
    <w:p>
      <w:pPr>
        <w:ind w:firstLine="1278"/>
        <w:spacing w:after="0" w:line="264" w:lineRule="auto"/>
        <w:tabs>
          <w:tab w:leader="none" w:pos="1926"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three months following the date of such termination if such termination is a termination without Cause (other than any termination due to the Participant’s Disability or death);</w:t>
      </w:r>
    </w:p>
    <w:p>
      <w:pPr>
        <w:spacing w:after="0" w:line="180" w:lineRule="exact"/>
        <w:rPr>
          <w:rFonts w:ascii="Arial" w:cs="Arial" w:eastAsia="Arial" w:hAnsi="Arial"/>
          <w:sz w:val="18"/>
          <w:szCs w:val="18"/>
          <w:b w:val="1"/>
          <w:bCs w:val="1"/>
          <w:color w:val="auto"/>
        </w:rPr>
      </w:pPr>
    </w:p>
    <w:p>
      <w:pPr>
        <w:ind w:left="1840" w:hanging="562"/>
        <w:spacing w:after="0"/>
        <w:tabs>
          <w:tab w:leader="none" w:pos="1840"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12 months following the date of such termination if such termination is due to the Participant’s Disability;</w:t>
      </w:r>
    </w:p>
    <w:p>
      <w:pPr>
        <w:spacing w:after="0" w:line="217" w:lineRule="exact"/>
        <w:rPr>
          <w:rFonts w:ascii="Arial" w:cs="Arial" w:eastAsia="Arial" w:hAnsi="Arial"/>
          <w:sz w:val="18"/>
          <w:szCs w:val="18"/>
          <w:b w:val="1"/>
          <w:bCs w:val="1"/>
          <w:color w:val="auto"/>
        </w:rPr>
      </w:pPr>
    </w:p>
    <w:p>
      <w:pPr>
        <w:ind w:left="1860" w:hanging="582"/>
        <w:spacing w:after="0"/>
        <w:tabs>
          <w:tab w:leader="none" w:pos="1860"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such termination if such termination is due to the Participant’s death; or</w:t>
      </w:r>
    </w:p>
    <w:p>
      <w:pPr>
        <w:spacing w:after="0" w:line="217" w:lineRule="exact"/>
        <w:rPr>
          <w:rFonts w:ascii="Arial" w:cs="Arial" w:eastAsia="Arial" w:hAnsi="Arial"/>
          <w:sz w:val="18"/>
          <w:szCs w:val="18"/>
          <w:b w:val="1"/>
          <w:bCs w:val="1"/>
          <w:color w:val="auto"/>
        </w:rPr>
      </w:pPr>
    </w:p>
    <w:p>
      <w:pPr>
        <w:ind w:firstLine="1278"/>
        <w:spacing w:after="0" w:line="264" w:lineRule="auto"/>
        <w:tabs>
          <w:tab w:leader="none" w:pos="1909"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85" w:lineRule="exact"/>
        <w:rPr>
          <w:sz w:val="20"/>
          <w:szCs w:val="20"/>
          <w:color w:val="auto"/>
        </w:rPr>
      </w:pPr>
    </w:p>
    <w:p>
      <w:pPr>
        <w:jc w:val="both"/>
        <w:ind w:firstLine="642"/>
        <w:spacing w:after="0" w:line="264" w:lineRule="auto"/>
        <w:tabs>
          <w:tab w:leader="none" w:pos="1266"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Restrictions on Exercise; Extension of Exercisability. </w:t>
      </w:r>
      <w:r>
        <w:rPr>
          <w:rFonts w:ascii="Arial" w:cs="Arial" w:eastAsia="Arial" w:hAnsi="Arial"/>
          <w:sz w:val="17"/>
          <w:szCs w:val="17"/>
          <w:color w:val="auto"/>
        </w:rPr>
        <w:t>A Participant may not exercise an Option or SAR at any time that the issuance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996" w:right="339" w:bottom="1440" w:gutter="0" w:footer="0" w:header="0"/>
        </w:sectPr>
      </w:pPr>
    </w:p>
    <w:bookmarkStart w:id="19" w:name="page20"/>
    <w:bookmarkEnd w:id="19"/>
    <w:p>
      <w:pPr>
        <w:jc w:val="both"/>
        <w:ind w:firstLine="642"/>
        <w:spacing w:after="0" w:line="306" w:lineRule="auto"/>
        <w:tabs>
          <w:tab w:leader="none" w:pos="1294" w:val="left"/>
        </w:tabs>
        <w:numPr>
          <w:ilvl w:val="1"/>
          <w:numId w:val="2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Non-Exempt Employees. </w:t>
      </w:r>
      <w:r>
        <w:rPr>
          <w:rFonts w:ascii="Arial" w:cs="Arial" w:eastAsia="Arial" w:hAnsi="Arial"/>
          <w:sz w:val="15"/>
          <w:szCs w:val="15"/>
          <w:color w:val="auto"/>
        </w:rPr>
        <w:t>No Option or SAR, whether or not vested, granted to an Employee who is a non-exempt employee for purposes</w:t>
      </w:r>
      <w:r>
        <w:rPr>
          <w:rFonts w:ascii="Arial" w:cs="Arial" w:eastAsia="Arial" w:hAnsi="Arial"/>
          <w:sz w:val="15"/>
          <w:szCs w:val="15"/>
          <w:b w:val="1"/>
          <w:bCs w:val="1"/>
          <w:color w:val="auto"/>
        </w:rPr>
        <w:t xml:space="preserve"> </w:t>
      </w:r>
      <w:r>
        <w:rPr>
          <w:rFonts w:ascii="Arial" w:cs="Arial" w:eastAsia="Arial" w:hAnsi="Arial"/>
          <w:sz w:val="15"/>
          <w:szCs w:val="15"/>
          <w:color w:val="auto"/>
        </w:rPr>
        <w:t>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48" w:lineRule="exact"/>
        <w:rPr>
          <w:rFonts w:ascii="Arial" w:cs="Arial" w:eastAsia="Arial" w:hAnsi="Arial"/>
          <w:sz w:val="15"/>
          <w:szCs w:val="15"/>
          <w:b w:val="1"/>
          <w:bCs w:val="1"/>
          <w:color w:val="auto"/>
        </w:rPr>
      </w:pPr>
    </w:p>
    <w:p>
      <w:pPr>
        <w:ind w:left="1260" w:hanging="618"/>
        <w:spacing w:after="0"/>
        <w:tabs>
          <w:tab w:leader="none" w:pos="1260" w:val="left"/>
        </w:tabs>
        <w:numPr>
          <w:ilvl w:val="1"/>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Whole Shares. </w:t>
      </w:r>
      <w:r>
        <w:rPr>
          <w:rFonts w:ascii="Arial" w:cs="Arial" w:eastAsia="Arial" w:hAnsi="Arial"/>
          <w:sz w:val="17"/>
          <w:szCs w:val="17"/>
          <w:color w:val="auto"/>
        </w:rPr>
        <w:t>Options and SARs may be exercised only with respect to whole shares of Common Stock or their equivalents.</w:t>
      </w:r>
    </w:p>
    <w:p>
      <w:pPr>
        <w:spacing w:after="0" w:line="228" w:lineRule="exact"/>
        <w:rPr>
          <w:rFonts w:ascii="Arial" w:cs="Arial" w:eastAsia="Arial" w:hAnsi="Arial"/>
          <w:sz w:val="17"/>
          <w:szCs w:val="17"/>
          <w:b w:val="1"/>
          <w:bCs w:val="1"/>
          <w:color w:val="auto"/>
        </w:rPr>
      </w:pPr>
    </w:p>
    <w:p>
      <w:pPr>
        <w:ind w:left="660" w:hanging="654"/>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Awards Other Than Options and Stock Appreciation Rights.</w:t>
      </w:r>
    </w:p>
    <w:p>
      <w:pPr>
        <w:spacing w:after="0" w:line="217" w:lineRule="exact"/>
        <w:rPr>
          <w:rFonts w:ascii="Arial" w:cs="Arial" w:eastAsia="Arial" w:hAnsi="Arial"/>
          <w:sz w:val="18"/>
          <w:szCs w:val="18"/>
          <w:b w:val="1"/>
          <w:bCs w:val="1"/>
          <w:color w:val="auto"/>
        </w:rPr>
      </w:pPr>
    </w:p>
    <w:p>
      <w:pPr>
        <w:jc w:val="both"/>
        <w:ind w:firstLine="642"/>
        <w:spacing w:after="0" w:line="281" w:lineRule="auto"/>
        <w:tabs>
          <w:tab w:leader="none" w:pos="1380" w:val="left"/>
        </w:tabs>
        <w:numPr>
          <w:ilvl w:val="1"/>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Awards and RSU Awards. </w:t>
      </w:r>
      <w:r>
        <w:rPr>
          <w:rFonts w:ascii="Arial" w:cs="Arial" w:eastAsia="Arial" w:hAnsi="Arial"/>
          <w:sz w:val="17"/>
          <w:szCs w:val="17"/>
          <w:color w:val="auto"/>
        </w:rPr>
        <w:t>Each Restricted Stock Award and RSU Award will have such terms and conditions as</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61" w:lineRule="exact"/>
        <w:rPr>
          <w:rFonts w:ascii="Arial" w:cs="Arial" w:eastAsia="Arial" w:hAnsi="Arial"/>
          <w:sz w:val="17"/>
          <w:szCs w:val="17"/>
          <w:b w:val="1"/>
          <w:bCs w:val="1"/>
          <w:color w:val="auto"/>
        </w:rPr>
      </w:pPr>
    </w:p>
    <w:p>
      <w:pPr>
        <w:ind w:left="1880" w:hanging="602"/>
        <w:spacing w:after="0"/>
        <w:tabs>
          <w:tab w:leader="none" w:pos="1880" w:val="left"/>
        </w:tabs>
        <w:numPr>
          <w:ilvl w:val="2"/>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Form of Award.</w:t>
      </w:r>
    </w:p>
    <w:p>
      <w:pPr>
        <w:spacing w:after="0" w:line="223" w:lineRule="exact"/>
        <w:rPr>
          <w:rFonts w:ascii="Arial" w:cs="Arial" w:eastAsia="Arial" w:hAnsi="Arial"/>
          <w:sz w:val="18"/>
          <w:szCs w:val="18"/>
          <w:b w:val="1"/>
          <w:bCs w:val="1"/>
          <w:color w:val="auto"/>
        </w:rPr>
      </w:pPr>
    </w:p>
    <w:p>
      <w:pPr>
        <w:jc w:val="both"/>
        <w:ind w:firstLine="1914"/>
        <w:spacing w:after="0" w:line="318" w:lineRule="auto"/>
        <w:tabs>
          <w:tab w:leader="none" w:pos="2578" w:val="left"/>
        </w:tabs>
        <w:numPr>
          <w:ilvl w:val="3"/>
          <w:numId w:val="21"/>
        </w:numPr>
        <w:rPr>
          <w:rFonts w:ascii="Arial" w:cs="Arial" w:eastAsia="Arial" w:hAnsi="Arial"/>
          <w:sz w:val="15"/>
          <w:szCs w:val="15"/>
          <w:b w:val="1"/>
          <w:bCs w:val="1"/>
          <w:color w:val="auto"/>
        </w:rPr>
      </w:pPr>
      <w:r>
        <w:rPr>
          <w:rFonts w:ascii="Arial" w:cs="Arial" w:eastAsia="Arial" w:hAnsi="Arial"/>
          <w:sz w:val="15"/>
          <w:szCs w:val="15"/>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45" w:lineRule="exact"/>
        <w:rPr>
          <w:rFonts w:ascii="Arial" w:cs="Arial" w:eastAsia="Arial" w:hAnsi="Arial"/>
          <w:sz w:val="15"/>
          <w:szCs w:val="15"/>
          <w:b w:val="1"/>
          <w:bCs w:val="1"/>
          <w:color w:val="auto"/>
        </w:rPr>
      </w:pPr>
    </w:p>
    <w:p>
      <w:pPr>
        <w:jc w:val="both"/>
        <w:ind w:firstLine="1914"/>
        <w:spacing w:after="0" w:line="309" w:lineRule="auto"/>
        <w:tabs>
          <w:tab w:leader="none" w:pos="2701" w:val="left"/>
        </w:tabs>
        <w:numPr>
          <w:ilvl w:val="3"/>
          <w:numId w:val="21"/>
        </w:numPr>
        <w:rPr>
          <w:rFonts w:ascii="Arial" w:cs="Arial" w:eastAsia="Arial" w:hAnsi="Arial"/>
          <w:sz w:val="15"/>
          <w:szCs w:val="15"/>
          <w:b w:val="1"/>
          <w:bCs w:val="1"/>
          <w:color w:val="auto"/>
        </w:rPr>
      </w:pPr>
      <w:r>
        <w:rPr>
          <w:rFonts w:ascii="Arial" w:cs="Arial" w:eastAsia="Arial" w:hAnsi="Arial"/>
          <w:sz w:val="15"/>
          <w:szCs w:val="15"/>
          <w:color w:val="auto"/>
        </w:rPr>
        <w:t>RSUs: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45" w:lineRule="exact"/>
        <w:rPr>
          <w:rFonts w:ascii="Arial" w:cs="Arial" w:eastAsia="Arial" w:hAnsi="Arial"/>
          <w:sz w:val="15"/>
          <w:szCs w:val="15"/>
          <w:b w:val="1"/>
          <w:bCs w:val="1"/>
          <w:color w:val="auto"/>
        </w:rPr>
      </w:pPr>
    </w:p>
    <w:p>
      <w:pPr>
        <w:ind w:left="1900" w:hanging="622"/>
        <w:spacing w:after="0"/>
        <w:tabs>
          <w:tab w:leader="none" w:pos="1900" w:val="left"/>
        </w:tabs>
        <w:numPr>
          <w:ilvl w:val="2"/>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223" w:lineRule="exact"/>
        <w:rPr>
          <w:rFonts w:ascii="Arial" w:cs="Arial" w:eastAsia="Arial" w:hAnsi="Arial"/>
          <w:sz w:val="18"/>
          <w:szCs w:val="18"/>
          <w:b w:val="1"/>
          <w:bCs w:val="1"/>
          <w:color w:val="auto"/>
        </w:rPr>
      </w:pPr>
    </w:p>
    <w:p>
      <w:pPr>
        <w:jc w:val="both"/>
        <w:ind w:firstLine="1914"/>
        <w:spacing w:after="0" w:line="255" w:lineRule="auto"/>
        <w:tabs>
          <w:tab w:leader="none" w:pos="2555" w:val="left"/>
        </w:tabs>
        <w:numPr>
          <w:ilvl w:val="3"/>
          <w:numId w:val="21"/>
        </w:numPr>
        <w:rPr>
          <w:rFonts w:ascii="Arial" w:cs="Arial" w:eastAsia="Arial" w:hAnsi="Arial"/>
          <w:sz w:val="18"/>
          <w:szCs w:val="18"/>
          <w:b w:val="1"/>
          <w:bCs w:val="1"/>
          <w:color w:val="auto"/>
        </w:rPr>
      </w:pPr>
      <w:r>
        <w:rPr>
          <w:rFonts w:ascii="Arial" w:cs="Arial" w:eastAsia="Arial" w:hAnsi="Arial"/>
          <w:sz w:val="18"/>
          <w:szCs w:val="18"/>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996" w:right="339" w:bottom="1440" w:gutter="0" w:footer="0" w:header="0"/>
        </w:sectPr>
      </w:pPr>
    </w:p>
    <w:bookmarkStart w:id="20" w:name="page21"/>
    <w:bookmarkEnd w:id="20"/>
    <w:p>
      <w:pPr>
        <w:jc w:val="both"/>
        <w:ind w:firstLine="1914"/>
        <w:spacing w:after="0" w:line="267" w:lineRule="auto"/>
        <w:tabs>
          <w:tab w:leader="none" w:pos="2608" w:val="left"/>
        </w:tabs>
        <w:numPr>
          <w:ilvl w:val="2"/>
          <w:numId w:val="22"/>
        </w:numPr>
        <w:rPr>
          <w:rFonts w:ascii="Arial" w:cs="Arial" w:eastAsia="Arial" w:hAnsi="Arial"/>
          <w:sz w:val="17"/>
          <w:szCs w:val="17"/>
          <w:b w:val="1"/>
          <w:bCs w:val="1"/>
          <w:color w:val="auto"/>
        </w:rPr>
      </w:pPr>
      <w:r>
        <w:rPr>
          <w:rFonts w:ascii="Arial" w:cs="Arial" w:eastAsia="Arial" w:hAnsi="Arial"/>
          <w:sz w:val="17"/>
          <w:szCs w:val="17"/>
          <w:color w:val="auto"/>
        </w:rPr>
        <w:t>RSU: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73" w:lineRule="exact"/>
        <w:rPr>
          <w:rFonts w:ascii="Arial" w:cs="Arial" w:eastAsia="Arial" w:hAnsi="Arial"/>
          <w:sz w:val="17"/>
          <w:szCs w:val="17"/>
          <w:b w:val="1"/>
          <w:bCs w:val="1"/>
          <w:color w:val="auto"/>
        </w:rPr>
      </w:pPr>
    </w:p>
    <w:p>
      <w:pPr>
        <w:jc w:val="both"/>
        <w:ind w:firstLine="1278"/>
        <w:spacing w:after="0" w:line="281" w:lineRule="auto"/>
        <w:tabs>
          <w:tab w:leader="none" w:pos="1925" w:val="left"/>
        </w:tabs>
        <w:numPr>
          <w:ilvl w:val="1"/>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w:t>
      </w:r>
      <w:r>
        <w:rPr>
          <w:rFonts w:ascii="Arial" w:cs="Arial" w:eastAsia="Arial" w:hAnsi="Arial"/>
          <w:sz w:val="17"/>
          <w:szCs w:val="17"/>
          <w:color w:val="auto"/>
        </w:rPr>
        <w:t>The Board may impose such restrictions on or conditions to the vesting of a Restricted Stock Award or RSU Award as</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61" w:lineRule="exact"/>
        <w:rPr>
          <w:rFonts w:ascii="Arial" w:cs="Arial" w:eastAsia="Arial" w:hAnsi="Arial"/>
          <w:sz w:val="17"/>
          <w:szCs w:val="17"/>
          <w:b w:val="1"/>
          <w:bCs w:val="1"/>
          <w:color w:val="auto"/>
        </w:rPr>
      </w:pPr>
    </w:p>
    <w:p>
      <w:pPr>
        <w:jc w:val="both"/>
        <w:ind w:firstLine="1278"/>
        <w:spacing w:after="0" w:line="268" w:lineRule="auto"/>
        <w:tabs>
          <w:tab w:leader="none" w:pos="1818" w:val="left"/>
        </w:tabs>
        <w:numPr>
          <w:ilvl w:val="1"/>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Award Agreement or other written agreement between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74" w:lineRule="exact"/>
        <w:rPr>
          <w:rFonts w:ascii="Arial" w:cs="Arial" w:eastAsia="Arial" w:hAnsi="Arial"/>
          <w:sz w:val="17"/>
          <w:szCs w:val="17"/>
          <w:b w:val="1"/>
          <w:bCs w:val="1"/>
          <w:color w:val="auto"/>
        </w:rPr>
      </w:pPr>
    </w:p>
    <w:p>
      <w:pPr>
        <w:ind w:firstLine="1278"/>
        <w:spacing w:after="0" w:line="374" w:lineRule="auto"/>
        <w:tabs>
          <w:tab w:leader="none" w:pos="1897" w:val="left"/>
        </w:tabs>
        <w:numPr>
          <w:ilvl w:val="1"/>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Dividends and Dividend Equivalents. </w:t>
      </w:r>
      <w:r>
        <w:rPr>
          <w:rFonts w:ascii="Arial" w:cs="Arial" w:eastAsia="Arial" w:hAnsi="Arial"/>
          <w:sz w:val="15"/>
          <w:szCs w:val="15"/>
          <w:color w:val="auto"/>
        </w:rPr>
        <w:t>Dividends or dividend equivalents may be paid or credited, as applicable, with respect to</w:t>
      </w:r>
      <w:r>
        <w:rPr>
          <w:rFonts w:ascii="Arial" w:cs="Arial" w:eastAsia="Arial" w:hAnsi="Arial"/>
          <w:sz w:val="15"/>
          <w:szCs w:val="15"/>
          <w:b w:val="1"/>
          <w:bCs w:val="1"/>
          <w:color w:val="auto"/>
        </w:rPr>
        <w:t xml:space="preserve"> </w:t>
      </w:r>
      <w:r>
        <w:rPr>
          <w:rFonts w:ascii="Arial" w:cs="Arial" w:eastAsia="Arial" w:hAnsi="Arial"/>
          <w:sz w:val="15"/>
          <w:szCs w:val="15"/>
          <w:color w:val="auto"/>
        </w:rPr>
        <w:t>any shares of Common Stock subject to a Restricted Stock Award or RSU Award, as determined by the Board and specified in the Award Agreement.</w:t>
      </w:r>
    </w:p>
    <w:p>
      <w:pPr>
        <w:spacing w:after="0" w:line="98" w:lineRule="exact"/>
        <w:rPr>
          <w:rFonts w:ascii="Arial" w:cs="Arial" w:eastAsia="Arial" w:hAnsi="Arial"/>
          <w:sz w:val="15"/>
          <w:szCs w:val="15"/>
          <w:b w:val="1"/>
          <w:bCs w:val="1"/>
          <w:color w:val="auto"/>
        </w:rPr>
      </w:pPr>
    </w:p>
    <w:p>
      <w:pPr>
        <w:jc w:val="both"/>
        <w:ind w:firstLine="1278"/>
        <w:spacing w:after="0" w:line="281" w:lineRule="auto"/>
        <w:tabs>
          <w:tab w:leader="none" w:pos="2092" w:val="left"/>
        </w:tabs>
        <w:numPr>
          <w:ilvl w:val="1"/>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Settlement of RSU Awards</w:t>
      </w:r>
      <w:r>
        <w:rPr>
          <w:rFonts w:ascii="Arial" w:cs="Arial" w:eastAsia="Arial" w:hAnsi="Arial"/>
          <w:sz w:val="17"/>
          <w:szCs w:val="17"/>
          <w:color w:val="auto"/>
        </w:rPr>
        <w:t>. An RSU Award may be settled by the issuance of shares of Common Stock or cash (or any</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61" w:lineRule="exact"/>
        <w:rPr>
          <w:rFonts w:ascii="Arial" w:cs="Arial" w:eastAsia="Arial" w:hAnsi="Arial"/>
          <w:sz w:val="17"/>
          <w:szCs w:val="17"/>
          <w:b w:val="1"/>
          <w:bCs w:val="1"/>
          <w:color w:val="auto"/>
        </w:rPr>
      </w:pPr>
    </w:p>
    <w:p>
      <w:pPr>
        <w:jc w:val="both"/>
        <w:ind w:firstLine="642"/>
        <w:spacing w:after="0" w:line="258" w:lineRule="auto"/>
        <w:tabs>
          <w:tab w:leader="none" w:pos="143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 With respect to any Performance Award, the length of any Performance Period, the Performance Goals to be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achieved during the Performance Period, the other terms and conditions of such Award, and the measure of whether and to what degree such Performance Goals have been attained will be determined by the Board.</w:t>
      </w:r>
    </w:p>
    <w:p>
      <w:pPr>
        <w:spacing w:after="0" w:line="180" w:lineRule="exact"/>
        <w:rPr>
          <w:rFonts w:ascii="Arial" w:cs="Arial" w:eastAsia="Arial" w:hAnsi="Arial"/>
          <w:sz w:val="18"/>
          <w:szCs w:val="18"/>
          <w:b w:val="1"/>
          <w:bCs w:val="1"/>
          <w:color w:val="auto"/>
        </w:rPr>
      </w:pPr>
    </w:p>
    <w:p>
      <w:pPr>
        <w:jc w:val="both"/>
        <w:ind w:firstLine="642"/>
        <w:spacing w:after="0" w:line="251" w:lineRule="auto"/>
        <w:tabs>
          <w:tab w:leader="none" w:pos="132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Other Awards</w:t>
      </w:r>
      <w:r>
        <w:rPr>
          <w:rFonts w:ascii="Arial" w:cs="Arial" w:eastAsia="Arial" w:hAnsi="Arial"/>
          <w:sz w:val="18"/>
          <w:szCs w:val="18"/>
          <w:color w:val="auto"/>
        </w:rPr>
        <w:t>. Other forms of Awards valued in whole or in part by reference to, or otherwise based on, Common Stock,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002" w:right="339" w:bottom="1440" w:gutter="0" w:footer="0" w:header="0"/>
        </w:sectPr>
      </w:pPr>
    </w:p>
    <w:bookmarkStart w:id="21" w:name="page22"/>
    <w:bookmarkEnd w:id="21"/>
    <w:p>
      <w:pPr>
        <w:ind w:left="580" w:hanging="574"/>
        <w:spacing w:after="0"/>
        <w:tabs>
          <w:tab w:leader="none" w:pos="5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OpCo Units.</w:t>
      </w:r>
    </w:p>
    <w:p>
      <w:pPr>
        <w:spacing w:after="0" w:line="217" w:lineRule="exact"/>
        <w:rPr>
          <w:rFonts w:ascii="Arial" w:cs="Arial" w:eastAsia="Arial" w:hAnsi="Arial"/>
          <w:sz w:val="18"/>
          <w:szCs w:val="18"/>
          <w:b w:val="1"/>
          <w:bCs w:val="1"/>
          <w:color w:val="auto"/>
        </w:rPr>
      </w:pPr>
    </w:p>
    <w:p>
      <w:pPr>
        <w:jc w:val="both"/>
        <w:ind w:firstLine="642"/>
        <w:spacing w:after="0" w:line="249" w:lineRule="auto"/>
        <w:tabs>
          <w:tab w:leader="none" w:pos="1345"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Awards may be granted under the Plan in the form of any class of limited liability company interests in WM OpCo, the entity</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which the Company conducts its business and an entity that has elected to be treated as a partnership for federal income tax purposes (“</w:t>
      </w:r>
      <w:r>
        <w:rPr>
          <w:rFonts w:ascii="Arial" w:cs="Arial" w:eastAsia="Arial" w:hAnsi="Arial"/>
          <w:sz w:val="18"/>
          <w:szCs w:val="18"/>
          <w:b w:val="1"/>
          <w:bCs w:val="1"/>
          <w:i w:val="1"/>
          <w:iCs w:val="1"/>
          <w:color w:val="auto"/>
        </w:rPr>
        <w:t>OpCo Units</w:t>
      </w:r>
      <w:r>
        <w:rPr>
          <w:rFonts w:ascii="Arial" w:cs="Arial" w:eastAsia="Arial" w:hAnsi="Arial"/>
          <w:sz w:val="18"/>
          <w:szCs w:val="18"/>
          <w:color w:val="auto"/>
        </w:rPr>
        <w:t>”) established pursuant to the OpCo LLC Agreement. Awards of OpCo Units shall be valued by reference to, or otherwise determined by reference to or based on, shares of Common Stock. OpCo Units awarded under the Plan may be (1) convertible, exchangeable or redeemable for other limited liability company interests in WM OpCo (including OpCo Units of a different class or series) or shares of Common Stock, or (2) valued by reference to the book value, fair value or performance of WM OpCo. Awards of OpCo Units may be intended to qualify as “profits interests” within the meaning of IRS Revenue Procedure 93-27, as clarified by IRS Revenue Procedure 2001-43, with respect to a Participant in the Plan who is rendering services to or for the benefit of WM OpCo, including its subsidiaries.</w:t>
      </w:r>
    </w:p>
    <w:p>
      <w:pPr>
        <w:spacing w:after="0" w:line="190" w:lineRule="exact"/>
        <w:rPr>
          <w:rFonts w:ascii="Arial" w:cs="Arial" w:eastAsia="Arial" w:hAnsi="Arial"/>
          <w:sz w:val="18"/>
          <w:szCs w:val="18"/>
          <w:b w:val="1"/>
          <w:bCs w:val="1"/>
          <w:color w:val="auto"/>
        </w:rPr>
      </w:pPr>
    </w:p>
    <w:p>
      <w:pPr>
        <w:jc w:val="both"/>
        <w:ind w:firstLine="642"/>
        <w:spacing w:after="0" w:line="263" w:lineRule="auto"/>
        <w:tabs>
          <w:tab w:leader="none" w:pos="1262" w:val="left"/>
        </w:tabs>
        <w:numPr>
          <w:ilvl w:val="1"/>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Share Calculations</w:t>
      </w:r>
      <w:r>
        <w:rPr>
          <w:rFonts w:ascii="Arial" w:cs="Arial" w:eastAsia="Arial" w:hAnsi="Arial"/>
          <w:sz w:val="17"/>
          <w:szCs w:val="17"/>
          <w:color w:val="auto"/>
        </w:rPr>
        <w:t>. For purposes of calculating the number of shares of Common Stock underlying an award of OpCo Units relative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total number of shares of Common Stock available for issuance under the Plan, the Committee shall establish in good faith the maximum number of shares of Common Stock to which a Participant receiving such award of OpCo Units may be entitled upon fulfillment of all applicable conditions set forth in the relevant award documentation, including vesting conditions, partnership capital account allocations, value accretion factors, conversion ratios, exchange ratios and other similar criteria. If and when any such conditions are no longer capable of being met, in whole or in part, the number of shares of Common Stock underlying such awards of OpCo Units shall be reduced accordingly by the Committee, and the number of shares of Common Stock shall be increased by one share of Common Stock for each share so reduced. Awards of OpCo Units may be granted either alone or in addition to other awards granted under the Plan. The Committee shall determine the eligible Participants to whom, and the time or times at which, awards of OpCo Units shall be made; the number of OpCo Units to be awarded; the price, if any, to be paid by the Participant for the acquisition of such OpCo Units (which may be less than the fair value of the OpCo Unit); and the restrictions and conditions applicable to such award of OpCo Units. Conditions may be based on continuing employment (or other service relationship), computation of financial metrics and/or achievement of pre-established performance goals and objectives, with related length of the service period for vesting, minimum or maximum performance thresholds, measurement procedures and length of the performance period to be established by the Committee at the time of grant, in its sole discretion. The Committee may allow awards of OpCo Units to be held through a limited partnership, or similar “look-through” entity, and the Committee may require such limited partnership or similar entity to impose restrictions on its partners or other beneficial owners that are not inconsistent with the provisions of this Section 6. The provisions of the grant of OpCo Units need not be the same with respect to each Participant.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996" w:right="339" w:bottom="1440" w:gutter="0" w:footer="0" w:header="0"/>
        </w:sectPr>
      </w:pPr>
    </w:p>
    <w:bookmarkStart w:id="22" w:name="page23"/>
    <w:bookmarkEnd w:id="22"/>
    <w:p>
      <w:pPr>
        <w:jc w:val="both"/>
        <w:ind w:firstLine="642"/>
        <w:spacing w:after="0" w:line="314" w:lineRule="auto"/>
        <w:tabs>
          <w:tab w:leader="none" w:pos="1198" w:val="left"/>
        </w:tabs>
        <w:numPr>
          <w:ilvl w:val="1"/>
          <w:numId w:val="26"/>
        </w:numPr>
        <w:rPr>
          <w:rFonts w:ascii="Arial" w:cs="Arial" w:eastAsia="Arial" w:hAnsi="Arial"/>
          <w:sz w:val="15"/>
          <w:szCs w:val="15"/>
          <w:b w:val="1"/>
          <w:bCs w:val="1"/>
          <w:color w:val="auto"/>
        </w:rPr>
      </w:pPr>
      <w:r>
        <w:rPr>
          <w:rFonts w:ascii="Arial" w:cs="Arial" w:eastAsia="Arial" w:hAnsi="Arial"/>
          <w:sz w:val="15"/>
          <w:szCs w:val="15"/>
          <w:b w:val="1"/>
          <w:bCs w:val="1"/>
          <w:color w:val="auto"/>
        </w:rPr>
        <w:t>Dividends and Distributions</w:t>
      </w:r>
      <w:r>
        <w:rPr>
          <w:rFonts w:ascii="Arial" w:cs="Arial" w:eastAsia="Arial" w:hAnsi="Arial"/>
          <w:sz w:val="15"/>
          <w:szCs w:val="15"/>
          <w:color w:val="auto"/>
        </w:rPr>
        <w:t>. The Award Agreement or other award documentation in respect of an award of OpCo Units may provide that</w:t>
      </w:r>
      <w:r>
        <w:rPr>
          <w:rFonts w:ascii="Arial" w:cs="Arial" w:eastAsia="Arial" w:hAnsi="Arial"/>
          <w:sz w:val="15"/>
          <w:szCs w:val="15"/>
          <w:b w:val="1"/>
          <w:bCs w:val="1"/>
          <w:color w:val="auto"/>
        </w:rPr>
        <w:t xml:space="preserve"> </w:t>
      </w:r>
      <w:r>
        <w:rPr>
          <w:rFonts w:ascii="Arial" w:cs="Arial" w:eastAsia="Arial" w:hAnsi="Arial"/>
          <w:sz w:val="15"/>
          <w:szCs w:val="15"/>
          <w:color w:val="auto"/>
        </w:rPr>
        <w:t>the recipient of OpCo Units shall be entitled to receive, currently or on a deferred or contingent basis, dividends or dividend equivalents with respect to the number of shares of Common Stock underlying the award or other distributions from WM OpCo prior to vesting (whether based on a period of time or based on attainment of specified performance conditions), as determined at the time of grant by the Committee, in its sole discretion, and the Committee may provide that such amounts (if any) shall be deemed to have been reinvested in additional shares of Common Stock or OpCo Units.</w:t>
      </w:r>
    </w:p>
    <w:p>
      <w:pPr>
        <w:spacing w:after="0" w:line="143" w:lineRule="exact"/>
        <w:rPr>
          <w:rFonts w:ascii="Arial" w:cs="Arial" w:eastAsia="Arial" w:hAnsi="Arial"/>
          <w:sz w:val="15"/>
          <w:szCs w:val="15"/>
          <w:b w:val="1"/>
          <w:bCs w:val="1"/>
          <w:color w:val="auto"/>
        </w:rPr>
      </w:pPr>
    </w:p>
    <w:p>
      <w:pPr>
        <w:ind w:left="580" w:hanging="574"/>
        <w:spacing w:after="0"/>
        <w:tabs>
          <w:tab w:leader="none" w:pos="5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Common Stock; Other Corporate Events.</w:t>
      </w:r>
    </w:p>
    <w:p>
      <w:pPr>
        <w:spacing w:after="0" w:line="217" w:lineRule="exact"/>
        <w:rPr>
          <w:rFonts w:ascii="Arial" w:cs="Arial" w:eastAsia="Arial" w:hAnsi="Arial"/>
          <w:sz w:val="18"/>
          <w:szCs w:val="18"/>
          <w:b w:val="1"/>
          <w:bCs w:val="1"/>
          <w:color w:val="auto"/>
        </w:rPr>
      </w:pPr>
    </w:p>
    <w:p>
      <w:pPr>
        <w:jc w:val="both"/>
        <w:ind w:firstLine="642"/>
        <w:spacing w:after="0" w:line="266" w:lineRule="auto"/>
        <w:tabs>
          <w:tab w:leader="none" w:pos="1261" w:val="left"/>
        </w:tabs>
        <w:numPr>
          <w:ilvl w:val="1"/>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shall appropriately and proportionately adjust: (i) the</w:t>
      </w:r>
      <w:r>
        <w:rPr>
          <w:rFonts w:ascii="Arial" w:cs="Arial" w:eastAsia="Arial" w:hAnsi="Arial"/>
          <w:sz w:val="17"/>
          <w:szCs w:val="17"/>
          <w:b w:val="1"/>
          <w:bCs w:val="1"/>
          <w:color w:val="auto"/>
        </w:rPr>
        <w:t xml:space="preserve"> </w:t>
      </w:r>
      <w:r>
        <w:rPr>
          <w:rFonts w:ascii="Arial" w:cs="Arial" w:eastAsia="Arial" w:hAnsi="Arial"/>
          <w:sz w:val="17"/>
          <w:szCs w:val="17"/>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in a matter that it deems equitable in its sole discretion,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74" w:lineRule="exact"/>
        <w:rPr>
          <w:rFonts w:ascii="Arial" w:cs="Arial" w:eastAsia="Arial" w:hAnsi="Arial"/>
          <w:sz w:val="17"/>
          <w:szCs w:val="17"/>
          <w:b w:val="1"/>
          <w:bCs w:val="1"/>
          <w:color w:val="auto"/>
        </w:rPr>
      </w:pPr>
    </w:p>
    <w:p>
      <w:pPr>
        <w:jc w:val="both"/>
        <w:ind w:firstLine="642"/>
        <w:spacing w:after="0" w:line="267" w:lineRule="auto"/>
        <w:tabs>
          <w:tab w:leader="none" w:pos="1351" w:val="left"/>
        </w:tabs>
        <w:numPr>
          <w:ilvl w:val="1"/>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Dissolution or Liquidation</w:t>
      </w:r>
      <w:r>
        <w:rPr>
          <w:rFonts w:ascii="Arial" w:cs="Arial" w:eastAsia="Arial" w:hAnsi="Arial"/>
          <w:sz w:val="17"/>
          <w:szCs w:val="17"/>
          <w:color w:val="auto"/>
        </w:rPr>
        <w:t>. Except as otherwise provided in the Award Agreement, in the event of a dissolution or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73" w:lineRule="exact"/>
        <w:rPr>
          <w:rFonts w:ascii="Arial" w:cs="Arial" w:eastAsia="Arial" w:hAnsi="Arial"/>
          <w:sz w:val="17"/>
          <w:szCs w:val="17"/>
          <w:b w:val="1"/>
          <w:bCs w:val="1"/>
          <w:color w:val="auto"/>
        </w:rPr>
      </w:pPr>
    </w:p>
    <w:p>
      <w:pPr>
        <w:jc w:val="both"/>
        <w:ind w:firstLine="642"/>
        <w:spacing w:after="0" w:line="258" w:lineRule="auto"/>
        <w:tabs>
          <w:tab w:leader="none" w:pos="1185"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 </w:t>
      </w:r>
      <w:r>
        <w:rPr>
          <w:rFonts w:ascii="Arial" w:cs="Arial" w:eastAsia="Arial" w:hAnsi="Arial"/>
          <w:sz w:val="18"/>
          <w:szCs w:val="18"/>
          <w:color w:val="auto"/>
        </w:rPr>
        <w:t>The following provisions will apply to Awards in the event of a Corporate Transaction unless otherwise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instrument evidencing the Award or any other written agreement between the Company or any Affiliate and the Participant or unless otherwise expressly provided by the Board at the time of grant of an Award.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996" w:right="339" w:bottom="1440" w:gutter="0" w:footer="0" w:header="0"/>
        </w:sectPr>
      </w:pPr>
    </w:p>
    <w:bookmarkStart w:id="23" w:name="page24"/>
    <w:bookmarkEnd w:id="23"/>
    <w:p>
      <w:pPr>
        <w:jc w:val="both"/>
        <w:ind w:firstLine="1278"/>
        <w:spacing w:after="0" w:line="266" w:lineRule="auto"/>
        <w:tabs>
          <w:tab w:leader="none" w:pos="1911"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Awards May Be Assumed. </w:t>
      </w:r>
      <w:r>
        <w:rPr>
          <w:rFonts w:ascii="Arial" w:cs="Arial" w:eastAsia="Arial" w:hAnsi="Arial"/>
          <w:sz w:val="17"/>
          <w:szCs w:val="17"/>
          <w:color w:val="auto"/>
        </w:rPr>
        <w:t>In the event of a Corporate Transaction, any surviving corporation or acquiring corporation (or the</w:t>
      </w:r>
      <w:r>
        <w:rPr>
          <w:rFonts w:ascii="Arial" w:cs="Arial" w:eastAsia="Arial" w:hAnsi="Arial"/>
          <w:sz w:val="17"/>
          <w:szCs w:val="17"/>
          <w:b w:val="1"/>
          <w:bCs w:val="1"/>
          <w:color w:val="auto"/>
        </w:rPr>
        <w:t xml:space="preserve"> </w:t>
      </w:r>
      <w:r>
        <w:rPr>
          <w:rFonts w:ascii="Arial" w:cs="Arial" w:eastAsia="Arial" w:hAnsi="Arial"/>
          <w:sz w:val="17"/>
          <w:szCs w:val="17"/>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74" w:lineRule="exact"/>
        <w:rPr>
          <w:rFonts w:ascii="Arial" w:cs="Arial" w:eastAsia="Arial" w:hAnsi="Arial"/>
          <w:sz w:val="17"/>
          <w:szCs w:val="17"/>
          <w:b w:val="1"/>
          <w:bCs w:val="1"/>
          <w:color w:val="auto"/>
        </w:rPr>
      </w:pPr>
    </w:p>
    <w:p>
      <w:pPr>
        <w:jc w:val="both"/>
        <w:ind w:firstLine="1278"/>
        <w:spacing w:after="0" w:line="301" w:lineRule="auto"/>
        <w:tabs>
          <w:tab w:leader="none" w:pos="1907"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Awards Held by Current Participants. </w:t>
      </w:r>
      <w:r>
        <w:rPr>
          <w:rFonts w:ascii="Arial" w:cs="Arial" w:eastAsia="Arial" w:hAnsi="Arial"/>
          <w:sz w:val="15"/>
          <w:szCs w:val="15"/>
          <w:color w:val="auto"/>
        </w:rPr>
        <w:t>In the event of a Corporate Transaction in which the surviving corporation or acquiring</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5"/>
          <w:szCs w:val="15"/>
          <w:b w:val="1"/>
          <w:bCs w:val="1"/>
          <w:i w:val="1"/>
          <w:iCs w:val="1"/>
          <w:color w:val="auto"/>
        </w:rPr>
        <w:t>Current Participants</w:t>
      </w:r>
      <w:r>
        <w:rPr>
          <w:rFonts w:ascii="Arial" w:cs="Arial" w:eastAsia="Arial" w:hAnsi="Arial"/>
          <w:sz w:val="15"/>
          <w:szCs w:val="15"/>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for no consideration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or unless otherwise provided by the Board,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367" w:lineRule="exact"/>
        <w:rPr>
          <w:rFonts w:ascii="Arial" w:cs="Arial" w:eastAsia="Arial" w:hAnsi="Arial"/>
          <w:sz w:val="15"/>
          <w:szCs w:val="15"/>
          <w:b w:val="1"/>
          <w:bCs w:val="1"/>
          <w:color w:val="auto"/>
        </w:rPr>
      </w:pPr>
    </w:p>
    <w:p>
      <w:pPr>
        <w:jc w:val="both"/>
        <w:ind w:firstLine="1278"/>
        <w:spacing w:after="0" w:line="251" w:lineRule="auto"/>
        <w:tabs>
          <w:tab w:leader="none" w:pos="193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Awards Held by Persons other than Current Participants. </w:t>
      </w:r>
      <w:r>
        <w:rPr>
          <w:rFonts w:ascii="Arial" w:cs="Arial" w:eastAsia="Arial" w:hAnsi="Arial"/>
          <w:sz w:val="18"/>
          <w:szCs w:val="18"/>
          <w:color w:val="auto"/>
        </w:rPr>
        <w:t>In the event of a Corporate Transaction in which the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for no consideration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85" w:lineRule="exact"/>
        <w:rPr>
          <w:rFonts w:ascii="Arial" w:cs="Arial" w:eastAsia="Arial" w:hAnsi="Arial"/>
          <w:sz w:val="18"/>
          <w:szCs w:val="18"/>
          <w:b w:val="1"/>
          <w:bCs w:val="1"/>
          <w:color w:val="auto"/>
        </w:rPr>
      </w:pPr>
    </w:p>
    <w:p>
      <w:pPr>
        <w:jc w:val="both"/>
        <w:ind w:firstLine="1278"/>
        <w:spacing w:after="0" w:line="270" w:lineRule="auto"/>
        <w:tabs>
          <w:tab w:leader="none" w:pos="1946"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for Awards in Lieu of Exercise. </w:t>
      </w:r>
      <w:r>
        <w:rPr>
          <w:rFonts w:ascii="Arial" w:cs="Arial" w:eastAsia="Arial" w:hAnsi="Arial"/>
          <w:sz w:val="17"/>
          <w:szCs w:val="17"/>
          <w:color w:val="auto"/>
        </w:rPr>
        <w:t>Notwithstanding the foregoing, in the event an Award will terminate if not exercised</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996" w:right="339" w:bottom="1440" w:gutter="0" w:footer="0" w:header="0"/>
        </w:sectPr>
      </w:pPr>
    </w:p>
    <w:bookmarkStart w:id="24" w:name="page25"/>
    <w:bookmarkEnd w:id="24"/>
    <w:p>
      <w:pPr>
        <w:jc w:val="both"/>
        <w:ind w:firstLine="642"/>
        <w:spacing w:after="0" w:line="254" w:lineRule="auto"/>
        <w:tabs>
          <w:tab w:leader="none" w:pos="1315"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Appointment of Stockholder Representative. </w:t>
      </w:r>
      <w:r>
        <w:rPr>
          <w:rFonts w:ascii="Arial" w:cs="Arial" w:eastAsia="Arial" w:hAnsi="Arial"/>
          <w:sz w:val="18"/>
          <w:szCs w:val="18"/>
          <w:color w:val="auto"/>
        </w:rPr>
        <w:t>As a condition to the receipt of an Award under this Plan, a Participant will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83" w:lineRule="exact"/>
        <w:rPr>
          <w:rFonts w:ascii="Arial" w:cs="Arial" w:eastAsia="Arial" w:hAnsi="Arial"/>
          <w:sz w:val="18"/>
          <w:szCs w:val="18"/>
          <w:b w:val="1"/>
          <w:bCs w:val="1"/>
          <w:color w:val="auto"/>
        </w:rPr>
      </w:pPr>
    </w:p>
    <w:p>
      <w:pPr>
        <w:jc w:val="both"/>
        <w:ind w:firstLine="642"/>
        <w:spacing w:after="0" w:line="310" w:lineRule="auto"/>
        <w:tabs>
          <w:tab w:leader="none" w:pos="1295" w:val="left"/>
        </w:tabs>
        <w:numPr>
          <w:ilvl w:val="1"/>
          <w:numId w:val="29"/>
        </w:numPr>
        <w:rPr>
          <w:rFonts w:ascii="Arial" w:cs="Arial" w:eastAsia="Arial" w:hAnsi="Arial"/>
          <w:sz w:val="15"/>
          <w:szCs w:val="15"/>
          <w:b w:val="1"/>
          <w:bCs w:val="1"/>
          <w:color w:val="auto"/>
        </w:rPr>
      </w:pPr>
      <w:r>
        <w:rPr>
          <w:rFonts w:ascii="Arial" w:cs="Arial" w:eastAsia="Arial" w:hAnsi="Arial"/>
          <w:sz w:val="15"/>
          <w:szCs w:val="15"/>
          <w:b w:val="1"/>
          <w:bCs w:val="1"/>
          <w:color w:val="auto"/>
        </w:rPr>
        <w:t>No Restriction on Right to Undertake Transactions</w:t>
      </w:r>
      <w:r>
        <w:rPr>
          <w:rFonts w:ascii="Arial" w:cs="Arial" w:eastAsia="Arial" w:hAnsi="Arial"/>
          <w:sz w:val="15"/>
          <w:szCs w:val="15"/>
          <w:color w:val="auto"/>
        </w:rPr>
        <w:t>. The grant of any Award under the Plan and the issuance of shares pursuant to any</w:t>
      </w:r>
      <w:r>
        <w:rPr>
          <w:rFonts w:ascii="Arial" w:cs="Arial" w:eastAsia="Arial" w:hAnsi="Arial"/>
          <w:sz w:val="15"/>
          <w:szCs w:val="15"/>
          <w:b w:val="1"/>
          <w:bCs w:val="1"/>
          <w:color w:val="auto"/>
        </w:rPr>
        <w:t xml:space="preserve"> </w:t>
      </w:r>
      <w:r>
        <w:rPr>
          <w:rFonts w:ascii="Arial" w:cs="Arial" w:eastAsia="Arial" w:hAnsi="Arial"/>
          <w:sz w:val="15"/>
          <w:szCs w:val="15"/>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47" w:lineRule="exact"/>
        <w:rPr>
          <w:rFonts w:ascii="Arial" w:cs="Arial" w:eastAsia="Arial" w:hAnsi="Arial"/>
          <w:sz w:val="15"/>
          <w:szCs w:val="15"/>
          <w:b w:val="1"/>
          <w:bCs w:val="1"/>
          <w:color w:val="auto"/>
        </w:rPr>
      </w:pPr>
    </w:p>
    <w:p>
      <w:pPr>
        <w:ind w:left="580" w:hanging="574"/>
        <w:spacing w:after="0"/>
        <w:tabs>
          <w:tab w:leader="none" w:pos="5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17" w:lineRule="exact"/>
        <w:rPr>
          <w:rFonts w:ascii="Arial" w:cs="Arial" w:eastAsia="Arial" w:hAnsi="Arial"/>
          <w:sz w:val="18"/>
          <w:szCs w:val="18"/>
          <w:b w:val="1"/>
          <w:bCs w:val="1"/>
          <w:color w:val="auto"/>
        </w:rPr>
      </w:pPr>
    </w:p>
    <w:p>
      <w:pPr>
        <w:ind w:firstLine="642"/>
        <w:spacing w:after="0" w:line="271" w:lineRule="auto"/>
        <w:tabs>
          <w:tab w:leader="none" w:pos="1394"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unless and until the Board delegates administration of the Plan to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or Committees, as provided in subsection (c) below.</w:t>
      </w:r>
    </w:p>
    <w:p>
      <w:pPr>
        <w:spacing w:after="0" w:line="168" w:lineRule="exact"/>
        <w:rPr>
          <w:rFonts w:ascii="Arial" w:cs="Arial" w:eastAsia="Arial" w:hAnsi="Arial"/>
          <w:sz w:val="18"/>
          <w:szCs w:val="18"/>
          <w:b w:val="1"/>
          <w:bCs w:val="1"/>
          <w:color w:val="auto"/>
        </w:rPr>
      </w:pPr>
    </w:p>
    <w:p>
      <w:pPr>
        <w:ind w:left="1260" w:hanging="618"/>
        <w:spacing w:after="0"/>
        <w:tabs>
          <w:tab w:leader="none" w:pos="126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223" w:lineRule="exact"/>
        <w:rPr>
          <w:rFonts w:ascii="Arial" w:cs="Arial" w:eastAsia="Arial" w:hAnsi="Arial"/>
          <w:sz w:val="18"/>
          <w:szCs w:val="18"/>
          <w:b w:val="1"/>
          <w:bCs w:val="1"/>
          <w:color w:val="auto"/>
        </w:rPr>
      </w:pPr>
    </w:p>
    <w:p>
      <w:pPr>
        <w:jc w:val="both"/>
        <w:ind w:firstLine="1278"/>
        <w:spacing w:after="0" w:line="267" w:lineRule="auto"/>
        <w:tabs>
          <w:tab w:leader="none" w:pos="1973" w:val="left"/>
        </w:tabs>
        <w:numPr>
          <w:ilvl w:val="2"/>
          <w:numId w:val="30"/>
        </w:numPr>
        <w:rPr>
          <w:rFonts w:ascii="Arial" w:cs="Arial" w:eastAsia="Arial" w:hAnsi="Arial"/>
          <w:sz w:val="17"/>
          <w:szCs w:val="17"/>
          <w:b w:val="1"/>
          <w:bCs w:val="1"/>
          <w:color w:val="auto"/>
        </w:rPr>
      </w:pPr>
      <w:r>
        <w:rPr>
          <w:rFonts w:ascii="Arial" w:cs="Arial" w:eastAsia="Arial" w:hAnsi="Arial"/>
          <w:sz w:val="17"/>
          <w:szCs w:val="17"/>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79" w:lineRule="exact"/>
        <w:rPr>
          <w:rFonts w:ascii="Arial" w:cs="Arial" w:eastAsia="Arial" w:hAnsi="Arial"/>
          <w:sz w:val="17"/>
          <w:szCs w:val="17"/>
          <w:b w:val="1"/>
          <w:bCs w:val="1"/>
          <w:color w:val="auto"/>
        </w:rPr>
      </w:pPr>
    </w:p>
    <w:p>
      <w:pPr>
        <w:jc w:val="both"/>
        <w:ind w:firstLine="1278"/>
        <w:spacing w:after="0" w:line="255" w:lineRule="auto"/>
        <w:tabs>
          <w:tab w:leader="none" w:pos="1996" w:val="left"/>
        </w:tabs>
        <w:numPr>
          <w:ilvl w:val="2"/>
          <w:numId w:val="30"/>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996" w:right="339" w:bottom="1440" w:gutter="0" w:footer="0" w:header="0"/>
        </w:sectPr>
      </w:pPr>
    </w:p>
    <w:bookmarkStart w:id="25" w:name="page26"/>
    <w:bookmarkEnd w:id="25"/>
    <w:p>
      <w:pPr>
        <w:ind w:left="1900" w:hanging="622"/>
        <w:spacing w:after="0"/>
        <w:tabs>
          <w:tab w:leader="none" w:pos="190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217" w:lineRule="exact"/>
        <w:rPr>
          <w:rFonts w:ascii="Arial" w:cs="Arial" w:eastAsia="Arial" w:hAnsi="Arial"/>
          <w:sz w:val="18"/>
          <w:szCs w:val="18"/>
          <w:b w:val="1"/>
          <w:bCs w:val="1"/>
          <w:color w:val="auto"/>
        </w:rPr>
      </w:pPr>
    </w:p>
    <w:p>
      <w:pPr>
        <w:ind w:firstLine="1278"/>
        <w:spacing w:after="0" w:line="294" w:lineRule="auto"/>
        <w:tabs>
          <w:tab w:leader="none" w:pos="1908"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57" w:lineRule="exact"/>
        <w:rPr>
          <w:rFonts w:ascii="Arial" w:cs="Arial" w:eastAsia="Arial" w:hAnsi="Arial"/>
          <w:sz w:val="17"/>
          <w:szCs w:val="17"/>
          <w:b w:val="1"/>
          <w:bCs w:val="1"/>
          <w:color w:val="auto"/>
        </w:rPr>
      </w:pPr>
    </w:p>
    <w:p>
      <w:pPr>
        <w:jc w:val="both"/>
        <w:ind w:firstLine="1278"/>
        <w:spacing w:after="0" w:line="252" w:lineRule="auto"/>
        <w:tabs>
          <w:tab w:leader="none" w:pos="1858"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90" w:lineRule="exact"/>
        <w:rPr>
          <w:rFonts w:ascii="Arial" w:cs="Arial" w:eastAsia="Arial" w:hAnsi="Arial"/>
          <w:sz w:val="18"/>
          <w:szCs w:val="18"/>
          <w:b w:val="1"/>
          <w:bCs w:val="1"/>
          <w:color w:val="auto"/>
        </w:rPr>
      </w:pPr>
    </w:p>
    <w:p>
      <w:pPr>
        <w:ind w:firstLine="1278"/>
        <w:spacing w:after="0" w:line="264" w:lineRule="auto"/>
        <w:tabs>
          <w:tab w:leader="none" w:pos="1836"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80" w:lineRule="exact"/>
        <w:rPr>
          <w:rFonts w:ascii="Arial" w:cs="Arial" w:eastAsia="Arial" w:hAnsi="Arial"/>
          <w:sz w:val="18"/>
          <w:szCs w:val="18"/>
          <w:b w:val="1"/>
          <w:bCs w:val="1"/>
          <w:color w:val="auto"/>
        </w:rPr>
      </w:pPr>
    </w:p>
    <w:p>
      <w:pPr>
        <w:jc w:val="both"/>
        <w:ind w:firstLine="1278"/>
        <w:spacing w:after="0" w:line="252" w:lineRule="auto"/>
        <w:tabs>
          <w:tab w:leader="none" w:pos="1969"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To amend the Plan in any respect the Board deems necessary or advisable; provided, 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90" w:lineRule="exact"/>
        <w:rPr>
          <w:rFonts w:ascii="Arial" w:cs="Arial" w:eastAsia="Arial" w:hAnsi="Arial"/>
          <w:sz w:val="18"/>
          <w:szCs w:val="18"/>
          <w:b w:val="1"/>
          <w:bCs w:val="1"/>
          <w:color w:val="auto"/>
        </w:rPr>
      </w:pPr>
    </w:p>
    <w:p>
      <w:pPr>
        <w:ind w:left="1900" w:hanging="622"/>
        <w:spacing w:after="0"/>
        <w:tabs>
          <w:tab w:leader="none" w:pos="190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w:t>
      </w:r>
    </w:p>
    <w:p>
      <w:pPr>
        <w:spacing w:after="0" w:line="217" w:lineRule="exact"/>
        <w:rPr>
          <w:rFonts w:ascii="Arial" w:cs="Arial" w:eastAsia="Arial" w:hAnsi="Arial"/>
          <w:sz w:val="18"/>
          <w:szCs w:val="18"/>
          <w:b w:val="1"/>
          <w:bCs w:val="1"/>
          <w:color w:val="auto"/>
        </w:rPr>
      </w:pPr>
    </w:p>
    <w:p>
      <w:pPr>
        <w:jc w:val="both"/>
        <w:ind w:firstLine="1278"/>
        <w:spacing w:after="0" w:line="318" w:lineRule="auto"/>
        <w:tabs>
          <w:tab w:leader="none" w:pos="1928" w:val="left"/>
        </w:tabs>
        <w:numPr>
          <w:ilvl w:val="0"/>
          <w:numId w:val="31"/>
        </w:numPr>
        <w:rPr>
          <w:rFonts w:ascii="Arial" w:cs="Arial" w:eastAsia="Arial" w:hAnsi="Arial"/>
          <w:sz w:val="15"/>
          <w:szCs w:val="15"/>
          <w:b w:val="1"/>
          <w:bCs w:val="1"/>
          <w:color w:val="auto"/>
        </w:rPr>
      </w:pPr>
      <w:r>
        <w:rPr>
          <w:rFonts w:ascii="Arial" w:cs="Arial" w:eastAsia="Arial" w:hAnsi="Arial"/>
          <w:sz w:val="15"/>
          <w:szCs w:val="15"/>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5"/>
          <w:szCs w:val="15"/>
          <w:i w:val="1"/>
          <w:iCs w:val="1"/>
          <w:color w:val="auto"/>
        </w:rPr>
        <w:t>provided however</w:t>
      </w:r>
      <w:r>
        <w:rPr>
          <w:rFonts w:ascii="Arial" w:cs="Arial" w:eastAsia="Arial" w:hAnsi="Arial"/>
          <w:sz w:val="15"/>
          <w:szCs w:val="15"/>
          <w:color w:val="auto"/>
        </w:rPr>
        <w:t>, that, a Participant’s rights under any Award will not be Materially Impaired by any such amendment unless (1) the Company requests the consent of the affected Participant, and (2) such Participant consents in writing.</w:t>
      </w:r>
    </w:p>
    <w:p>
      <w:pPr>
        <w:spacing w:after="0" w:line="145" w:lineRule="exact"/>
        <w:rPr>
          <w:rFonts w:ascii="Arial" w:cs="Arial" w:eastAsia="Arial" w:hAnsi="Arial"/>
          <w:sz w:val="15"/>
          <w:szCs w:val="15"/>
          <w:b w:val="1"/>
          <w:bCs w:val="1"/>
          <w:color w:val="auto"/>
        </w:rPr>
      </w:pPr>
    </w:p>
    <w:p>
      <w:pPr>
        <w:ind w:firstLine="1278"/>
        <w:spacing w:after="0" w:line="264" w:lineRule="auto"/>
        <w:tabs>
          <w:tab w:leader="none" w:pos="1879"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80" w:lineRule="exact"/>
        <w:rPr>
          <w:rFonts w:ascii="Arial" w:cs="Arial" w:eastAsia="Arial" w:hAnsi="Arial"/>
          <w:sz w:val="18"/>
          <w:szCs w:val="18"/>
          <w:b w:val="1"/>
          <w:bCs w:val="1"/>
          <w:color w:val="auto"/>
        </w:rPr>
      </w:pPr>
    </w:p>
    <w:p>
      <w:pPr>
        <w:jc w:val="both"/>
        <w:ind w:firstLine="1278"/>
        <w:spacing w:after="0" w:line="252" w:lineRule="auto"/>
        <w:tabs>
          <w:tab w:leader="none" w:pos="1917"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1002" w:right="339" w:bottom="1440" w:gutter="0" w:footer="0" w:header="0"/>
        </w:sectPr>
      </w:pPr>
    </w:p>
    <w:bookmarkStart w:id="26" w:name="page27"/>
    <w:bookmarkEnd w:id="26"/>
    <w:p>
      <w:pPr>
        <w:jc w:val="both"/>
        <w:ind w:firstLine="1278"/>
        <w:spacing w:after="0" w:line="268" w:lineRule="auto"/>
        <w:tabs>
          <w:tab w:leader="none" w:pos="1916" w:val="left"/>
        </w:tabs>
        <w:numPr>
          <w:ilvl w:val="1"/>
          <w:numId w:val="32"/>
        </w:numPr>
        <w:rPr>
          <w:rFonts w:ascii="Arial" w:cs="Arial" w:eastAsia="Arial" w:hAnsi="Arial"/>
          <w:sz w:val="17"/>
          <w:szCs w:val="17"/>
          <w:b w:val="1"/>
          <w:bCs w:val="1"/>
          <w:color w:val="auto"/>
        </w:rPr>
      </w:pPr>
      <w:r>
        <w:rPr>
          <w:rFonts w:ascii="Arial" w:cs="Arial" w:eastAsia="Arial" w:hAnsi="Arial"/>
          <w:sz w:val="17"/>
          <w:szCs w:val="17"/>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74" w:lineRule="exact"/>
        <w:rPr>
          <w:rFonts w:ascii="Arial" w:cs="Arial" w:eastAsia="Arial" w:hAnsi="Arial"/>
          <w:sz w:val="17"/>
          <w:szCs w:val="17"/>
          <w:b w:val="1"/>
          <w:bCs w:val="1"/>
          <w:color w:val="auto"/>
        </w:rPr>
      </w:pPr>
    </w:p>
    <w:p>
      <w:pPr>
        <w:ind w:left="1280" w:hanging="638"/>
        <w:spacing w:after="0"/>
        <w:tabs>
          <w:tab w:leader="none" w:pos="12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217" w:lineRule="exact"/>
        <w:rPr>
          <w:rFonts w:ascii="Arial" w:cs="Arial" w:eastAsia="Arial" w:hAnsi="Arial"/>
          <w:sz w:val="18"/>
          <w:szCs w:val="18"/>
          <w:b w:val="1"/>
          <w:bCs w:val="1"/>
          <w:color w:val="auto"/>
        </w:rPr>
      </w:pPr>
    </w:p>
    <w:p>
      <w:pPr>
        <w:jc w:val="both"/>
        <w:ind w:firstLine="1278"/>
        <w:spacing w:after="0" w:line="306" w:lineRule="auto"/>
        <w:tabs>
          <w:tab w:leader="none" w:pos="1880" w:val="left"/>
        </w:tabs>
        <w:numPr>
          <w:ilvl w:val="1"/>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w:t>
      </w:r>
      <w:r>
        <w:rPr>
          <w:rFonts w:ascii="Arial" w:cs="Arial" w:eastAsia="Arial" w:hAnsi="Arial"/>
          <w:sz w:val="15"/>
          <w:szCs w:val="15"/>
          <w:color w:val="auto"/>
        </w:rPr>
        <w:t>The Board may delegate some or all of the administration of the Plan to a Committee or Committees. If administration of</w:t>
      </w:r>
      <w:r>
        <w:rPr>
          <w:rFonts w:ascii="Arial" w:cs="Arial" w:eastAsia="Arial" w:hAnsi="Arial"/>
          <w:sz w:val="15"/>
          <w:szCs w:val="15"/>
          <w:b w:val="1"/>
          <w:bCs w:val="1"/>
          <w:color w:val="auto"/>
        </w:rPr>
        <w:t xml:space="preserve"> </w:t>
      </w:r>
      <w:r>
        <w:rPr>
          <w:rFonts w:ascii="Arial" w:cs="Arial" w:eastAsia="Arial" w:hAnsi="Arial"/>
          <w:sz w:val="15"/>
          <w:szCs w:val="15"/>
          <w:color w:val="auto"/>
        </w:rPr>
        <w:t>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48" w:lineRule="exact"/>
        <w:rPr>
          <w:rFonts w:ascii="Arial" w:cs="Arial" w:eastAsia="Arial" w:hAnsi="Arial"/>
          <w:sz w:val="15"/>
          <w:szCs w:val="15"/>
          <w:b w:val="1"/>
          <w:bCs w:val="1"/>
          <w:color w:val="auto"/>
        </w:rPr>
      </w:pPr>
    </w:p>
    <w:p>
      <w:pPr>
        <w:jc w:val="both"/>
        <w:ind w:firstLine="1278"/>
        <w:spacing w:after="0" w:line="252" w:lineRule="auto"/>
        <w:tabs>
          <w:tab w:leader="none" w:pos="1867"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 16b-3 Compliance. </w:t>
      </w:r>
      <w:r>
        <w:rPr>
          <w:rFonts w:ascii="Arial" w:cs="Arial" w:eastAsia="Arial" w:hAnsi="Arial"/>
          <w:sz w:val="18"/>
          <w:szCs w:val="18"/>
          <w:color w:val="auto"/>
        </w:rPr>
        <w:t>To the extent an Award is intended to qualify for the exemption from Section 16(b) of the Exchange Act</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available under Rule 16b-3 of the Exchange Act, the Award will be granted by the Board or a Committee (or a subcommittee thereof) that consists solely of two or more Non-Employee Directors, as determined under Rule 16b-3(b)(3) of the Exchange Act and thereafter any action establishing or modifying the terms of the Award will be approved by the Board or a Committee (or a subcommittee) meeting such requirements to the extent necessary for such exemption to remain available.</w:t>
      </w:r>
    </w:p>
    <w:p>
      <w:pPr>
        <w:spacing w:after="0" w:line="185" w:lineRule="exact"/>
        <w:rPr>
          <w:rFonts w:ascii="Arial" w:cs="Arial" w:eastAsia="Arial" w:hAnsi="Arial"/>
          <w:sz w:val="18"/>
          <w:szCs w:val="18"/>
          <w:b w:val="1"/>
          <w:bCs w:val="1"/>
          <w:color w:val="auto"/>
        </w:rPr>
      </w:pPr>
    </w:p>
    <w:p>
      <w:pPr>
        <w:jc w:val="both"/>
        <w:ind w:firstLine="642"/>
        <w:spacing w:after="0" w:line="258" w:lineRule="auto"/>
        <w:tabs>
          <w:tab w:leader="none" w:pos="124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or any Committee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or any Awards granted under it (including any Award Agreements) will not be subject to review by any person and will be final, binding and conclusive on all persons.</w:t>
      </w:r>
    </w:p>
    <w:p>
      <w:pPr>
        <w:spacing w:after="0" w:line="180" w:lineRule="exact"/>
        <w:rPr>
          <w:rFonts w:ascii="Arial" w:cs="Arial" w:eastAsia="Arial" w:hAnsi="Arial"/>
          <w:sz w:val="18"/>
          <w:szCs w:val="18"/>
          <w:b w:val="1"/>
          <w:bCs w:val="1"/>
          <w:color w:val="auto"/>
        </w:rPr>
      </w:pPr>
    </w:p>
    <w:p>
      <w:pPr>
        <w:jc w:val="both"/>
        <w:ind w:firstLine="642"/>
        <w:spacing w:after="0" w:line="265" w:lineRule="auto"/>
        <w:tabs>
          <w:tab w:leader="none" w:pos="1445"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Delegation to an Officer. </w:t>
      </w:r>
      <w:r>
        <w:rPr>
          <w:rFonts w:ascii="Arial" w:cs="Arial" w:eastAsia="Arial" w:hAnsi="Arial"/>
          <w:sz w:val="17"/>
          <w:szCs w:val="17"/>
          <w:color w:val="auto"/>
        </w:rPr>
        <w:t>The Board or any Committee may delegate to one or more Officers the authority to do one or both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002" w:right="339" w:bottom="1440" w:gutter="0" w:footer="0" w:header="0"/>
        </w:sectPr>
      </w:pPr>
    </w:p>
    <w:bookmarkStart w:id="27" w:name="page28"/>
    <w:bookmarkEnd w:id="27"/>
    <w:p>
      <w:pPr>
        <w:ind w:left="660" w:hanging="654"/>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p>
    <w:p>
      <w:pPr>
        <w:spacing w:after="0" w:line="217" w:lineRule="exact"/>
        <w:rPr>
          <w:rFonts w:ascii="Arial" w:cs="Arial" w:eastAsia="Arial" w:hAnsi="Arial"/>
          <w:sz w:val="18"/>
          <w:szCs w:val="18"/>
          <w:b w:val="1"/>
          <w:bCs w:val="1"/>
          <w:color w:val="auto"/>
        </w:rPr>
      </w:pPr>
    </w:p>
    <w:p>
      <w:pPr>
        <w:jc w:val="both"/>
        <w:ind w:firstLine="642"/>
        <w:spacing w:after="0" w:line="251" w:lineRule="auto"/>
        <w:tabs>
          <w:tab w:leader="none" w:pos="1248" w:val="left"/>
        </w:tabs>
        <w:numPr>
          <w:ilvl w:val="1"/>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Authorization. </w:t>
      </w:r>
      <w:r>
        <w:rPr>
          <w:rFonts w:ascii="Arial" w:cs="Arial" w:eastAsia="Arial" w:hAnsi="Arial"/>
          <w:sz w:val="18"/>
          <w:szCs w:val="18"/>
          <w:color w:val="auto"/>
        </w:rPr>
        <w:t>As a condition to acceptance of any Award under the Plan, a Participant authorizes withholding from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other amounts payable to such Participant, and otherwise agree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5" w:lineRule="exact"/>
        <w:rPr>
          <w:rFonts w:ascii="Arial" w:cs="Arial" w:eastAsia="Arial" w:hAnsi="Arial"/>
          <w:sz w:val="18"/>
          <w:szCs w:val="18"/>
          <w:b w:val="1"/>
          <w:bCs w:val="1"/>
          <w:color w:val="auto"/>
        </w:rPr>
      </w:pPr>
    </w:p>
    <w:p>
      <w:pPr>
        <w:jc w:val="both"/>
        <w:ind w:firstLine="642"/>
        <w:spacing w:after="0" w:line="250" w:lineRule="auto"/>
        <w:tabs>
          <w:tab w:leader="none" w:pos="1351" w:val="left"/>
        </w:tabs>
        <w:numPr>
          <w:ilvl w:val="1"/>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Satisfaction of Withholding Obligation. </w:t>
      </w:r>
      <w:r>
        <w:rPr>
          <w:rFonts w:ascii="Arial" w:cs="Arial" w:eastAsia="Arial" w:hAnsi="Arial"/>
          <w:sz w:val="18"/>
          <w:szCs w:val="18"/>
          <w:color w:val="auto"/>
        </w:rPr>
        <w:t>To the extent permitted by the terms of an Award Agreement, the Company may,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86" w:lineRule="exact"/>
        <w:rPr>
          <w:rFonts w:ascii="Arial" w:cs="Arial" w:eastAsia="Arial" w:hAnsi="Arial"/>
          <w:sz w:val="18"/>
          <w:szCs w:val="18"/>
          <w:b w:val="1"/>
          <w:bCs w:val="1"/>
          <w:color w:val="auto"/>
        </w:rPr>
      </w:pPr>
    </w:p>
    <w:p>
      <w:pPr>
        <w:jc w:val="both"/>
        <w:ind w:firstLine="642"/>
        <w:spacing w:after="0" w:line="299" w:lineRule="auto"/>
        <w:tabs>
          <w:tab w:leader="none" w:pos="1225" w:val="left"/>
        </w:tabs>
        <w:numPr>
          <w:ilvl w:val="1"/>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 Obligation to Notify or Minimize Taxes; No Liability to Claims. </w:t>
      </w:r>
      <w:r>
        <w:rPr>
          <w:rFonts w:ascii="Arial" w:cs="Arial" w:eastAsia="Arial" w:hAnsi="Arial"/>
          <w:sz w:val="15"/>
          <w:szCs w:val="15"/>
          <w:color w:val="auto"/>
        </w:rPr>
        <w:t>Except as required by Applicable Law the Company has no duty or</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w:t>
      </w:r>
    </w:p>
    <w:p>
      <w:pPr>
        <w:spacing w:after="0" w:line="2" w:lineRule="exact"/>
        <w:rPr>
          <w:rFonts w:ascii="Arial" w:cs="Arial" w:eastAsia="Arial" w:hAnsi="Arial"/>
          <w:sz w:val="15"/>
          <w:szCs w:val="15"/>
          <w:b w:val="1"/>
          <w:bCs w:val="1"/>
          <w:color w:val="auto"/>
        </w:rPr>
      </w:pPr>
    </w:p>
    <w:p>
      <w:pPr>
        <w:jc w:val="both"/>
        <w:spacing w:after="0" w:line="246" w:lineRule="auto"/>
        <w:rPr>
          <w:rFonts w:ascii="Arial" w:cs="Arial" w:eastAsia="Arial" w:hAnsi="Arial"/>
          <w:sz w:val="15"/>
          <w:szCs w:val="15"/>
          <w:b w:val="1"/>
          <w:bCs w:val="1"/>
          <w:color w:val="auto"/>
        </w:rPr>
      </w:pPr>
      <w:r>
        <w:rPr>
          <w:rFonts w:ascii="Arial" w:cs="Arial" w:eastAsia="Arial" w:hAnsi="Arial"/>
          <w:sz w:val="18"/>
          <w:szCs w:val="18"/>
          <w:color w:val="auto"/>
        </w:rPr>
        <w:t>(i)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996" w:right="339" w:bottom="1440" w:gutter="0" w:footer="0" w:header="0"/>
        </w:sectPr>
      </w:pPr>
    </w:p>
    <w:bookmarkStart w:id="28" w:name="page29"/>
    <w:bookmarkEnd w:id="28"/>
    <w:p>
      <w:pPr>
        <w:jc w:val="both"/>
        <w:ind w:firstLine="642"/>
        <w:spacing w:after="0" w:line="254" w:lineRule="auto"/>
        <w:tabs>
          <w:tab w:leader="none" w:pos="1289"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Indemnification. </w:t>
      </w:r>
      <w:r>
        <w:rPr>
          <w:rFonts w:ascii="Arial" w:cs="Arial" w:eastAsia="Arial" w:hAnsi="Arial"/>
          <w:sz w:val="18"/>
          <w:szCs w:val="18"/>
          <w:color w:val="auto"/>
        </w:rPr>
        <w:t>As a condition to accepting an Award under the Plan, in the event that the amount of the Company’s and/or</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83" w:lineRule="exact"/>
        <w:rPr>
          <w:rFonts w:ascii="Arial" w:cs="Arial" w:eastAsia="Arial" w:hAnsi="Arial"/>
          <w:sz w:val="18"/>
          <w:szCs w:val="18"/>
          <w:b w:val="1"/>
          <w:bCs w:val="1"/>
          <w:color w:val="auto"/>
        </w:rPr>
      </w:pPr>
    </w:p>
    <w:p>
      <w:pPr>
        <w:ind w:left="660" w:hanging="654"/>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17" w:lineRule="exact"/>
        <w:rPr>
          <w:rFonts w:ascii="Arial" w:cs="Arial" w:eastAsia="Arial" w:hAnsi="Arial"/>
          <w:sz w:val="18"/>
          <w:szCs w:val="18"/>
          <w:b w:val="1"/>
          <w:bCs w:val="1"/>
          <w:color w:val="auto"/>
        </w:rPr>
      </w:pPr>
    </w:p>
    <w:p>
      <w:pPr>
        <w:ind w:firstLine="642"/>
        <w:spacing w:after="0" w:line="271" w:lineRule="auto"/>
        <w:tabs>
          <w:tab w:leader="none" w:pos="1314"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repurchased by the Company on the open market or otherwise.</w:t>
      </w:r>
    </w:p>
    <w:p>
      <w:pPr>
        <w:spacing w:after="0" w:line="168" w:lineRule="exact"/>
        <w:rPr>
          <w:rFonts w:ascii="Arial" w:cs="Arial" w:eastAsia="Arial" w:hAnsi="Arial"/>
          <w:sz w:val="18"/>
          <w:szCs w:val="18"/>
          <w:b w:val="1"/>
          <w:bCs w:val="1"/>
          <w:color w:val="auto"/>
        </w:rPr>
      </w:pPr>
    </w:p>
    <w:p>
      <w:pPr>
        <w:ind w:right="20" w:firstLine="642"/>
        <w:spacing w:after="0" w:line="271" w:lineRule="auto"/>
        <w:tabs>
          <w:tab w:leader="none" w:pos="1298"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Awards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168" w:lineRule="exact"/>
        <w:rPr>
          <w:rFonts w:ascii="Arial" w:cs="Arial" w:eastAsia="Arial" w:hAnsi="Arial"/>
          <w:sz w:val="18"/>
          <w:szCs w:val="18"/>
          <w:b w:val="1"/>
          <w:bCs w:val="1"/>
          <w:color w:val="auto"/>
        </w:rPr>
      </w:pPr>
    </w:p>
    <w:p>
      <w:pPr>
        <w:jc w:val="both"/>
        <w:ind w:firstLine="642"/>
        <w:spacing w:after="0" w:line="250" w:lineRule="auto"/>
        <w:tabs>
          <w:tab w:leader="none" w:pos="1295"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Action Constituting Grant of Awards. </w:t>
      </w:r>
      <w:r>
        <w:rPr>
          <w:rFonts w:ascii="Arial" w:cs="Arial" w:eastAsia="Arial" w:hAnsi="Arial"/>
          <w:sz w:val="18"/>
          <w:szCs w:val="18"/>
          <w:color w:val="auto"/>
        </w:rPr>
        <w:t>Corporate action constituting a grant by the Company of an Award to any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6" w:lineRule="exact"/>
        <w:rPr>
          <w:rFonts w:ascii="Arial" w:cs="Arial" w:eastAsia="Arial" w:hAnsi="Arial"/>
          <w:sz w:val="18"/>
          <w:szCs w:val="18"/>
          <w:b w:val="1"/>
          <w:bCs w:val="1"/>
          <w:color w:val="auto"/>
        </w:rPr>
      </w:pPr>
    </w:p>
    <w:p>
      <w:pPr>
        <w:jc w:val="both"/>
        <w:ind w:firstLine="642"/>
        <w:spacing w:after="0" w:line="281" w:lineRule="auto"/>
        <w:tabs>
          <w:tab w:leader="none" w:pos="1249" w:val="left"/>
        </w:tabs>
        <w:numPr>
          <w:ilvl w:val="1"/>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 Rights. </w:t>
      </w:r>
      <w:r>
        <w:rPr>
          <w:rFonts w:ascii="Arial" w:cs="Arial" w:eastAsia="Arial" w:hAnsi="Arial"/>
          <w:sz w:val="17"/>
          <w:szCs w:val="17"/>
          <w:color w:val="auto"/>
        </w:rPr>
        <w:t>No Participant will be deemed to be the holder of, or to have any of the rights of a holder with respect to, any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61" w:lineRule="exact"/>
        <w:rPr>
          <w:rFonts w:ascii="Arial" w:cs="Arial" w:eastAsia="Arial" w:hAnsi="Arial"/>
          <w:sz w:val="17"/>
          <w:szCs w:val="17"/>
          <w:b w:val="1"/>
          <w:bCs w:val="1"/>
          <w:color w:val="auto"/>
        </w:rPr>
      </w:pPr>
    </w:p>
    <w:p>
      <w:pPr>
        <w:jc w:val="both"/>
        <w:ind w:firstLine="642"/>
        <w:spacing w:after="0" w:line="304" w:lineRule="auto"/>
        <w:tabs>
          <w:tab w:leader="none" w:pos="1326" w:val="left"/>
        </w:tabs>
        <w:numPr>
          <w:ilvl w:val="1"/>
          <w:numId w:val="3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 Employment or Other Service Rights. </w:t>
      </w:r>
      <w:r>
        <w:rPr>
          <w:rFonts w:ascii="Arial" w:cs="Arial" w:eastAsia="Arial" w:hAnsi="Arial"/>
          <w:sz w:val="15"/>
          <w:szCs w:val="15"/>
          <w:color w:val="auto"/>
        </w:rPr>
        <w:t>Nothing in the Plan, any Award Agreement or any other instrument executed thereunder or in</w:t>
      </w:r>
      <w:r>
        <w:rPr>
          <w:rFonts w:ascii="Arial" w:cs="Arial" w:eastAsia="Arial" w:hAnsi="Arial"/>
          <w:sz w:val="15"/>
          <w:szCs w:val="15"/>
          <w:b w:val="1"/>
          <w:bCs w:val="1"/>
          <w:color w:val="auto"/>
        </w:rPr>
        <w:t xml:space="preserve"> </w:t>
      </w:r>
      <w:r>
        <w:rPr>
          <w:rFonts w:ascii="Arial" w:cs="Arial" w:eastAsia="Arial" w:hAnsi="Arial"/>
          <w:sz w:val="15"/>
          <w:szCs w:val="15"/>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996" w:right="339" w:bottom="1440" w:gutter="0" w:footer="0" w:header="0"/>
        </w:sectPr>
      </w:pPr>
    </w:p>
    <w:bookmarkStart w:id="29" w:name="page30"/>
    <w:bookmarkEnd w:id="29"/>
    <w:p>
      <w:pPr>
        <w:jc w:val="both"/>
        <w:ind w:firstLine="642"/>
        <w:spacing w:after="0" w:line="267" w:lineRule="auto"/>
        <w:tabs>
          <w:tab w:leader="none" w:pos="1219"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Time Commitment. </w:t>
      </w:r>
      <w:r>
        <w:rPr>
          <w:rFonts w:ascii="Arial" w:cs="Arial" w:eastAsia="Arial" w:hAnsi="Arial"/>
          <w:sz w:val="17"/>
          <w:szCs w:val="17"/>
          <w:color w:val="auto"/>
        </w:rPr>
        <w:t>In the event a Participant’s regular level of time commitment in the performance of his or her services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3" w:lineRule="exact"/>
        <w:rPr>
          <w:rFonts w:ascii="Arial" w:cs="Arial" w:eastAsia="Arial" w:hAnsi="Arial"/>
          <w:sz w:val="17"/>
          <w:szCs w:val="17"/>
          <w:b w:val="1"/>
          <w:bCs w:val="1"/>
          <w:color w:val="auto"/>
        </w:rPr>
      </w:pPr>
    </w:p>
    <w:p>
      <w:pPr>
        <w:jc w:val="both"/>
        <w:ind w:firstLine="642"/>
        <w:spacing w:after="0" w:line="281" w:lineRule="auto"/>
        <w:tabs>
          <w:tab w:leader="none" w:pos="1239"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Execution of Additional Documents. </w:t>
      </w:r>
      <w:r>
        <w:rPr>
          <w:rFonts w:ascii="Arial" w:cs="Arial" w:eastAsia="Arial" w:hAnsi="Arial"/>
          <w:sz w:val="17"/>
          <w:szCs w:val="17"/>
          <w:color w:val="auto"/>
        </w:rPr>
        <w:t>As a condition to accepting an Award under the Plan, the Participant agrees to execute any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61" w:lineRule="exact"/>
        <w:rPr>
          <w:rFonts w:ascii="Arial" w:cs="Arial" w:eastAsia="Arial" w:hAnsi="Arial"/>
          <w:sz w:val="17"/>
          <w:szCs w:val="17"/>
          <w:b w:val="1"/>
          <w:bCs w:val="1"/>
          <w:color w:val="auto"/>
        </w:rPr>
      </w:pPr>
    </w:p>
    <w:p>
      <w:pPr>
        <w:jc w:val="both"/>
        <w:ind w:firstLine="642"/>
        <w:spacing w:after="0" w:line="251" w:lineRule="auto"/>
        <w:tabs>
          <w:tab w:leader="none" w:pos="1187"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Electronic Delivery and Participation. </w:t>
      </w:r>
      <w:r>
        <w:rPr>
          <w:rFonts w:ascii="Arial" w:cs="Arial" w:eastAsia="Arial" w:hAnsi="Arial"/>
          <w:sz w:val="18"/>
          <w:szCs w:val="18"/>
          <w:color w:val="auto"/>
        </w:rPr>
        <w:t>Any reference herein or in an Award Agreement to a “written” agreement or document will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85" w:lineRule="exact"/>
        <w:rPr>
          <w:rFonts w:ascii="Arial" w:cs="Arial" w:eastAsia="Arial" w:hAnsi="Arial"/>
          <w:sz w:val="18"/>
          <w:szCs w:val="18"/>
          <w:b w:val="1"/>
          <w:bCs w:val="1"/>
          <w:color w:val="auto"/>
        </w:rPr>
      </w:pPr>
    </w:p>
    <w:p>
      <w:pPr>
        <w:jc w:val="both"/>
        <w:ind w:firstLine="642"/>
        <w:spacing w:after="0" w:line="306" w:lineRule="auto"/>
        <w:tabs>
          <w:tab w:leader="none" w:pos="1350"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Clawback/Recovery. </w:t>
      </w:r>
      <w:r>
        <w:rPr>
          <w:rFonts w:ascii="Arial" w:cs="Arial" w:eastAsia="Arial" w:hAnsi="Arial"/>
          <w:sz w:val="15"/>
          <w:szCs w:val="15"/>
          <w:color w:val="auto"/>
        </w:rPr>
        <w:t>All Awards granted under the Plan will be subject to recoupment in accordance with any clawback policy that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996" w:right="339" w:bottom="1440" w:gutter="0" w:footer="0" w:header="0"/>
        </w:sectPr>
      </w:pPr>
    </w:p>
    <w:bookmarkStart w:id="30" w:name="page31"/>
    <w:bookmarkEnd w:id="30"/>
    <w:p>
      <w:pPr>
        <w:jc w:val="both"/>
        <w:ind w:firstLine="642"/>
        <w:spacing w:after="0" w:line="254" w:lineRule="auto"/>
        <w:tabs>
          <w:tab w:leader="none" w:pos="13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A Participant will not be issued any shares in respect of an Award unless either (i) the shares are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83" w:lineRule="exact"/>
        <w:rPr>
          <w:rFonts w:ascii="Arial" w:cs="Arial" w:eastAsia="Arial" w:hAnsi="Arial"/>
          <w:sz w:val="18"/>
          <w:szCs w:val="18"/>
          <w:b w:val="1"/>
          <w:bCs w:val="1"/>
          <w:color w:val="auto"/>
        </w:rPr>
      </w:pPr>
    </w:p>
    <w:p>
      <w:pPr>
        <w:jc w:val="both"/>
        <w:ind w:firstLine="642"/>
        <w:spacing w:after="0" w:line="252" w:lineRule="auto"/>
        <w:tabs>
          <w:tab w:leader="none" w:pos="131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or Assignment of Awards; Issued Shares. </w:t>
      </w:r>
      <w:r>
        <w:rPr>
          <w:rFonts w:ascii="Arial" w:cs="Arial" w:eastAsia="Arial" w:hAnsi="Arial"/>
          <w:sz w:val="18"/>
          <w:szCs w:val="18"/>
          <w:color w:val="auto"/>
        </w:rPr>
        <w:t>Except as expressly provided in the Plan or the form of Award Agreement, Awards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85" w:lineRule="exact"/>
        <w:rPr>
          <w:rFonts w:ascii="Arial" w:cs="Arial" w:eastAsia="Arial" w:hAnsi="Arial"/>
          <w:sz w:val="18"/>
          <w:szCs w:val="18"/>
          <w:b w:val="1"/>
          <w:bCs w:val="1"/>
          <w:color w:val="auto"/>
        </w:rPr>
      </w:pPr>
    </w:p>
    <w:p>
      <w:pPr>
        <w:jc w:val="both"/>
        <w:ind w:firstLine="642"/>
        <w:spacing w:after="0" w:line="274" w:lineRule="auto"/>
        <w:tabs>
          <w:tab w:leader="none" w:pos="1226"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 on Other Employee Benefit Plans. </w:t>
      </w:r>
      <w:r>
        <w:rPr>
          <w:rFonts w:ascii="Arial" w:cs="Arial" w:eastAsia="Arial" w:hAnsi="Arial"/>
          <w:sz w:val="17"/>
          <w:szCs w:val="17"/>
          <w:color w:val="auto"/>
        </w:rPr>
        <w:t>The value of any Award granted under the Plan, as determined upon grant, vesting or settlement,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67" w:lineRule="exact"/>
        <w:rPr>
          <w:rFonts w:ascii="Arial" w:cs="Arial" w:eastAsia="Arial" w:hAnsi="Arial"/>
          <w:sz w:val="17"/>
          <w:szCs w:val="17"/>
          <w:b w:val="1"/>
          <w:bCs w:val="1"/>
          <w:color w:val="auto"/>
        </w:rPr>
      </w:pPr>
    </w:p>
    <w:p>
      <w:pPr>
        <w:jc w:val="both"/>
        <w:ind w:firstLine="642"/>
        <w:spacing w:after="0" w:line="334" w:lineRule="auto"/>
        <w:tabs>
          <w:tab w:leader="none" w:pos="1209"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Deferrals. </w:t>
      </w:r>
      <w:r>
        <w:rPr>
          <w:rFonts w:ascii="Arial" w:cs="Arial" w:eastAsia="Arial" w:hAnsi="Arial"/>
          <w:sz w:val="15"/>
          <w:szCs w:val="15"/>
          <w:color w:val="auto"/>
        </w:rPr>
        <w:t>To the extent permitted by Applicable Law, the Board, in its sole discretion, may determine that the delivery of Common Stock or</w:t>
      </w:r>
      <w:r>
        <w:rPr>
          <w:rFonts w:ascii="Arial" w:cs="Arial" w:eastAsia="Arial" w:hAnsi="Arial"/>
          <w:sz w:val="15"/>
          <w:szCs w:val="15"/>
          <w:b w:val="1"/>
          <w:bCs w:val="1"/>
          <w:color w:val="auto"/>
        </w:rPr>
        <w:t xml:space="preserve"> </w:t>
      </w:r>
      <w:r>
        <w:rPr>
          <w:rFonts w:ascii="Arial" w:cs="Arial" w:eastAsia="Arial" w:hAnsi="Arial"/>
          <w:sz w:val="15"/>
          <w:szCs w:val="15"/>
          <w:color w:val="auto"/>
        </w:rPr>
        <w:t>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127" w:lineRule="exact"/>
        <w:rPr>
          <w:rFonts w:ascii="Arial" w:cs="Arial" w:eastAsia="Arial" w:hAnsi="Arial"/>
          <w:sz w:val="15"/>
          <w:szCs w:val="15"/>
          <w:b w:val="1"/>
          <w:bCs w:val="1"/>
          <w:color w:val="auto"/>
        </w:rPr>
      </w:pPr>
    </w:p>
    <w:p>
      <w:pPr>
        <w:jc w:val="both"/>
        <w:ind w:firstLine="642"/>
        <w:spacing w:after="0" w:line="264" w:lineRule="auto"/>
        <w:tabs>
          <w:tab w:leader="none" w:pos="1289"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Section 409A. </w:t>
      </w:r>
      <w:r>
        <w:rPr>
          <w:rFonts w:ascii="Arial" w:cs="Arial" w:eastAsia="Arial" w:hAnsi="Arial"/>
          <w:sz w:val="17"/>
          <w:szCs w:val="17"/>
          <w:color w:val="auto"/>
        </w:rPr>
        <w:t>Unless otherwise expressly provided for in an Award Agreement, the Plan and Award Agreements will be interpreted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996" w:right="339" w:bottom="1440" w:gutter="0" w:footer="0" w:header="0"/>
        </w:sectPr>
      </w:pPr>
    </w:p>
    <w:bookmarkStart w:id="31" w:name="page32"/>
    <w:bookmarkEnd w:id="31"/>
    <w:p>
      <w:pPr>
        <w:jc w:val="both"/>
        <w:ind w:firstLine="642"/>
        <w:spacing w:after="0" w:line="258" w:lineRule="auto"/>
        <w:tabs>
          <w:tab w:leader="none" w:pos="1239"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Plan and any controversy arising out of or relating to this Plan shall be governed by, and construed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laws of the State of Delaware, without regard to conflict of law principles that would result in any application of any law other than the law of the State of Delaware.</w:t>
      </w:r>
    </w:p>
    <w:p>
      <w:pPr>
        <w:spacing w:after="0" w:line="180" w:lineRule="exact"/>
        <w:rPr>
          <w:rFonts w:ascii="Arial" w:cs="Arial" w:eastAsia="Arial" w:hAnsi="Arial"/>
          <w:sz w:val="18"/>
          <w:szCs w:val="18"/>
          <w:b w:val="1"/>
          <w:bCs w:val="1"/>
          <w:color w:val="auto"/>
        </w:rPr>
      </w:pPr>
    </w:p>
    <w:p>
      <w:pPr>
        <w:ind w:left="660" w:hanging="654"/>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p>
    <w:p>
      <w:pPr>
        <w:spacing w:after="0" w:line="217" w:lineRule="exact"/>
        <w:rPr>
          <w:rFonts w:ascii="Arial" w:cs="Arial" w:eastAsia="Arial" w:hAnsi="Arial"/>
          <w:sz w:val="18"/>
          <w:szCs w:val="18"/>
          <w:b w:val="1"/>
          <w:bCs w:val="1"/>
          <w:color w:val="auto"/>
        </w:rPr>
      </w:pPr>
    </w:p>
    <w:p>
      <w:pPr>
        <w:jc w:val="both"/>
        <w:ind w:firstLine="642"/>
        <w:spacing w:after="0" w:line="266" w:lineRule="auto"/>
        <w:tabs>
          <w:tab w:leader="none" w:pos="1279" w:val="left"/>
        </w:tabs>
        <w:numPr>
          <w:ilvl w:val="1"/>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Law. </w:t>
      </w:r>
      <w:r>
        <w:rPr>
          <w:rFonts w:ascii="Arial" w:cs="Arial" w:eastAsia="Arial" w:hAnsi="Arial"/>
          <w:sz w:val="17"/>
          <w:szCs w:val="17"/>
          <w:color w:val="auto"/>
        </w:rPr>
        <w:t>The Company will seek to obtain from each regulatory commission or agency, as may be deemed to be necessary,</w:t>
      </w:r>
      <w:r>
        <w:rPr>
          <w:rFonts w:ascii="Arial" w:cs="Arial" w:eastAsia="Arial" w:hAnsi="Arial"/>
          <w:sz w:val="17"/>
          <w:szCs w:val="17"/>
          <w:b w:val="1"/>
          <w:bCs w:val="1"/>
          <w:color w:val="auto"/>
        </w:rPr>
        <w:t xml:space="preserve"> </w:t>
      </w:r>
      <w:r>
        <w:rPr>
          <w:rFonts w:ascii="Arial" w:cs="Arial" w:eastAsia="Arial" w:hAnsi="Arial"/>
          <w:sz w:val="17"/>
          <w:szCs w:val="17"/>
          <w:color w:val="auto"/>
        </w:rPr>
        <w:t>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74" w:lineRule="exact"/>
        <w:rPr>
          <w:rFonts w:ascii="Arial" w:cs="Arial" w:eastAsia="Arial" w:hAnsi="Arial"/>
          <w:sz w:val="17"/>
          <w:szCs w:val="17"/>
          <w:b w:val="1"/>
          <w:bCs w:val="1"/>
          <w:color w:val="auto"/>
        </w:rPr>
      </w:pPr>
    </w:p>
    <w:p>
      <w:pPr>
        <w:ind w:left="660" w:hanging="654"/>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Rules for Awards Subject to Section 409A.</w:t>
      </w:r>
    </w:p>
    <w:p>
      <w:pPr>
        <w:spacing w:after="0" w:line="217" w:lineRule="exact"/>
        <w:rPr>
          <w:rFonts w:ascii="Arial" w:cs="Arial" w:eastAsia="Arial" w:hAnsi="Arial"/>
          <w:sz w:val="18"/>
          <w:szCs w:val="18"/>
          <w:b w:val="1"/>
          <w:bCs w:val="1"/>
          <w:color w:val="auto"/>
        </w:rPr>
      </w:pPr>
    </w:p>
    <w:p>
      <w:pPr>
        <w:ind w:firstLine="642"/>
        <w:spacing w:after="0" w:line="374" w:lineRule="auto"/>
        <w:tabs>
          <w:tab w:leader="none" w:pos="1248" w:val="left"/>
        </w:tabs>
        <w:numPr>
          <w:ilvl w:val="1"/>
          <w:numId w:val="4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Application. </w:t>
      </w:r>
      <w:r>
        <w:rPr>
          <w:rFonts w:ascii="Arial" w:cs="Arial" w:eastAsia="Arial" w:hAnsi="Arial"/>
          <w:sz w:val="15"/>
          <w:szCs w:val="15"/>
          <w:color w:val="auto"/>
        </w:rPr>
        <w:t>Unless the provisions of this Section of the Plan are expressly superseded by the provisions in the form of Award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the provisions of this Section shall apply and shall supersede anything to the contrary set forth in the Award Agreement for a Non-Exempt Award.</w:t>
      </w:r>
    </w:p>
    <w:p>
      <w:pPr>
        <w:spacing w:after="0" w:line="98" w:lineRule="exact"/>
        <w:rPr>
          <w:rFonts w:ascii="Arial" w:cs="Arial" w:eastAsia="Arial" w:hAnsi="Arial"/>
          <w:sz w:val="15"/>
          <w:szCs w:val="15"/>
          <w:b w:val="1"/>
          <w:bCs w:val="1"/>
          <w:color w:val="auto"/>
        </w:rPr>
      </w:pPr>
    </w:p>
    <w:p>
      <w:pPr>
        <w:ind w:firstLine="642"/>
        <w:spacing w:after="0" w:line="271" w:lineRule="auto"/>
        <w:tabs>
          <w:tab w:leader="none" w:pos="1245"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Non-Exempt Awards Subject to Non-Exempt Severance Arrangements. </w:t>
      </w:r>
      <w:r>
        <w:rPr>
          <w:rFonts w:ascii="Arial" w:cs="Arial" w:eastAsia="Arial" w:hAnsi="Arial"/>
          <w:sz w:val="18"/>
          <w:szCs w:val="18"/>
          <w:color w:val="auto"/>
        </w:rPr>
        <w:t>To the extent a Non-Exempt Award is subject to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due to application of a Non-Exempt Severance Arrangement, the following provisions of this subsection (b) apply.</w:t>
      </w:r>
    </w:p>
    <w:p>
      <w:pPr>
        <w:spacing w:after="0" w:line="174" w:lineRule="exact"/>
        <w:rPr>
          <w:rFonts w:ascii="Arial" w:cs="Arial" w:eastAsia="Arial" w:hAnsi="Arial"/>
          <w:sz w:val="18"/>
          <w:szCs w:val="18"/>
          <w:b w:val="1"/>
          <w:bCs w:val="1"/>
          <w:color w:val="auto"/>
        </w:rPr>
      </w:pPr>
    </w:p>
    <w:p>
      <w:pPr>
        <w:jc w:val="both"/>
        <w:ind w:firstLine="1278"/>
        <w:spacing w:after="0" w:line="252" w:lineRule="auto"/>
        <w:tabs>
          <w:tab w:leader="none" w:pos="1920" w:val="left"/>
        </w:tabs>
        <w:numPr>
          <w:ilvl w:val="2"/>
          <w:numId w:val="40"/>
        </w:numPr>
        <w:rPr>
          <w:rFonts w:ascii="Arial" w:cs="Arial" w:eastAsia="Arial" w:hAnsi="Arial"/>
          <w:sz w:val="18"/>
          <w:szCs w:val="18"/>
          <w:b w:val="1"/>
          <w:bCs w:val="1"/>
          <w:color w:val="auto"/>
        </w:rPr>
      </w:pPr>
      <w:r>
        <w:rPr>
          <w:rFonts w:ascii="Arial" w:cs="Arial" w:eastAsia="Arial" w:hAnsi="Arial"/>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Arial" w:cs="Arial" w:eastAsia="Arial" w:hAnsi="Arial"/>
          <w:sz w:val="8"/>
          <w:szCs w:val="8"/>
          <w:color w:val="auto"/>
        </w:rPr>
        <w:t>st</w:t>
      </w:r>
      <w:r>
        <w:rPr>
          <w:rFonts w:ascii="Arial" w:cs="Arial" w:eastAsia="Arial" w:hAnsi="Arial"/>
          <w:sz w:val="18"/>
          <w:szCs w:val="18"/>
          <w:color w:val="auto"/>
        </w:rPr>
        <w:t xml:space="preserve"> of the calendar year that includes the applicable vesting date, or (ii) the 60</w:t>
      </w:r>
      <w:r>
        <w:rPr>
          <w:rFonts w:ascii="Arial" w:cs="Arial" w:eastAsia="Arial" w:hAnsi="Arial"/>
          <w:sz w:val="8"/>
          <w:szCs w:val="8"/>
          <w:color w:val="auto"/>
        </w:rPr>
        <w:t>th</w:t>
      </w:r>
      <w:r>
        <w:rPr>
          <w:rFonts w:ascii="Arial" w:cs="Arial" w:eastAsia="Arial" w:hAnsi="Arial"/>
          <w:sz w:val="18"/>
          <w:szCs w:val="18"/>
          <w:color w:val="auto"/>
        </w:rPr>
        <w:t xml:space="preserve"> day that follows the applicable vesting date.</w:t>
      </w:r>
    </w:p>
    <w:p>
      <w:pPr>
        <w:spacing w:after="0" w:line="190" w:lineRule="exact"/>
        <w:rPr>
          <w:rFonts w:ascii="Arial" w:cs="Arial" w:eastAsia="Arial" w:hAnsi="Arial"/>
          <w:sz w:val="18"/>
          <w:szCs w:val="18"/>
          <w:b w:val="1"/>
          <w:bCs w:val="1"/>
          <w:color w:val="auto"/>
        </w:rPr>
      </w:pPr>
    </w:p>
    <w:p>
      <w:pPr>
        <w:jc w:val="both"/>
        <w:ind w:firstLine="1278"/>
        <w:spacing w:after="0" w:line="265" w:lineRule="auto"/>
        <w:tabs>
          <w:tab w:leader="none" w:pos="1906" w:val="left"/>
        </w:tabs>
        <w:numPr>
          <w:ilvl w:val="2"/>
          <w:numId w:val="40"/>
        </w:numPr>
        <w:rPr>
          <w:rFonts w:ascii="Arial" w:cs="Arial" w:eastAsia="Arial" w:hAnsi="Arial"/>
          <w:sz w:val="17"/>
          <w:szCs w:val="17"/>
          <w:b w:val="1"/>
          <w:bCs w:val="1"/>
          <w:color w:val="auto"/>
        </w:rPr>
      </w:pPr>
      <w:r>
        <w:rPr>
          <w:rFonts w:ascii="Arial" w:cs="Arial" w:eastAsia="Arial" w:hAnsi="Arial"/>
          <w:sz w:val="17"/>
          <w:szCs w:val="17"/>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Arial" w:cs="Arial" w:eastAsia="Arial" w:hAnsi="Arial"/>
          <w:sz w:val="8"/>
          <w:szCs w:val="8"/>
          <w:color w:val="auto"/>
        </w:rPr>
        <w:t>th</w:t>
      </w:r>
      <w:r>
        <w:rPr>
          <w:rFonts w:ascii="Arial" w:cs="Arial" w:eastAsia="Arial" w:hAnsi="Arial"/>
          <w:sz w:val="17"/>
          <w:szCs w:val="17"/>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996" w:right="339" w:bottom="1440" w:gutter="0" w:footer="0" w:header="0"/>
        </w:sectPr>
      </w:pPr>
    </w:p>
    <w:bookmarkStart w:id="32" w:name="page33"/>
    <w:bookmarkEnd w:id="32"/>
    <w:p>
      <w:pPr>
        <w:jc w:val="both"/>
        <w:ind w:firstLine="1278"/>
        <w:spacing w:after="0" w:line="248" w:lineRule="auto"/>
        <w:tabs>
          <w:tab w:leader="none" w:pos="1979" w:val="left"/>
        </w:tabs>
        <w:numPr>
          <w:ilvl w:val="2"/>
          <w:numId w:val="41"/>
        </w:numPr>
        <w:rPr>
          <w:rFonts w:ascii="Arial" w:cs="Arial" w:eastAsia="Arial" w:hAnsi="Arial"/>
          <w:sz w:val="18"/>
          <w:szCs w:val="18"/>
          <w:b w:val="1"/>
          <w:bCs w:val="1"/>
          <w:color w:val="auto"/>
        </w:rPr>
      </w:pPr>
      <w:r>
        <w:rPr>
          <w:rFonts w:ascii="Arial" w:cs="Arial" w:eastAsia="Arial" w:hAnsi="Arial"/>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92" w:lineRule="exact"/>
        <w:rPr>
          <w:rFonts w:ascii="Arial" w:cs="Arial" w:eastAsia="Arial" w:hAnsi="Arial"/>
          <w:sz w:val="18"/>
          <w:szCs w:val="18"/>
          <w:b w:val="1"/>
          <w:bCs w:val="1"/>
          <w:color w:val="auto"/>
        </w:rPr>
      </w:pPr>
    </w:p>
    <w:p>
      <w:pPr>
        <w:ind w:left="1280" w:hanging="638"/>
        <w:spacing w:after="0"/>
        <w:tabs>
          <w:tab w:leader="none" w:pos="1280" w:val="left"/>
        </w:tabs>
        <w:numPr>
          <w:ilvl w:val="1"/>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Treatment of Non-Exempt Awards Upon a Corporate Transaction for Employees and Consultants. </w:t>
      </w:r>
      <w:r>
        <w:rPr>
          <w:rFonts w:ascii="Arial" w:cs="Arial" w:eastAsia="Arial" w:hAnsi="Arial"/>
          <w:sz w:val="15"/>
          <w:szCs w:val="15"/>
          <w:color w:val="auto"/>
        </w:rPr>
        <w:t>The provisions of this subsection</w:t>
      </w:r>
    </w:p>
    <w:p>
      <w:pPr>
        <w:spacing w:after="0" w:line="56" w:lineRule="exact"/>
        <w:rPr>
          <w:rFonts w:ascii="Arial" w:cs="Arial" w:eastAsia="Arial" w:hAnsi="Arial"/>
          <w:sz w:val="15"/>
          <w:szCs w:val="15"/>
          <w:b w:val="1"/>
          <w:bCs w:val="1"/>
          <w:color w:val="auto"/>
        </w:rPr>
      </w:pPr>
    </w:p>
    <w:p>
      <w:pPr>
        <w:ind w:firstLine="6"/>
        <w:spacing w:after="0" w:line="349" w:lineRule="auto"/>
        <w:tabs>
          <w:tab w:leader="none" w:pos="269" w:val="left"/>
        </w:tabs>
        <w:numPr>
          <w:ilvl w:val="0"/>
          <w:numId w:val="43"/>
        </w:numPr>
        <w:rPr>
          <w:rFonts w:ascii="Arial" w:cs="Arial" w:eastAsia="Arial" w:hAnsi="Arial"/>
          <w:sz w:val="15"/>
          <w:szCs w:val="15"/>
          <w:color w:val="auto"/>
        </w:rPr>
      </w:pPr>
      <w:r>
        <w:rPr>
          <w:rFonts w:ascii="Arial" w:cs="Arial" w:eastAsia="Arial" w:hAnsi="Arial"/>
          <w:sz w:val="15"/>
          <w:szCs w:val="15"/>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16" w:lineRule="exact"/>
        <w:rPr>
          <w:rFonts w:ascii="Arial" w:cs="Arial" w:eastAsia="Arial" w:hAnsi="Arial"/>
          <w:sz w:val="15"/>
          <w:szCs w:val="15"/>
          <w:color w:val="auto"/>
        </w:rPr>
      </w:pPr>
    </w:p>
    <w:p>
      <w:pPr>
        <w:ind w:left="2080" w:hanging="802"/>
        <w:spacing w:after="0"/>
        <w:tabs>
          <w:tab w:leader="none" w:pos="2080" w:val="left"/>
        </w:tabs>
        <w:numPr>
          <w:ilvl w:val="2"/>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Vested Non-Exempt Awards.  </w:t>
      </w:r>
      <w:r>
        <w:rPr>
          <w:rFonts w:ascii="Arial" w:cs="Arial" w:eastAsia="Arial" w:hAnsi="Arial"/>
          <w:sz w:val="15"/>
          <w:szCs w:val="15"/>
          <w:color w:val="auto"/>
        </w:rPr>
        <w:t>The following provisions shall apply to any Vested Non-Exempt Award in connection with a</w:t>
      </w:r>
    </w:p>
    <w:p>
      <w:pPr>
        <w:spacing w:after="0" w:line="56"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Corporate Transaction:</w:t>
      </w:r>
    </w:p>
    <w:p>
      <w:pPr>
        <w:spacing w:after="0" w:line="205" w:lineRule="exact"/>
        <w:rPr>
          <w:rFonts w:ascii="Arial" w:cs="Arial" w:eastAsia="Arial" w:hAnsi="Arial"/>
          <w:sz w:val="15"/>
          <w:szCs w:val="15"/>
          <w:b w:val="1"/>
          <w:bCs w:val="1"/>
          <w:color w:val="auto"/>
        </w:rPr>
      </w:pPr>
    </w:p>
    <w:p>
      <w:pPr>
        <w:jc w:val="both"/>
        <w:ind w:firstLine="1914"/>
        <w:spacing w:after="0" w:line="250" w:lineRule="auto"/>
        <w:tabs>
          <w:tab w:leader="none" w:pos="2782" w:val="left"/>
        </w:tabs>
        <w:numPr>
          <w:ilvl w:val="3"/>
          <w:numId w:val="43"/>
        </w:numPr>
        <w:rPr>
          <w:rFonts w:ascii="Arial" w:cs="Arial" w:eastAsia="Arial" w:hAnsi="Arial"/>
          <w:sz w:val="18"/>
          <w:szCs w:val="18"/>
          <w:b w:val="1"/>
          <w:bCs w:val="1"/>
          <w:color w:val="auto"/>
        </w:rPr>
      </w:pPr>
      <w:r>
        <w:rPr>
          <w:rFonts w:ascii="Arial" w:cs="Arial" w:eastAsia="Arial" w:hAnsi="Arial"/>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93" w:lineRule="exact"/>
        <w:rPr>
          <w:rFonts w:ascii="Arial" w:cs="Arial" w:eastAsia="Arial" w:hAnsi="Arial"/>
          <w:sz w:val="18"/>
          <w:szCs w:val="18"/>
          <w:b w:val="1"/>
          <w:bCs w:val="1"/>
          <w:color w:val="auto"/>
        </w:rPr>
      </w:pPr>
    </w:p>
    <w:p>
      <w:pPr>
        <w:jc w:val="both"/>
        <w:ind w:firstLine="1914"/>
        <w:spacing w:after="0" w:line="267" w:lineRule="auto"/>
        <w:tabs>
          <w:tab w:leader="none" w:pos="2592" w:val="left"/>
        </w:tabs>
        <w:numPr>
          <w:ilvl w:val="3"/>
          <w:numId w:val="43"/>
        </w:numPr>
        <w:rPr>
          <w:rFonts w:ascii="Arial" w:cs="Arial" w:eastAsia="Arial" w:hAnsi="Arial"/>
          <w:sz w:val="17"/>
          <w:szCs w:val="17"/>
          <w:b w:val="1"/>
          <w:bCs w:val="1"/>
          <w:color w:val="auto"/>
        </w:rPr>
      </w:pPr>
      <w:r>
        <w:rPr>
          <w:rFonts w:ascii="Arial" w:cs="Arial" w:eastAsia="Arial" w:hAnsi="Arial"/>
          <w:sz w:val="17"/>
          <w:szCs w:val="17"/>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73" w:lineRule="exact"/>
        <w:rPr>
          <w:sz w:val="20"/>
          <w:szCs w:val="20"/>
          <w:color w:val="auto"/>
        </w:rPr>
      </w:pPr>
    </w:p>
    <w:p>
      <w:pPr>
        <w:ind w:firstLine="1278"/>
        <w:spacing w:after="0" w:line="271" w:lineRule="auto"/>
        <w:tabs>
          <w:tab w:leader="none" w:pos="1956"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Unvested Non-Exempt Awards. </w:t>
      </w:r>
      <w:r>
        <w:rPr>
          <w:rFonts w:ascii="Arial" w:cs="Arial" w:eastAsia="Arial" w:hAnsi="Arial"/>
          <w:sz w:val="18"/>
          <w:szCs w:val="18"/>
          <w:color w:val="auto"/>
        </w:rPr>
        <w:t>The following provisions shall apply to any Unvested Non-Exempt Award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pursuant to subsection (e) of this Section.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1002" w:right="339" w:bottom="1440" w:gutter="0" w:footer="0" w:header="0"/>
        </w:sectPr>
      </w:pPr>
    </w:p>
    <w:bookmarkStart w:id="33" w:name="page34"/>
    <w:bookmarkEnd w:id="33"/>
    <w:p>
      <w:pPr>
        <w:jc w:val="both"/>
        <w:ind w:firstLine="1914"/>
        <w:spacing w:after="0" w:line="306" w:lineRule="auto"/>
        <w:tabs>
          <w:tab w:leader="none" w:pos="2624" w:val="left"/>
        </w:tabs>
        <w:numPr>
          <w:ilvl w:val="2"/>
          <w:numId w:val="45"/>
        </w:numPr>
        <w:rPr>
          <w:rFonts w:ascii="Arial" w:cs="Arial" w:eastAsia="Arial" w:hAnsi="Arial"/>
          <w:sz w:val="15"/>
          <w:szCs w:val="15"/>
          <w:b w:val="1"/>
          <w:bCs w:val="1"/>
          <w:color w:val="auto"/>
        </w:rPr>
      </w:pPr>
      <w:r>
        <w:rPr>
          <w:rFonts w:ascii="Arial" w:cs="Arial" w:eastAsia="Arial" w:hAnsi="Arial"/>
          <w:sz w:val="15"/>
          <w:szCs w:val="15"/>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56" w:lineRule="exact"/>
        <w:rPr>
          <w:rFonts w:ascii="Arial" w:cs="Arial" w:eastAsia="Arial" w:hAnsi="Arial"/>
          <w:sz w:val="15"/>
          <w:szCs w:val="15"/>
          <w:b w:val="1"/>
          <w:bCs w:val="1"/>
          <w:color w:val="auto"/>
        </w:rPr>
      </w:pPr>
    </w:p>
    <w:p>
      <w:pPr>
        <w:jc w:val="both"/>
        <w:ind w:firstLine="1914"/>
        <w:spacing w:after="0" w:line="265" w:lineRule="auto"/>
        <w:tabs>
          <w:tab w:leader="none" w:pos="2683" w:val="left"/>
        </w:tabs>
        <w:numPr>
          <w:ilvl w:val="2"/>
          <w:numId w:val="45"/>
        </w:numPr>
        <w:rPr>
          <w:rFonts w:ascii="Arial" w:cs="Arial" w:eastAsia="Arial" w:hAnsi="Arial"/>
          <w:sz w:val="17"/>
          <w:szCs w:val="17"/>
          <w:b w:val="1"/>
          <w:bCs w:val="1"/>
          <w:color w:val="auto"/>
        </w:rPr>
      </w:pPr>
      <w:r>
        <w:rPr>
          <w:rFonts w:ascii="Arial" w:cs="Arial" w:eastAsia="Arial" w:hAnsi="Arial"/>
          <w:sz w:val="17"/>
          <w:szCs w:val="17"/>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81" w:lineRule="exact"/>
        <w:rPr>
          <w:rFonts w:ascii="Arial" w:cs="Arial" w:eastAsia="Arial" w:hAnsi="Arial"/>
          <w:sz w:val="17"/>
          <w:szCs w:val="17"/>
          <w:b w:val="1"/>
          <w:bCs w:val="1"/>
          <w:color w:val="auto"/>
        </w:rPr>
      </w:pPr>
    </w:p>
    <w:p>
      <w:pPr>
        <w:ind w:firstLine="1914"/>
        <w:spacing w:after="0" w:line="264" w:lineRule="auto"/>
        <w:tabs>
          <w:tab w:leader="none" w:pos="2647" w:val="left"/>
        </w:tabs>
        <w:numPr>
          <w:ilvl w:val="2"/>
          <w:numId w:val="45"/>
        </w:numPr>
        <w:rPr>
          <w:rFonts w:ascii="Arial" w:cs="Arial" w:eastAsia="Arial" w:hAnsi="Arial"/>
          <w:sz w:val="18"/>
          <w:szCs w:val="18"/>
          <w:b w:val="1"/>
          <w:bCs w:val="1"/>
          <w:color w:val="auto"/>
        </w:rPr>
      </w:pPr>
      <w:r>
        <w:rPr>
          <w:rFonts w:ascii="Arial" w:cs="Arial" w:eastAsia="Arial" w:hAnsi="Arial"/>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174" w:lineRule="exact"/>
        <w:rPr>
          <w:rFonts w:ascii="Arial" w:cs="Arial" w:eastAsia="Arial" w:hAnsi="Arial"/>
          <w:sz w:val="18"/>
          <w:szCs w:val="18"/>
          <w:b w:val="1"/>
          <w:bCs w:val="1"/>
          <w:color w:val="auto"/>
        </w:rPr>
      </w:pPr>
    </w:p>
    <w:p>
      <w:pPr>
        <w:jc w:val="both"/>
        <w:ind w:firstLine="642"/>
        <w:spacing w:after="0" w:line="258" w:lineRule="auto"/>
        <w:tabs>
          <w:tab w:leader="none" w:pos="1395"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Treatment of Non-Exempt Awards Upon a Corporate Transaction for Non-Employee Directors. </w:t>
      </w:r>
      <w:r>
        <w:rPr>
          <w:rFonts w:ascii="Arial" w:cs="Arial" w:eastAsia="Arial" w:hAnsi="Arial"/>
          <w:sz w:val="18"/>
          <w:szCs w:val="18"/>
          <w:color w:val="auto"/>
        </w:rPr>
        <w:t>The following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86" w:lineRule="exact"/>
        <w:rPr>
          <w:rFonts w:ascii="Arial" w:cs="Arial" w:eastAsia="Arial" w:hAnsi="Arial"/>
          <w:sz w:val="18"/>
          <w:szCs w:val="18"/>
          <w:b w:val="1"/>
          <w:bCs w:val="1"/>
          <w:color w:val="auto"/>
        </w:rPr>
      </w:pPr>
    </w:p>
    <w:p>
      <w:pPr>
        <w:jc w:val="both"/>
        <w:ind w:firstLine="1278"/>
        <w:spacing w:after="0" w:line="268" w:lineRule="auto"/>
        <w:tabs>
          <w:tab w:leader="none" w:pos="1951" w:val="left"/>
        </w:tabs>
        <w:numPr>
          <w:ilvl w:val="1"/>
          <w:numId w:val="46"/>
        </w:numPr>
        <w:rPr>
          <w:rFonts w:ascii="Arial" w:cs="Arial" w:eastAsia="Arial" w:hAnsi="Arial"/>
          <w:sz w:val="17"/>
          <w:szCs w:val="17"/>
          <w:b w:val="1"/>
          <w:bCs w:val="1"/>
          <w:color w:val="auto"/>
        </w:rPr>
      </w:pPr>
      <w:r>
        <w:rPr>
          <w:rFonts w:ascii="Arial" w:cs="Arial" w:eastAsia="Arial" w:hAnsi="Arial"/>
          <w:sz w:val="17"/>
          <w:szCs w:val="17"/>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1002" w:right="339" w:bottom="1440" w:gutter="0" w:footer="0" w:header="0"/>
        </w:sectPr>
      </w:pPr>
    </w:p>
    <w:bookmarkStart w:id="34" w:name="page35"/>
    <w:bookmarkEnd w:id="34"/>
    <w:p>
      <w:pPr>
        <w:jc w:val="both"/>
        <w:ind w:firstLine="1278"/>
        <w:spacing w:after="0" w:line="306" w:lineRule="auto"/>
        <w:tabs>
          <w:tab w:leader="none" w:pos="1767" w:val="left"/>
        </w:tabs>
        <w:numPr>
          <w:ilvl w:val="1"/>
          <w:numId w:val="47"/>
        </w:numPr>
        <w:rPr>
          <w:rFonts w:ascii="Arial" w:cs="Arial" w:eastAsia="Arial" w:hAnsi="Arial"/>
          <w:sz w:val="15"/>
          <w:szCs w:val="15"/>
          <w:b w:val="1"/>
          <w:bCs w:val="1"/>
          <w:color w:val="auto"/>
        </w:rPr>
      </w:pPr>
      <w:r>
        <w:rPr>
          <w:rFonts w:ascii="Arial" w:cs="Arial" w:eastAsia="Arial" w:hAnsi="Arial"/>
          <w:sz w:val="15"/>
          <w:szCs w:val="15"/>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56" w:lineRule="exact"/>
        <w:rPr>
          <w:rFonts w:ascii="Arial" w:cs="Arial" w:eastAsia="Arial" w:hAnsi="Arial"/>
          <w:sz w:val="15"/>
          <w:szCs w:val="15"/>
          <w:b w:val="1"/>
          <w:bCs w:val="1"/>
          <w:color w:val="auto"/>
        </w:rPr>
      </w:pPr>
    </w:p>
    <w:p>
      <w:pPr>
        <w:ind w:firstLine="642"/>
        <w:spacing w:after="0" w:line="264" w:lineRule="auto"/>
        <w:tabs>
          <w:tab w:leader="none" w:pos="1313"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80" w:lineRule="exact"/>
        <w:rPr>
          <w:rFonts w:ascii="Arial" w:cs="Arial" w:eastAsia="Arial" w:hAnsi="Arial"/>
          <w:sz w:val="18"/>
          <w:szCs w:val="18"/>
          <w:b w:val="1"/>
          <w:bCs w:val="1"/>
          <w:color w:val="auto"/>
        </w:rPr>
      </w:pPr>
    </w:p>
    <w:p>
      <w:pPr>
        <w:jc w:val="both"/>
        <w:ind w:firstLine="1278"/>
        <w:spacing w:after="0" w:line="255" w:lineRule="auto"/>
        <w:tabs>
          <w:tab w:leader="none" w:pos="1904"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Any exercise by the Board of discretion to accelerate the vesting of a Non-Exempt Award shall not result in any acceleration of the scheduled issuance dates for the shares in respect of the Non-Exempt Award unless the earlier issuance of the shares upon the applicable vesting dates would be in compliance with the requirements of Section 409A.</w:t>
      </w:r>
    </w:p>
    <w:p>
      <w:pPr>
        <w:spacing w:after="0" w:line="188" w:lineRule="exact"/>
        <w:rPr>
          <w:sz w:val="20"/>
          <w:szCs w:val="20"/>
          <w:color w:val="auto"/>
        </w:rPr>
      </w:pPr>
    </w:p>
    <w:p>
      <w:pPr>
        <w:ind w:firstLine="1278"/>
        <w:spacing w:after="0" w:line="294" w:lineRule="auto"/>
        <w:tabs>
          <w:tab w:leader="none" w:pos="194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57" w:lineRule="exact"/>
        <w:rPr>
          <w:rFonts w:ascii="Arial" w:cs="Arial" w:eastAsia="Arial" w:hAnsi="Arial"/>
          <w:sz w:val="17"/>
          <w:szCs w:val="17"/>
          <w:b w:val="1"/>
          <w:bCs w:val="1"/>
          <w:color w:val="auto"/>
        </w:rPr>
      </w:pPr>
    </w:p>
    <w:p>
      <w:pPr>
        <w:jc w:val="both"/>
        <w:ind w:firstLine="1278"/>
        <w:spacing w:after="0" w:line="305" w:lineRule="auto"/>
        <w:tabs>
          <w:tab w:leader="none" w:pos="1849" w:val="left"/>
        </w:tabs>
        <w:numPr>
          <w:ilvl w:val="0"/>
          <w:numId w:val="49"/>
        </w:numPr>
        <w:rPr>
          <w:rFonts w:ascii="Arial" w:cs="Arial" w:eastAsia="Arial" w:hAnsi="Arial"/>
          <w:sz w:val="15"/>
          <w:szCs w:val="15"/>
          <w:b w:val="1"/>
          <w:bCs w:val="1"/>
          <w:color w:val="auto"/>
        </w:rPr>
      </w:pPr>
      <w:r>
        <w:rPr>
          <w:rFonts w:ascii="Arial" w:cs="Arial" w:eastAsia="Arial" w:hAnsi="Arial"/>
          <w:sz w:val="15"/>
          <w:szCs w:val="15"/>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54" w:lineRule="exact"/>
        <w:rPr>
          <w:rFonts w:ascii="Arial" w:cs="Arial" w:eastAsia="Arial" w:hAnsi="Arial"/>
          <w:sz w:val="15"/>
          <w:szCs w:val="15"/>
          <w:b w:val="1"/>
          <w:bCs w:val="1"/>
          <w:color w:val="auto"/>
        </w:rPr>
      </w:pPr>
    </w:p>
    <w:p>
      <w:pPr>
        <w:jc w:val="both"/>
        <w:ind w:firstLine="1278"/>
        <w:spacing w:after="0" w:line="277" w:lineRule="auto"/>
        <w:tabs>
          <w:tab w:leader="none" w:pos="1888"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1002" w:right="339" w:bottom="1440" w:gutter="0" w:footer="0" w:header="0"/>
        </w:sectPr>
      </w:pPr>
    </w:p>
    <w:bookmarkStart w:id="35" w:name="page36"/>
    <w:bookmarkEnd w:id="35"/>
    <w:p>
      <w:pPr>
        <w:ind w:left="660" w:hanging="654"/>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1" w:lineRule="exact"/>
        <w:rPr>
          <w:sz w:val="20"/>
          <w:szCs w:val="20"/>
          <w:color w:val="auto"/>
        </w:rPr>
      </w:pPr>
    </w:p>
    <w:p>
      <w:pPr>
        <w:ind w:left="660" w:hanging="654"/>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the Plan.</w:t>
      </w:r>
    </w:p>
    <w:p>
      <w:pPr>
        <w:spacing w:after="0" w:line="22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996" w:right="339" w:bottom="1440" w:gutter="0" w:footer="0" w:header="0"/>
        </w:sectPr>
      </w:pPr>
    </w:p>
    <w:bookmarkStart w:id="36" w:name="page37"/>
    <w:bookmarkEnd w:id="36"/>
    <w:p>
      <w:pPr>
        <w:ind w:left="660" w:hanging="654"/>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the Plan, the following definitions apply to the capitalized terms indicated below:</w:t>
      </w:r>
    </w:p>
    <w:p>
      <w:pPr>
        <w:spacing w:after="0" w:line="217" w:lineRule="exact"/>
        <w:rPr>
          <w:sz w:val="20"/>
          <w:szCs w:val="20"/>
          <w:color w:val="auto"/>
        </w:rPr>
      </w:pPr>
    </w:p>
    <w:p>
      <w:pPr>
        <w:ind w:left="1280" w:hanging="638"/>
        <w:spacing w:after="0"/>
        <w:tabs>
          <w:tab w:leader="none" w:pos="1280"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Acquiring Entity</w:t>
      </w:r>
      <w:r>
        <w:rPr>
          <w:rFonts w:ascii="Arial" w:cs="Arial" w:eastAsia="Arial" w:hAnsi="Arial"/>
          <w:sz w:val="17"/>
          <w:szCs w:val="17"/>
          <w:color w:val="auto"/>
        </w:rPr>
        <w:t>” means the surviving or acquiring corporation (or its parent company) in connection with a Corporate Transaction.</w:t>
      </w:r>
    </w:p>
    <w:p>
      <w:pPr>
        <w:spacing w:after="0" w:line="228" w:lineRule="exact"/>
        <w:rPr>
          <w:rFonts w:ascii="Arial" w:cs="Arial" w:eastAsia="Arial" w:hAnsi="Arial"/>
          <w:sz w:val="17"/>
          <w:szCs w:val="17"/>
          <w:b w:val="1"/>
          <w:bCs w:val="1"/>
          <w:color w:val="auto"/>
        </w:rPr>
      </w:pPr>
    </w:p>
    <w:p>
      <w:pPr>
        <w:ind w:left="1300" w:hanging="658"/>
        <w:spacing w:after="0"/>
        <w:tabs>
          <w:tab w:leader="none" w:pos="130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Adoption Date</w:t>
      </w:r>
      <w:r>
        <w:rPr>
          <w:rFonts w:ascii="Arial" w:cs="Arial" w:eastAsia="Arial" w:hAnsi="Arial"/>
          <w:sz w:val="18"/>
          <w:szCs w:val="18"/>
          <w:color w:val="auto"/>
        </w:rPr>
        <w:t>” means the date the Plan is first approved by the Board or Compensation Committee.</w:t>
      </w:r>
    </w:p>
    <w:p>
      <w:pPr>
        <w:spacing w:after="0" w:line="217" w:lineRule="exact"/>
        <w:rPr>
          <w:rFonts w:ascii="Arial" w:cs="Arial" w:eastAsia="Arial" w:hAnsi="Arial"/>
          <w:sz w:val="18"/>
          <w:szCs w:val="18"/>
          <w:b w:val="1"/>
          <w:bCs w:val="1"/>
          <w:color w:val="auto"/>
        </w:rPr>
      </w:pPr>
    </w:p>
    <w:p>
      <w:pPr>
        <w:jc w:val="both"/>
        <w:ind w:firstLine="642"/>
        <w:spacing w:after="0" w:line="255" w:lineRule="auto"/>
        <w:tabs>
          <w:tab w:leader="none" w:pos="1485"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88" w:lineRule="exact"/>
        <w:rPr>
          <w:rFonts w:ascii="Arial" w:cs="Arial" w:eastAsia="Arial" w:hAnsi="Arial"/>
          <w:sz w:val="18"/>
          <w:szCs w:val="18"/>
          <w:b w:val="1"/>
          <w:bCs w:val="1"/>
          <w:color w:val="auto"/>
        </w:rPr>
      </w:pPr>
    </w:p>
    <w:p>
      <w:pPr>
        <w:jc w:val="both"/>
        <w:ind w:firstLine="642"/>
        <w:spacing w:after="0" w:line="318" w:lineRule="auto"/>
        <w:tabs>
          <w:tab w:leader="none" w:pos="1377" w:val="left"/>
        </w:tabs>
        <w:numPr>
          <w:ilvl w:val="0"/>
          <w:numId w:val="53"/>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Applicable Law</w:t>
      </w:r>
      <w:r>
        <w:rPr>
          <w:rFonts w:ascii="Arial" w:cs="Arial" w:eastAsia="Arial" w:hAnsi="Arial"/>
          <w:sz w:val="15"/>
          <w:szCs w:val="15"/>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45" w:lineRule="exact"/>
        <w:rPr>
          <w:rFonts w:ascii="Arial" w:cs="Arial" w:eastAsia="Arial" w:hAnsi="Arial"/>
          <w:sz w:val="15"/>
          <w:szCs w:val="15"/>
          <w:b w:val="1"/>
          <w:bCs w:val="1"/>
          <w:color w:val="auto"/>
        </w:rPr>
      </w:pPr>
    </w:p>
    <w:p>
      <w:pPr>
        <w:ind w:firstLine="642"/>
        <w:spacing w:after="0" w:line="294" w:lineRule="auto"/>
        <w:tabs>
          <w:tab w:leader="none" w:pos="1326"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any right to receive Common Stock, cash or other property granted under the Plan (including an Incentive Stock Option, a Nonstatutory Stock Option, a Restricted Stock Award, an RSU Award, a SAR, OpCo Units, a Performance Award or any Other Award).</w:t>
      </w:r>
    </w:p>
    <w:p>
      <w:pPr>
        <w:spacing w:after="0" w:line="157" w:lineRule="exact"/>
        <w:rPr>
          <w:rFonts w:ascii="Arial" w:cs="Arial" w:eastAsia="Arial" w:hAnsi="Arial"/>
          <w:sz w:val="17"/>
          <w:szCs w:val="17"/>
          <w:b w:val="1"/>
          <w:bCs w:val="1"/>
          <w:color w:val="auto"/>
        </w:rPr>
      </w:pPr>
    </w:p>
    <w:p>
      <w:pPr>
        <w:jc w:val="both"/>
        <w:ind w:firstLine="642"/>
        <w:spacing w:after="0" w:line="255" w:lineRule="auto"/>
        <w:tabs>
          <w:tab w:leader="none" w:pos="1263"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88" w:lineRule="exact"/>
        <w:rPr>
          <w:rFonts w:ascii="Arial" w:cs="Arial" w:eastAsia="Arial" w:hAnsi="Arial"/>
          <w:sz w:val="18"/>
          <w:szCs w:val="18"/>
          <w:b w:val="1"/>
          <w:bCs w:val="1"/>
          <w:color w:val="auto"/>
        </w:rPr>
      </w:pPr>
    </w:p>
    <w:p>
      <w:pPr>
        <w:jc w:val="both"/>
        <w:ind w:firstLine="642"/>
        <w:spacing w:after="0" w:line="255" w:lineRule="auto"/>
        <w:tabs>
          <w:tab w:leader="none" w:pos="1416"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88" w:lineRule="exact"/>
        <w:rPr>
          <w:rFonts w:ascii="Arial" w:cs="Arial" w:eastAsia="Arial" w:hAnsi="Arial"/>
          <w:sz w:val="18"/>
          <w:szCs w:val="18"/>
          <w:b w:val="1"/>
          <w:bCs w:val="1"/>
          <w:color w:val="auto"/>
        </w:rPr>
      </w:pPr>
    </w:p>
    <w:p>
      <w:pPr>
        <w:jc w:val="both"/>
        <w:ind w:firstLine="642"/>
        <w:spacing w:after="0" w:line="309" w:lineRule="auto"/>
        <w:tabs>
          <w:tab w:leader="none" w:pos="1231" w:val="left"/>
        </w:tabs>
        <w:numPr>
          <w:ilvl w:val="0"/>
          <w:numId w:val="53"/>
        </w:numPr>
        <w:rPr>
          <w:rFonts w:ascii="Arial" w:cs="Arial" w:eastAsia="Arial" w:hAnsi="Arial"/>
          <w:sz w:val="15"/>
          <w:szCs w:val="15"/>
          <w:b w:val="1"/>
          <w:bCs w:val="1"/>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Capitalization Adjustment</w:t>
      </w:r>
      <w:r>
        <w:rPr>
          <w:rFonts w:ascii="Arial" w:cs="Arial" w:eastAsia="Arial" w:hAnsi="Arial"/>
          <w:sz w:val="15"/>
          <w:szCs w:val="15"/>
          <w:color w:val="auto"/>
        </w:rPr>
        <w:t>” means any change that is made in, or other events that occur with respect to, the Common Stock subject to the</w:t>
      </w:r>
      <w:r>
        <w:rPr>
          <w:rFonts w:ascii="Arial" w:cs="Arial" w:eastAsia="Arial" w:hAnsi="Arial"/>
          <w:sz w:val="15"/>
          <w:szCs w:val="15"/>
          <w:i w:val="1"/>
          <w:iCs w:val="1"/>
          <w:color w:val="auto"/>
        </w:rPr>
        <w:t xml:space="preserve"> </w:t>
      </w:r>
      <w:r>
        <w:rPr>
          <w:rFonts w:ascii="Arial" w:cs="Arial" w:eastAsia="Arial" w:hAnsi="Arial"/>
          <w:sz w:val="15"/>
          <w:szCs w:val="15"/>
          <w:color w:val="auto"/>
        </w:rPr>
        <w:t>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996" w:right="339" w:bottom="1440" w:gutter="0" w:footer="0" w:header="0"/>
        </w:sectPr>
      </w:pPr>
    </w:p>
    <w:bookmarkStart w:id="37" w:name="page38"/>
    <w:bookmarkEnd w:id="37"/>
    <w:p>
      <w:pPr>
        <w:jc w:val="both"/>
        <w:ind w:firstLine="642"/>
        <w:spacing w:after="0" w:line="302" w:lineRule="auto"/>
        <w:tabs>
          <w:tab w:leader="none" w:pos="1253" w:val="left"/>
        </w:tabs>
        <w:numPr>
          <w:ilvl w:val="0"/>
          <w:numId w:val="54"/>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Cause</w:t>
      </w:r>
      <w:r>
        <w:rPr>
          <w:rFonts w:ascii="Arial" w:cs="Arial" w:eastAsia="Arial" w:hAnsi="Arial"/>
          <w:sz w:val="15"/>
          <w:szCs w:val="15"/>
          <w:color w:val="auto"/>
        </w:rPr>
        <w:t xml:space="preserve">” has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(or attempted commission of), or participation in, a fraud or act of dishonesty against the Company; (ii) such Participant’s material violation of any contract or agreement between the Participant and the Company or of any statutory duty owed to the Company; (iii) such Participant’s unauthorized use or disclosure of the Company’s confidential information or trade secrets; (iv) such Participant’s gross or willful misconduct; or (v) such Participant’s conviction of, or plea of </w:t>
      </w:r>
      <w:r>
        <w:rPr>
          <w:rFonts w:ascii="Arial" w:cs="Arial" w:eastAsia="Arial" w:hAnsi="Arial"/>
          <w:sz w:val="15"/>
          <w:szCs w:val="15"/>
          <w:i w:val="1"/>
          <w:iCs w:val="1"/>
          <w:color w:val="auto"/>
        </w:rPr>
        <w:t>nolo contendere</w:t>
      </w:r>
      <w:r>
        <w:rPr>
          <w:rFonts w:ascii="Arial" w:cs="Arial" w:eastAsia="Arial" w:hAnsi="Arial"/>
          <w:sz w:val="15"/>
          <w:szCs w:val="15"/>
          <w:color w:val="auto"/>
        </w:rPr>
        <w:t xml:space="preserve"> to, a felony or crime of moral turpitude.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61" w:lineRule="exact"/>
        <w:rPr>
          <w:rFonts w:ascii="Arial" w:cs="Arial" w:eastAsia="Arial" w:hAnsi="Arial"/>
          <w:sz w:val="15"/>
          <w:szCs w:val="15"/>
          <w:b w:val="1"/>
          <w:bCs w:val="1"/>
          <w:color w:val="auto"/>
        </w:rPr>
      </w:pPr>
    </w:p>
    <w:p>
      <w:pPr>
        <w:jc w:val="both"/>
        <w:ind w:firstLine="642"/>
        <w:spacing w:after="0" w:line="255" w:lineRule="auto"/>
        <w:tabs>
          <w:tab w:leader="none" w:pos="128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or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88" w:lineRule="exact"/>
        <w:rPr>
          <w:rFonts w:ascii="Arial" w:cs="Arial" w:eastAsia="Arial" w:hAnsi="Arial"/>
          <w:sz w:val="18"/>
          <w:szCs w:val="18"/>
          <w:b w:val="1"/>
          <w:bCs w:val="1"/>
          <w:color w:val="auto"/>
        </w:rPr>
      </w:pPr>
    </w:p>
    <w:p>
      <w:pPr>
        <w:jc w:val="both"/>
        <w:ind w:firstLine="1278"/>
        <w:spacing w:after="0" w:line="302" w:lineRule="auto"/>
        <w:tabs>
          <w:tab w:leader="none" w:pos="1949" w:val="left"/>
        </w:tabs>
        <w:numPr>
          <w:ilvl w:val="1"/>
          <w:numId w:val="54"/>
        </w:numPr>
        <w:rPr>
          <w:rFonts w:ascii="Arial" w:cs="Arial" w:eastAsia="Arial" w:hAnsi="Arial"/>
          <w:sz w:val="15"/>
          <w:szCs w:val="15"/>
          <w:b w:val="1"/>
          <w:bCs w:val="1"/>
          <w:color w:val="auto"/>
        </w:rPr>
      </w:pPr>
      <w:r>
        <w:rPr>
          <w:rFonts w:ascii="Arial" w:cs="Arial" w:eastAsia="Arial" w:hAnsi="Arial"/>
          <w:sz w:val="15"/>
          <w:szCs w:val="15"/>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5"/>
          <w:szCs w:val="15"/>
          <w:i w:val="1"/>
          <w:iCs w:val="1"/>
          <w:color w:val="auto"/>
        </w:rPr>
        <w:t>Subject Person</w:t>
      </w:r>
      <w:r>
        <w:rPr>
          <w:rFonts w:ascii="Arial" w:cs="Arial" w:eastAsia="Arial" w:hAnsi="Arial"/>
          <w:sz w:val="15"/>
          <w:szCs w:val="15"/>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1002" w:right="339" w:bottom="1440" w:gutter="0" w:footer="0" w:header="0"/>
        </w:sectPr>
      </w:pPr>
    </w:p>
    <w:bookmarkStart w:id="38" w:name="page39"/>
    <w:bookmarkEnd w:id="38"/>
    <w:p>
      <w:pPr>
        <w:jc w:val="both"/>
        <w:ind w:firstLine="1278"/>
        <w:spacing w:after="0" w:line="267" w:lineRule="auto"/>
        <w:tabs>
          <w:tab w:leader="none" w:pos="2223" w:val="left"/>
        </w:tabs>
        <w:numPr>
          <w:ilvl w:val="0"/>
          <w:numId w:val="55"/>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79" w:lineRule="exact"/>
        <w:rPr>
          <w:rFonts w:ascii="Arial" w:cs="Arial" w:eastAsia="Arial" w:hAnsi="Arial"/>
          <w:sz w:val="17"/>
          <w:szCs w:val="17"/>
          <w:b w:val="1"/>
          <w:bCs w:val="1"/>
          <w:color w:val="auto"/>
        </w:rPr>
      </w:pPr>
    </w:p>
    <w:p>
      <w:pPr>
        <w:jc w:val="both"/>
        <w:ind w:firstLine="1278"/>
        <w:spacing w:after="0" w:line="250" w:lineRule="auto"/>
        <w:tabs>
          <w:tab w:leader="none" w:pos="1855"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93" w:lineRule="exact"/>
        <w:rPr>
          <w:rFonts w:ascii="Arial" w:cs="Arial" w:eastAsia="Arial" w:hAnsi="Arial"/>
          <w:sz w:val="18"/>
          <w:szCs w:val="18"/>
          <w:b w:val="1"/>
          <w:bCs w:val="1"/>
          <w:color w:val="auto"/>
        </w:rPr>
      </w:pPr>
    </w:p>
    <w:p>
      <w:pPr>
        <w:jc w:val="both"/>
        <w:ind w:firstLine="1278"/>
        <w:spacing w:after="0" w:line="252" w:lineRule="auto"/>
        <w:tabs>
          <w:tab w:leader="none" w:pos="1945"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individuals who, on the date the Plan is adopted by the Board,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91"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that is specifically intended to apply to an Award granted under the Plan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81" w:lineRule="exact"/>
        <w:rPr>
          <w:sz w:val="20"/>
          <w:szCs w:val="20"/>
          <w:color w:val="auto"/>
        </w:rPr>
      </w:pPr>
    </w:p>
    <w:p>
      <w:pPr>
        <w:ind w:left="1300" w:hanging="658"/>
        <w:spacing w:after="0"/>
        <w:tabs>
          <w:tab w:leader="none" w:pos="1300" w:val="left"/>
        </w:tabs>
        <w:numPr>
          <w:ilvl w:val="0"/>
          <w:numId w:val="5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 thereunder.</w:t>
      </w:r>
    </w:p>
    <w:p>
      <w:pPr>
        <w:spacing w:after="0" w:line="228" w:lineRule="exact"/>
        <w:rPr>
          <w:rFonts w:ascii="Arial" w:cs="Arial" w:eastAsia="Arial" w:hAnsi="Arial"/>
          <w:sz w:val="17"/>
          <w:szCs w:val="17"/>
          <w:b w:val="1"/>
          <w:bCs w:val="1"/>
          <w:color w:val="auto"/>
        </w:rPr>
      </w:pPr>
    </w:p>
    <w:p>
      <w:pPr>
        <w:ind w:firstLine="642"/>
        <w:spacing w:after="0" w:line="264" w:lineRule="auto"/>
        <w:tabs>
          <w:tab w:leader="none" w:pos="1182"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and any other committee of Directors to whom authority has been delegated by the Board or Compensation Committee in accordance with the Plan.</w:t>
      </w:r>
    </w:p>
    <w:p>
      <w:pPr>
        <w:spacing w:after="0" w:line="180" w:lineRule="exact"/>
        <w:rPr>
          <w:rFonts w:ascii="Arial" w:cs="Arial" w:eastAsia="Arial" w:hAnsi="Arial"/>
          <w:sz w:val="18"/>
          <w:szCs w:val="18"/>
          <w:b w:val="1"/>
          <w:bCs w:val="1"/>
          <w:color w:val="auto"/>
        </w:rPr>
      </w:pPr>
    </w:p>
    <w:p>
      <w:pPr>
        <w:ind w:left="1260" w:hanging="618"/>
        <w:spacing w:after="0"/>
        <w:tabs>
          <w:tab w:leader="none" w:pos="126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A common stock of the Company.</w:t>
      </w:r>
    </w:p>
    <w:p>
      <w:pPr>
        <w:spacing w:after="0" w:line="217" w:lineRule="exact"/>
        <w:rPr>
          <w:rFonts w:ascii="Arial" w:cs="Arial" w:eastAsia="Arial" w:hAnsi="Arial"/>
          <w:sz w:val="18"/>
          <w:szCs w:val="18"/>
          <w:b w:val="1"/>
          <w:bCs w:val="1"/>
          <w:color w:val="auto"/>
        </w:rPr>
      </w:pPr>
    </w:p>
    <w:p>
      <w:pPr>
        <w:ind w:left="1300" w:hanging="658"/>
        <w:spacing w:after="0"/>
        <w:tabs>
          <w:tab w:leader="none" w:pos="130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WM Technology, Inc., a Delaware corporation.</w:t>
      </w:r>
    </w:p>
    <w:p>
      <w:pPr>
        <w:spacing w:after="0" w:line="217" w:lineRule="exact"/>
        <w:rPr>
          <w:rFonts w:ascii="Arial" w:cs="Arial" w:eastAsia="Arial" w:hAnsi="Arial"/>
          <w:sz w:val="18"/>
          <w:szCs w:val="18"/>
          <w:b w:val="1"/>
          <w:bCs w:val="1"/>
          <w:color w:val="auto"/>
        </w:rPr>
      </w:pPr>
    </w:p>
    <w:p>
      <w:pPr>
        <w:ind w:left="1280" w:hanging="638"/>
        <w:spacing w:after="0"/>
        <w:tabs>
          <w:tab w:leader="none" w:pos="128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means the Compensation Committee of the Board.</w:t>
      </w:r>
    </w:p>
    <w:p>
      <w:pPr>
        <w:spacing w:after="0" w:line="217" w:lineRule="exact"/>
        <w:rPr>
          <w:rFonts w:ascii="Arial" w:cs="Arial" w:eastAsia="Arial" w:hAnsi="Arial"/>
          <w:sz w:val="18"/>
          <w:szCs w:val="18"/>
          <w:b w:val="1"/>
          <w:bCs w:val="1"/>
          <w:color w:val="auto"/>
        </w:rPr>
      </w:pPr>
    </w:p>
    <w:p>
      <w:pPr>
        <w:jc w:val="both"/>
        <w:ind w:firstLine="642"/>
        <w:spacing w:after="0" w:line="268" w:lineRule="auto"/>
        <w:tabs>
          <w:tab w:leader="none" w:pos="1346" w:val="left"/>
        </w:tabs>
        <w:numPr>
          <w:ilvl w:val="0"/>
          <w:numId w:val="5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1002" w:right="339" w:bottom="1440" w:gutter="0" w:footer="0" w:header="0"/>
        </w:sectPr>
      </w:pPr>
    </w:p>
    <w:bookmarkStart w:id="39" w:name="page40"/>
    <w:bookmarkEnd w:id="39"/>
    <w:p>
      <w:pPr>
        <w:jc w:val="both"/>
        <w:ind w:firstLine="642"/>
        <w:spacing w:after="0" w:line="300" w:lineRule="auto"/>
        <w:tabs>
          <w:tab w:leader="none" w:pos="1457" w:val="left"/>
        </w:tabs>
        <w:numPr>
          <w:ilvl w:val="0"/>
          <w:numId w:val="57"/>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Continuous Service</w:t>
      </w:r>
      <w:r>
        <w:rPr>
          <w:rFonts w:ascii="Arial" w:cs="Arial" w:eastAsia="Arial" w:hAnsi="Arial"/>
          <w:sz w:val="15"/>
          <w:szCs w:val="15"/>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(unless otherwise determined by the Board in its sole discretion); provided, however</w:t>
      </w:r>
      <w:r>
        <w:rPr>
          <w:rFonts w:ascii="Arial" w:cs="Arial" w:eastAsia="Arial" w:hAnsi="Arial"/>
          <w:sz w:val="15"/>
          <w:szCs w:val="15"/>
          <w:i w:val="1"/>
          <w:iCs w:val="1"/>
          <w:color w:val="auto"/>
        </w:rPr>
        <w:t>,</w:t>
      </w:r>
      <w:r>
        <w:rPr>
          <w:rFonts w:ascii="Arial" w:cs="Arial" w:eastAsia="Arial" w:hAnsi="Arial"/>
          <w:sz w:val="15"/>
          <w:szCs w:val="15"/>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(unless otherwise determined by the Board in its sole discretion).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373" w:lineRule="exact"/>
        <w:rPr>
          <w:rFonts w:ascii="Arial" w:cs="Arial" w:eastAsia="Arial" w:hAnsi="Arial"/>
          <w:sz w:val="15"/>
          <w:szCs w:val="15"/>
          <w:b w:val="1"/>
          <w:bCs w:val="1"/>
          <w:color w:val="auto"/>
        </w:rPr>
      </w:pPr>
    </w:p>
    <w:p>
      <w:pPr>
        <w:ind w:left="1340" w:hanging="698"/>
        <w:spacing w:after="0"/>
        <w:tabs>
          <w:tab w:leader="none" w:pos="1340" w:val="left"/>
        </w:tabs>
        <w:numPr>
          <w:ilvl w:val="0"/>
          <w:numId w:val="57"/>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Corporate Transaction</w:t>
      </w:r>
      <w:r>
        <w:rPr>
          <w:rFonts w:ascii="Arial" w:cs="Arial" w:eastAsia="Arial" w:hAnsi="Arial"/>
          <w:sz w:val="15"/>
          <w:szCs w:val="15"/>
          <w:color w:val="auto"/>
        </w:rPr>
        <w:t>” means the consummation, in a single transaction or in a series of related transactions, of any one or more of the</w:t>
      </w:r>
    </w:p>
    <w:p>
      <w:pPr>
        <w:spacing w:after="0" w:line="50"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following events:</w:t>
      </w:r>
    </w:p>
    <w:p>
      <w:pPr>
        <w:spacing w:after="0" w:line="205" w:lineRule="exact"/>
        <w:rPr>
          <w:rFonts w:ascii="Arial" w:cs="Arial" w:eastAsia="Arial" w:hAnsi="Arial"/>
          <w:sz w:val="15"/>
          <w:szCs w:val="15"/>
          <w:b w:val="1"/>
          <w:bCs w:val="1"/>
          <w:color w:val="auto"/>
        </w:rPr>
      </w:pPr>
    </w:p>
    <w:p>
      <w:pPr>
        <w:ind w:left="1940" w:hanging="662"/>
        <w:spacing w:after="0"/>
        <w:tabs>
          <w:tab w:leader="none" w:pos="1940" w:val="left"/>
        </w:tabs>
        <w:numPr>
          <w:ilvl w:val="1"/>
          <w:numId w:val="57"/>
        </w:numPr>
        <w:rPr>
          <w:rFonts w:ascii="Arial" w:cs="Arial" w:eastAsia="Arial" w:hAnsi="Arial"/>
          <w:sz w:val="15"/>
          <w:szCs w:val="15"/>
          <w:b w:val="1"/>
          <w:bCs w:val="1"/>
          <w:color w:val="auto"/>
        </w:rPr>
      </w:pPr>
      <w:r>
        <w:rPr>
          <w:rFonts w:ascii="Arial" w:cs="Arial" w:eastAsia="Arial" w:hAnsi="Arial"/>
          <w:sz w:val="15"/>
          <w:szCs w:val="15"/>
          <w:color w:val="auto"/>
        </w:rPr>
        <w:t>a sale or other disposition of all or substantially all, as determined by the Board, of the consolidated assets of the Company and its</w:t>
      </w:r>
    </w:p>
    <w:p>
      <w:pPr>
        <w:spacing w:after="0" w:line="50"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Subsidiaries;</w:t>
      </w:r>
    </w:p>
    <w:p>
      <w:pPr>
        <w:spacing w:after="0" w:line="205" w:lineRule="exact"/>
        <w:rPr>
          <w:rFonts w:ascii="Arial" w:cs="Arial" w:eastAsia="Arial" w:hAnsi="Arial"/>
          <w:sz w:val="15"/>
          <w:szCs w:val="15"/>
          <w:b w:val="1"/>
          <w:bCs w:val="1"/>
          <w:color w:val="auto"/>
        </w:rPr>
      </w:pPr>
    </w:p>
    <w:p>
      <w:pPr>
        <w:ind w:left="1900" w:hanging="622"/>
        <w:spacing w:after="0"/>
        <w:tabs>
          <w:tab w:leader="none" w:pos="1900"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50% of the outstanding securities of the Company;</w:t>
      </w:r>
    </w:p>
    <w:p>
      <w:pPr>
        <w:spacing w:after="0" w:line="217" w:lineRule="exact"/>
        <w:rPr>
          <w:rFonts w:ascii="Arial" w:cs="Arial" w:eastAsia="Arial" w:hAnsi="Arial"/>
          <w:sz w:val="18"/>
          <w:szCs w:val="18"/>
          <w:b w:val="1"/>
          <w:bCs w:val="1"/>
          <w:color w:val="auto"/>
        </w:rPr>
      </w:pPr>
    </w:p>
    <w:p>
      <w:pPr>
        <w:ind w:left="1900" w:hanging="622"/>
        <w:spacing w:after="0"/>
        <w:tabs>
          <w:tab w:leader="none" w:pos="1900"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17" w:lineRule="exact"/>
        <w:rPr>
          <w:rFonts w:ascii="Arial" w:cs="Arial" w:eastAsia="Arial" w:hAnsi="Arial"/>
          <w:sz w:val="18"/>
          <w:szCs w:val="18"/>
          <w:b w:val="1"/>
          <w:bCs w:val="1"/>
          <w:color w:val="auto"/>
        </w:rPr>
      </w:pPr>
    </w:p>
    <w:p>
      <w:pPr>
        <w:jc w:val="both"/>
        <w:ind w:firstLine="1278"/>
        <w:spacing w:after="0" w:line="255" w:lineRule="auto"/>
        <w:tabs>
          <w:tab w:leader="none" w:pos="1828"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1002" w:right="339" w:bottom="1440" w:gutter="0" w:footer="0" w:header="0"/>
        </w:sectPr>
      </w:pPr>
    </w:p>
    <w:bookmarkStart w:id="40" w:name="page41"/>
    <w:bookmarkEnd w:id="40"/>
    <w:p>
      <w:pPr>
        <w:ind w:left="1260" w:hanging="618"/>
        <w:spacing w:after="0"/>
        <w:tabs>
          <w:tab w:leader="none" w:pos="12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17" w:lineRule="exact"/>
        <w:rPr>
          <w:rFonts w:ascii="Arial" w:cs="Arial" w:eastAsia="Arial" w:hAnsi="Arial"/>
          <w:sz w:val="18"/>
          <w:szCs w:val="18"/>
          <w:b w:val="1"/>
          <w:bCs w:val="1"/>
          <w:color w:val="auto"/>
        </w:rPr>
      </w:pPr>
    </w:p>
    <w:p>
      <w:pPr>
        <w:ind w:left="1260" w:hanging="618"/>
        <w:spacing w:after="0"/>
        <w:tabs>
          <w:tab w:leader="none" w:pos="12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determine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determined</w:t>
      </w:r>
      <w:r>
        <w:rPr>
          <w:rFonts w:ascii="Arial" w:cs="Arial" w:eastAsia="Arial" w:hAnsi="Arial"/>
          <w:sz w:val="18"/>
          <w:szCs w:val="18"/>
          <w:color w:val="auto"/>
        </w:rPr>
        <w:t>” means as determined by the Board or the Committee (or its designee) in its sole discretion.</w:t>
      </w:r>
    </w:p>
    <w:p>
      <w:pPr>
        <w:spacing w:after="0" w:line="217" w:lineRule="exact"/>
        <w:rPr>
          <w:rFonts w:ascii="Arial" w:cs="Arial" w:eastAsia="Arial" w:hAnsi="Arial"/>
          <w:sz w:val="18"/>
          <w:szCs w:val="18"/>
          <w:b w:val="1"/>
          <w:bCs w:val="1"/>
          <w:color w:val="auto"/>
        </w:rPr>
      </w:pPr>
    </w:p>
    <w:p>
      <w:pPr>
        <w:jc w:val="both"/>
        <w:ind w:firstLine="642"/>
        <w:spacing w:after="0" w:line="252" w:lineRule="auto"/>
        <w:tabs>
          <w:tab w:leader="none" w:pos="1311"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90" w:lineRule="exact"/>
        <w:rPr>
          <w:rFonts w:ascii="Arial" w:cs="Arial" w:eastAsia="Arial" w:hAnsi="Arial"/>
          <w:sz w:val="18"/>
          <w:szCs w:val="18"/>
          <w:b w:val="1"/>
          <w:bCs w:val="1"/>
          <w:color w:val="auto"/>
        </w:rPr>
      </w:pPr>
    </w:p>
    <w:p>
      <w:pPr>
        <w:ind w:left="1280" w:hanging="638"/>
        <w:spacing w:after="0"/>
        <w:tabs>
          <w:tab w:leader="none" w:pos="128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June 16, 2021.</w:t>
      </w:r>
    </w:p>
    <w:p>
      <w:pPr>
        <w:spacing w:after="0" w:line="217" w:lineRule="exact"/>
        <w:rPr>
          <w:rFonts w:ascii="Arial" w:cs="Arial" w:eastAsia="Arial" w:hAnsi="Arial"/>
          <w:sz w:val="18"/>
          <w:szCs w:val="18"/>
          <w:b w:val="1"/>
          <w:bCs w:val="1"/>
          <w:color w:val="auto"/>
        </w:rPr>
      </w:pPr>
    </w:p>
    <w:p>
      <w:pPr>
        <w:ind w:firstLine="642"/>
        <w:spacing w:after="0" w:line="264" w:lineRule="auto"/>
        <w:tabs>
          <w:tab w:leader="none" w:pos="1358"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80" w:lineRule="exact"/>
        <w:rPr>
          <w:rFonts w:ascii="Arial" w:cs="Arial" w:eastAsia="Arial" w:hAnsi="Arial"/>
          <w:sz w:val="18"/>
          <w:szCs w:val="18"/>
          <w:b w:val="1"/>
          <w:bCs w:val="1"/>
          <w:color w:val="auto"/>
        </w:rPr>
      </w:pPr>
    </w:p>
    <w:p>
      <w:pPr>
        <w:ind w:left="1280" w:hanging="638"/>
        <w:spacing w:after="0"/>
        <w:tabs>
          <w:tab w:leader="none" w:pos="128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means the Company or the Affiliate of the Company that employs the Participant.</w:t>
      </w:r>
    </w:p>
    <w:p>
      <w:pPr>
        <w:spacing w:after="0" w:line="217" w:lineRule="exact"/>
        <w:rPr>
          <w:rFonts w:ascii="Arial" w:cs="Arial" w:eastAsia="Arial" w:hAnsi="Arial"/>
          <w:sz w:val="18"/>
          <w:szCs w:val="18"/>
          <w:b w:val="1"/>
          <w:bCs w:val="1"/>
          <w:color w:val="auto"/>
        </w:rPr>
      </w:pPr>
    </w:p>
    <w:p>
      <w:pPr>
        <w:ind w:left="1280" w:hanging="638"/>
        <w:spacing w:after="0"/>
        <w:tabs>
          <w:tab w:leader="none" w:pos="128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17" w:lineRule="exact"/>
        <w:rPr>
          <w:rFonts w:ascii="Arial" w:cs="Arial" w:eastAsia="Arial" w:hAnsi="Arial"/>
          <w:sz w:val="18"/>
          <w:szCs w:val="18"/>
          <w:b w:val="1"/>
          <w:bCs w:val="1"/>
          <w:color w:val="auto"/>
        </w:rPr>
      </w:pPr>
    </w:p>
    <w:p>
      <w:pPr>
        <w:ind w:left="1280" w:hanging="638"/>
        <w:spacing w:after="0"/>
        <w:tabs>
          <w:tab w:leader="none" w:pos="1280"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29" w:lineRule="exact"/>
        <w:rPr>
          <w:sz w:val="20"/>
          <w:szCs w:val="20"/>
          <w:color w:val="auto"/>
        </w:rPr>
      </w:pPr>
    </w:p>
    <w:p>
      <w:pPr>
        <w:jc w:val="both"/>
        <w:ind w:firstLine="642"/>
        <w:spacing w:after="0" w:line="306" w:lineRule="auto"/>
        <w:tabs>
          <w:tab w:leader="none" w:pos="1292" w:val="left"/>
        </w:tabs>
        <w:numPr>
          <w:ilvl w:val="0"/>
          <w:numId w:val="59"/>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Exchange Act Person</w:t>
      </w:r>
      <w:r>
        <w:rPr>
          <w:rFonts w:ascii="Arial" w:cs="Arial" w:eastAsia="Arial" w:hAnsi="Arial"/>
          <w:sz w:val="15"/>
          <w:szCs w:val="15"/>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56" w:lineRule="exact"/>
        <w:rPr>
          <w:rFonts w:ascii="Arial" w:cs="Arial" w:eastAsia="Arial" w:hAnsi="Arial"/>
          <w:sz w:val="15"/>
          <w:szCs w:val="15"/>
          <w:b w:val="1"/>
          <w:bCs w:val="1"/>
          <w:color w:val="auto"/>
        </w:rPr>
      </w:pPr>
    </w:p>
    <w:p>
      <w:pPr>
        <w:ind w:firstLine="642"/>
        <w:spacing w:after="0" w:line="264" w:lineRule="auto"/>
        <w:tabs>
          <w:tab w:leader="none" w:pos="1241"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unless otherwise determined by the Board, the value of the Common Stock (as determined on a per share or aggregate basis, as applicable) determined as follows:</w:t>
      </w:r>
    </w:p>
    <w:p>
      <w:pPr>
        <w:spacing w:after="0" w:line="181" w:lineRule="exact"/>
        <w:rPr>
          <w:sz w:val="20"/>
          <w:szCs w:val="20"/>
          <w:color w:val="auto"/>
        </w:rPr>
      </w:pPr>
    </w:p>
    <w:p>
      <w:pPr>
        <w:jc w:val="both"/>
        <w:ind w:firstLine="1278"/>
        <w:spacing w:after="0" w:line="255" w:lineRule="auto"/>
        <w:tabs>
          <w:tab w:leader="none" w:pos="1893"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1002" w:right="339" w:bottom="1440" w:gutter="0" w:footer="0" w:header="0"/>
        </w:sectPr>
      </w:pPr>
    </w:p>
    <w:bookmarkStart w:id="41" w:name="page42"/>
    <w:bookmarkEnd w:id="41"/>
    <w:p>
      <w:pPr>
        <w:ind w:firstLine="1278"/>
        <w:spacing w:after="0" w:line="264" w:lineRule="auto"/>
        <w:tabs>
          <w:tab w:leader="none" w:pos="1874"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80" w:lineRule="exact"/>
        <w:rPr>
          <w:rFonts w:ascii="Arial" w:cs="Arial" w:eastAsia="Arial" w:hAnsi="Arial"/>
          <w:sz w:val="18"/>
          <w:szCs w:val="18"/>
          <w:b w:val="1"/>
          <w:bCs w:val="1"/>
          <w:color w:val="auto"/>
        </w:rPr>
      </w:pPr>
    </w:p>
    <w:p>
      <w:pPr>
        <w:ind w:firstLine="1278"/>
        <w:spacing w:after="0" w:line="264" w:lineRule="auto"/>
        <w:tabs>
          <w:tab w:leader="none" w:pos="1961"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80" w:lineRule="exact"/>
        <w:rPr>
          <w:rFonts w:ascii="Arial" w:cs="Arial" w:eastAsia="Arial" w:hAnsi="Arial"/>
          <w:sz w:val="18"/>
          <w:szCs w:val="18"/>
          <w:b w:val="1"/>
          <w:bCs w:val="1"/>
          <w:color w:val="auto"/>
        </w:rPr>
      </w:pPr>
    </w:p>
    <w:p>
      <w:pPr>
        <w:jc w:val="both"/>
        <w:ind w:firstLine="642"/>
        <w:spacing w:after="0" w:line="249" w:lineRule="auto"/>
        <w:tabs>
          <w:tab w:leader="none" w:pos="1259"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195" w:lineRule="exact"/>
        <w:rPr>
          <w:rFonts w:ascii="Arial" w:cs="Arial" w:eastAsia="Arial" w:hAnsi="Arial"/>
          <w:sz w:val="18"/>
          <w:szCs w:val="18"/>
          <w:b w:val="1"/>
          <w:bCs w:val="1"/>
          <w:color w:val="auto"/>
        </w:rPr>
      </w:pPr>
    </w:p>
    <w:p>
      <w:pPr>
        <w:jc w:val="both"/>
        <w:ind w:firstLine="642"/>
        <w:spacing w:after="0" w:line="255" w:lineRule="auto"/>
        <w:tabs>
          <w:tab w:leader="none" w:pos="1299"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88" w:lineRule="exact"/>
        <w:rPr>
          <w:rFonts w:ascii="Arial" w:cs="Arial" w:eastAsia="Arial" w:hAnsi="Arial"/>
          <w:sz w:val="18"/>
          <w:szCs w:val="18"/>
          <w:b w:val="1"/>
          <w:bCs w:val="1"/>
          <w:color w:val="auto"/>
        </w:rPr>
      </w:pPr>
    </w:p>
    <w:p>
      <w:pPr>
        <w:ind w:firstLine="642"/>
        <w:spacing w:after="0" w:line="264" w:lineRule="auto"/>
        <w:tabs>
          <w:tab w:leader="none" w:pos="1286"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4 of the Plan that is intended to be, and qualifies as, an “incentive stock option” within the meaning of Section 422 of the Code.</w:t>
      </w:r>
    </w:p>
    <w:p>
      <w:pPr>
        <w:spacing w:after="0" w:line="180" w:lineRule="exact"/>
        <w:rPr>
          <w:rFonts w:ascii="Arial" w:cs="Arial" w:eastAsia="Arial" w:hAnsi="Arial"/>
          <w:sz w:val="18"/>
          <w:szCs w:val="18"/>
          <w:b w:val="1"/>
          <w:bCs w:val="1"/>
          <w:color w:val="auto"/>
        </w:rPr>
      </w:pPr>
    </w:p>
    <w:p>
      <w:pPr>
        <w:jc w:val="both"/>
        <w:ind w:firstLine="642"/>
        <w:spacing w:after="0" w:line="265" w:lineRule="auto"/>
        <w:tabs>
          <w:tab w:leader="none" w:pos="1344" w:val="left"/>
        </w:tabs>
        <w:numPr>
          <w:ilvl w:val="0"/>
          <w:numId w:val="6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Materially Impair</w:t>
      </w:r>
      <w:r>
        <w:rPr>
          <w:rFonts w:ascii="Arial" w:cs="Arial" w:eastAsia="Arial" w:hAnsi="Arial"/>
          <w:sz w:val="17"/>
          <w:szCs w:val="17"/>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81" w:lineRule="exact"/>
        <w:rPr>
          <w:rFonts w:ascii="Arial" w:cs="Arial" w:eastAsia="Arial" w:hAnsi="Arial"/>
          <w:sz w:val="17"/>
          <w:szCs w:val="17"/>
          <w:b w:val="1"/>
          <w:bCs w:val="1"/>
          <w:color w:val="auto"/>
        </w:rPr>
      </w:pPr>
    </w:p>
    <w:p>
      <w:pPr>
        <w:jc w:val="both"/>
        <w:ind w:firstLine="642"/>
        <w:spacing w:after="0" w:line="252" w:lineRule="auto"/>
        <w:tabs>
          <w:tab w:leader="none" w:pos="1442"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means that certain Agreement and Plan of Merger, dated as of December 10, 2020, by and among Silver Spike Acquisition Corp. (“</w:t>
      </w:r>
      <w:r>
        <w:rPr>
          <w:rFonts w:ascii="Arial" w:cs="Arial" w:eastAsia="Arial" w:hAnsi="Arial"/>
          <w:sz w:val="18"/>
          <w:szCs w:val="18"/>
          <w:b w:val="1"/>
          <w:bCs w:val="1"/>
          <w:i w:val="1"/>
          <w:iCs w:val="1"/>
          <w:color w:val="auto"/>
        </w:rPr>
        <w:t>Silver Spike</w:t>
      </w:r>
      <w:r>
        <w:rPr>
          <w:rFonts w:ascii="Arial" w:cs="Arial" w:eastAsia="Arial" w:hAnsi="Arial"/>
          <w:sz w:val="18"/>
          <w:szCs w:val="18"/>
          <w:color w:val="auto"/>
        </w:rPr>
        <w:t>”), a Cayman Islands exempted company, Silver Spike Merger Sub LLC, a Delaware limited liability company and a wholly owned direct subsidiary of Silver Spike, WM Holding Company, LLC, a Delaware limited liability company, and Ghost Media Group, LLC, a Nevada limited liability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1002" w:right="339" w:bottom="1440" w:gutter="0" w:footer="0" w:header="0"/>
        </w:sectPr>
      </w:pPr>
    </w:p>
    <w:bookmarkStart w:id="42" w:name="page43"/>
    <w:bookmarkEnd w:id="42"/>
    <w:p>
      <w:pPr>
        <w:jc w:val="both"/>
        <w:ind w:firstLine="642"/>
        <w:spacing w:after="0" w:line="249" w:lineRule="auto"/>
        <w:tabs>
          <w:tab w:leader="none" w:pos="1352"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8"/>
          <w:szCs w:val="18"/>
          <w:b w:val="1"/>
          <w:bCs w:val="1"/>
          <w:i w:val="1"/>
          <w:iCs w:val="1"/>
          <w:color w:val="auto"/>
        </w:rPr>
        <w:t>Regulation S-K</w:t>
      </w:r>
      <w:r>
        <w:rPr>
          <w:rFonts w:ascii="Arial" w:cs="Arial" w:eastAsia="Arial" w:hAnsi="Arial"/>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95" w:lineRule="exact"/>
        <w:rPr>
          <w:rFonts w:ascii="Arial" w:cs="Arial" w:eastAsia="Arial" w:hAnsi="Arial"/>
          <w:sz w:val="18"/>
          <w:szCs w:val="18"/>
          <w:b w:val="1"/>
          <w:bCs w:val="1"/>
          <w:color w:val="auto"/>
        </w:rPr>
      </w:pPr>
    </w:p>
    <w:p>
      <w:pPr>
        <w:jc w:val="both"/>
        <w:ind w:firstLine="642"/>
        <w:spacing w:after="0" w:line="255" w:lineRule="auto"/>
        <w:tabs>
          <w:tab w:leader="none" w:pos="1143"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Award</w:t>
      </w:r>
      <w:r>
        <w:rPr>
          <w:rFonts w:ascii="Arial" w:cs="Arial" w:eastAsia="Arial" w:hAnsi="Arial"/>
          <w:sz w:val="18"/>
          <w:szCs w:val="18"/>
          <w:color w:val="auto"/>
        </w:rPr>
        <w:t>” means any Award that is subject to, and not exempt from, Section 409A, including as the result of (i) a deferral of the issuance of the shares subject to the Award which is elected by the Participant or imposed by the Company, (ii) the terms of any Non-Exempt Severance Agreement.</w:t>
      </w:r>
    </w:p>
    <w:p>
      <w:pPr>
        <w:spacing w:after="0" w:line="188" w:lineRule="exact"/>
        <w:rPr>
          <w:rFonts w:ascii="Arial" w:cs="Arial" w:eastAsia="Arial" w:hAnsi="Arial"/>
          <w:sz w:val="18"/>
          <w:szCs w:val="18"/>
          <w:b w:val="1"/>
          <w:bCs w:val="1"/>
          <w:color w:val="auto"/>
        </w:rPr>
      </w:pPr>
    </w:p>
    <w:p>
      <w:pPr>
        <w:ind w:firstLine="642"/>
        <w:spacing w:after="0" w:line="264" w:lineRule="auto"/>
        <w:tabs>
          <w:tab w:leader="none" w:pos="1472"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Director Award</w:t>
      </w:r>
      <w:r>
        <w:rPr>
          <w:rFonts w:ascii="Arial" w:cs="Arial" w:eastAsia="Arial" w:hAnsi="Arial"/>
          <w:sz w:val="18"/>
          <w:szCs w:val="18"/>
          <w:color w:val="auto"/>
        </w:rPr>
        <w:t>” means a Non-Exempt Award granted to a Participant who was a Director but not an Employee on the applicable grant date.</w:t>
      </w:r>
    </w:p>
    <w:p>
      <w:pPr>
        <w:spacing w:after="0" w:line="180" w:lineRule="exact"/>
        <w:rPr>
          <w:rFonts w:ascii="Arial" w:cs="Arial" w:eastAsia="Arial" w:hAnsi="Arial"/>
          <w:sz w:val="18"/>
          <w:szCs w:val="18"/>
          <w:b w:val="1"/>
          <w:bCs w:val="1"/>
          <w:color w:val="auto"/>
        </w:rPr>
      </w:pPr>
    </w:p>
    <w:p>
      <w:pPr>
        <w:jc w:val="both"/>
        <w:ind w:firstLine="642"/>
        <w:spacing w:after="0" w:line="268" w:lineRule="auto"/>
        <w:tabs>
          <w:tab w:leader="none" w:pos="1347" w:val="left"/>
        </w:tabs>
        <w:numPr>
          <w:ilvl w:val="0"/>
          <w:numId w:val="6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Non-Exempt Severance Arrangement</w:t>
      </w:r>
      <w:r>
        <w:rPr>
          <w:rFonts w:ascii="Arial" w:cs="Arial" w:eastAsia="Arial" w:hAnsi="Arial"/>
          <w:sz w:val="17"/>
          <w:szCs w:val="17"/>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and such severance benefit does not satisfy the requirements for an exemption from application of Section 409A provided under Treasury Regulations Section 1.409A-1(b)(4), 1.409A-1(b)(9) or otherwise.</w:t>
      </w:r>
    </w:p>
    <w:p>
      <w:pPr>
        <w:spacing w:after="0" w:line="180" w:lineRule="exact"/>
        <w:rPr>
          <w:rFonts w:ascii="Arial" w:cs="Arial" w:eastAsia="Arial" w:hAnsi="Arial"/>
          <w:sz w:val="17"/>
          <w:szCs w:val="17"/>
          <w:b w:val="1"/>
          <w:bCs w:val="1"/>
          <w:color w:val="auto"/>
        </w:rPr>
      </w:pPr>
    </w:p>
    <w:p>
      <w:pPr>
        <w:ind w:left="1160" w:hanging="518"/>
        <w:spacing w:after="0"/>
        <w:tabs>
          <w:tab w:leader="none" w:pos="1160" w:val="left"/>
        </w:tabs>
        <w:numPr>
          <w:ilvl w:val="0"/>
          <w:numId w:val="63"/>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Nonstatutory Stock Option</w:t>
      </w:r>
      <w:r>
        <w:rPr>
          <w:rFonts w:ascii="Arial" w:cs="Arial" w:eastAsia="Arial" w:hAnsi="Arial"/>
          <w:sz w:val="15"/>
          <w:szCs w:val="15"/>
          <w:color w:val="auto"/>
        </w:rPr>
        <w:t>” means any option granted pursuant to Section 4 of the Plan that does not qualify as an Incentive Stock Option.</w:t>
      </w:r>
    </w:p>
    <w:p>
      <w:pPr>
        <w:spacing w:after="0" w:line="251" w:lineRule="exact"/>
        <w:rPr>
          <w:rFonts w:ascii="Arial" w:cs="Arial" w:eastAsia="Arial" w:hAnsi="Arial"/>
          <w:sz w:val="15"/>
          <w:szCs w:val="15"/>
          <w:b w:val="1"/>
          <w:bCs w:val="1"/>
          <w:color w:val="auto"/>
        </w:rPr>
      </w:pPr>
    </w:p>
    <w:p>
      <w:pPr>
        <w:ind w:left="1500" w:hanging="858"/>
        <w:spacing w:after="0"/>
        <w:tabs>
          <w:tab w:leader="none" w:pos="150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217" w:lineRule="exact"/>
        <w:rPr>
          <w:rFonts w:ascii="Arial" w:cs="Arial" w:eastAsia="Arial" w:hAnsi="Arial"/>
          <w:sz w:val="18"/>
          <w:szCs w:val="18"/>
          <w:b w:val="1"/>
          <w:bCs w:val="1"/>
          <w:color w:val="auto"/>
        </w:rPr>
      </w:pPr>
    </w:p>
    <w:p>
      <w:pPr>
        <w:ind w:firstLine="642"/>
        <w:spacing w:after="0" w:line="264" w:lineRule="auto"/>
        <w:tabs>
          <w:tab w:leader="none" w:pos="1206"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OpCo LLC Agreement</w:t>
      </w:r>
      <w:r>
        <w:rPr>
          <w:rFonts w:ascii="Arial" w:cs="Arial" w:eastAsia="Arial" w:hAnsi="Arial"/>
          <w:sz w:val="18"/>
          <w:szCs w:val="18"/>
          <w:color w:val="auto"/>
        </w:rPr>
        <w:t>” means the Fifth Amended and Restated Operating Agreement of WM Holding Company, LLC, as amended or amended and restated from time to time.</w:t>
      </w:r>
    </w:p>
    <w:p>
      <w:pPr>
        <w:spacing w:after="0" w:line="180" w:lineRule="exact"/>
        <w:rPr>
          <w:rFonts w:ascii="Arial" w:cs="Arial" w:eastAsia="Arial" w:hAnsi="Arial"/>
          <w:sz w:val="18"/>
          <w:szCs w:val="18"/>
          <w:b w:val="1"/>
          <w:bCs w:val="1"/>
          <w:color w:val="auto"/>
        </w:rPr>
      </w:pPr>
    </w:p>
    <w:p>
      <w:pPr>
        <w:ind w:left="1240" w:hanging="598"/>
        <w:spacing w:after="0"/>
        <w:tabs>
          <w:tab w:leader="none" w:pos="124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OpCo Unit</w:t>
      </w:r>
      <w:r>
        <w:rPr>
          <w:rFonts w:ascii="Arial" w:cs="Arial" w:eastAsia="Arial" w:hAnsi="Arial"/>
          <w:sz w:val="18"/>
          <w:szCs w:val="18"/>
          <w:color w:val="auto"/>
        </w:rPr>
        <w:t>” means an Award granted under Section 6 of the Plan.</w:t>
      </w:r>
    </w:p>
    <w:p>
      <w:pPr>
        <w:spacing w:after="0" w:line="217" w:lineRule="exact"/>
        <w:rPr>
          <w:rFonts w:ascii="Arial" w:cs="Arial" w:eastAsia="Arial" w:hAnsi="Arial"/>
          <w:sz w:val="18"/>
          <w:szCs w:val="18"/>
          <w:b w:val="1"/>
          <w:bCs w:val="1"/>
          <w:color w:val="auto"/>
        </w:rPr>
      </w:pPr>
    </w:p>
    <w:p>
      <w:pPr>
        <w:ind w:left="1380" w:hanging="738"/>
        <w:spacing w:after="0"/>
        <w:tabs>
          <w:tab w:leader="none" w:pos="1380" w:val="left"/>
        </w:tabs>
        <w:numPr>
          <w:ilvl w:val="0"/>
          <w:numId w:val="63"/>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means an Incentive Stock Option or a Nonstatutory Stock Option to purchase shares of Common Stock granted pursuant to the</w:t>
      </w:r>
    </w:p>
    <w:p>
      <w:pPr>
        <w:spacing w:after="0" w:line="50"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Plan.</w:t>
      </w:r>
    </w:p>
    <w:p>
      <w:pPr>
        <w:spacing w:after="0" w:line="205" w:lineRule="exact"/>
        <w:rPr>
          <w:rFonts w:ascii="Arial" w:cs="Arial" w:eastAsia="Arial" w:hAnsi="Arial"/>
          <w:sz w:val="15"/>
          <w:szCs w:val="15"/>
          <w:b w:val="1"/>
          <w:bCs w:val="1"/>
          <w:color w:val="auto"/>
        </w:rPr>
      </w:pPr>
    </w:p>
    <w:p>
      <w:pPr>
        <w:jc w:val="both"/>
        <w:ind w:firstLine="642"/>
        <w:spacing w:after="0" w:line="252" w:lineRule="auto"/>
        <w:tabs>
          <w:tab w:leader="none" w:pos="1294"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1002" w:right="339" w:bottom="1440" w:gutter="0" w:footer="0" w:header="0"/>
        </w:sectPr>
      </w:pPr>
    </w:p>
    <w:bookmarkStart w:id="43" w:name="page44"/>
    <w:bookmarkEnd w:id="43"/>
    <w:p>
      <w:pPr>
        <w:ind w:firstLine="642"/>
        <w:spacing w:after="0" w:line="264" w:lineRule="auto"/>
        <w:tabs>
          <w:tab w:leader="none" w:pos="1378"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80" w:lineRule="exact"/>
        <w:rPr>
          <w:rFonts w:ascii="Arial" w:cs="Arial" w:eastAsia="Arial" w:hAnsi="Arial"/>
          <w:sz w:val="18"/>
          <w:szCs w:val="18"/>
          <w:b w:val="1"/>
          <w:bCs w:val="1"/>
          <w:color w:val="auto"/>
        </w:rPr>
      </w:pPr>
    </w:p>
    <w:p>
      <w:pPr>
        <w:ind w:firstLine="642"/>
        <w:spacing w:after="0" w:line="264" w:lineRule="auto"/>
        <w:tabs>
          <w:tab w:leader="none" w:pos="1337"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Award</w:t>
      </w:r>
      <w:r>
        <w:rPr>
          <w:rFonts w:ascii="Arial" w:cs="Arial" w:eastAsia="Arial" w:hAnsi="Arial"/>
          <w:sz w:val="18"/>
          <w:szCs w:val="18"/>
          <w:color w:val="auto"/>
        </w:rPr>
        <w:t>” means an award based in whole or in part by reference to the Common Stock which is granted pursuant to the terms and conditions of Section 5(c).</w:t>
      </w:r>
    </w:p>
    <w:p>
      <w:pPr>
        <w:spacing w:after="0" w:line="180" w:lineRule="exact"/>
        <w:rPr>
          <w:rFonts w:ascii="Arial" w:cs="Arial" w:eastAsia="Arial" w:hAnsi="Arial"/>
          <w:sz w:val="18"/>
          <w:szCs w:val="18"/>
          <w:b w:val="1"/>
          <w:bCs w:val="1"/>
          <w:color w:val="auto"/>
        </w:rPr>
      </w:pPr>
    </w:p>
    <w:p>
      <w:pPr>
        <w:ind w:firstLine="642"/>
        <w:spacing w:after="0" w:line="264" w:lineRule="auto"/>
        <w:tabs>
          <w:tab w:leader="none" w:pos="1344"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Award Agreement</w:t>
      </w:r>
      <w:r>
        <w:rPr>
          <w:rFonts w:ascii="Arial" w:cs="Arial" w:eastAsia="Arial" w:hAnsi="Arial"/>
          <w:sz w:val="18"/>
          <w:szCs w:val="18"/>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80" w:lineRule="exact"/>
        <w:rPr>
          <w:rFonts w:ascii="Arial" w:cs="Arial" w:eastAsia="Arial" w:hAnsi="Arial"/>
          <w:sz w:val="18"/>
          <w:szCs w:val="18"/>
          <w:b w:val="1"/>
          <w:bCs w:val="1"/>
          <w:color w:val="auto"/>
        </w:rPr>
      </w:pPr>
    </w:p>
    <w:p>
      <w:pPr>
        <w:jc w:val="both"/>
        <w:ind w:firstLine="642"/>
        <w:spacing w:after="0" w:line="330" w:lineRule="auto"/>
        <w:tabs>
          <w:tab w:leader="none" w:pos="1272" w:val="left"/>
        </w:tabs>
        <w:numPr>
          <w:ilvl w:val="0"/>
          <w:numId w:val="64"/>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Own,</w:t>
      </w:r>
      <w:r>
        <w:rPr>
          <w:rFonts w:ascii="Arial" w:cs="Arial" w:eastAsia="Arial" w:hAnsi="Arial"/>
          <w:sz w:val="15"/>
          <w:szCs w:val="15"/>
          <w:color w:val="auto"/>
        </w:rPr>
        <w:t>” “</w:t>
      </w:r>
      <w:r>
        <w:rPr>
          <w:rFonts w:ascii="Arial" w:cs="Arial" w:eastAsia="Arial" w:hAnsi="Arial"/>
          <w:sz w:val="15"/>
          <w:szCs w:val="15"/>
          <w:b w:val="1"/>
          <w:bCs w:val="1"/>
          <w:i w:val="1"/>
          <w:iCs w:val="1"/>
          <w:color w:val="auto"/>
        </w:rPr>
        <w:t>Owned,</w:t>
      </w:r>
      <w:r>
        <w:rPr>
          <w:rFonts w:ascii="Arial" w:cs="Arial" w:eastAsia="Arial" w:hAnsi="Arial"/>
          <w:sz w:val="15"/>
          <w:szCs w:val="15"/>
          <w:color w:val="auto"/>
        </w:rPr>
        <w:t>” “</w:t>
      </w:r>
      <w:r>
        <w:rPr>
          <w:rFonts w:ascii="Arial" w:cs="Arial" w:eastAsia="Arial" w:hAnsi="Arial"/>
          <w:sz w:val="15"/>
          <w:szCs w:val="15"/>
          <w:b w:val="1"/>
          <w:bCs w:val="1"/>
          <w:i w:val="1"/>
          <w:iCs w:val="1"/>
          <w:color w:val="auto"/>
        </w:rPr>
        <w:t>Owner,</w:t>
      </w:r>
      <w:r>
        <w:rPr>
          <w:rFonts w:ascii="Arial" w:cs="Arial" w:eastAsia="Arial" w:hAnsi="Arial"/>
          <w:sz w:val="15"/>
          <w:szCs w:val="15"/>
          <w:color w:val="auto"/>
        </w:rPr>
        <w:t>” “</w:t>
      </w:r>
      <w:r>
        <w:rPr>
          <w:rFonts w:ascii="Arial" w:cs="Arial" w:eastAsia="Arial" w:hAnsi="Arial"/>
          <w:sz w:val="15"/>
          <w:szCs w:val="15"/>
          <w:b w:val="1"/>
          <w:bCs w:val="1"/>
          <w:i w:val="1"/>
          <w:iCs w:val="1"/>
          <w:color w:val="auto"/>
        </w:rPr>
        <w:t>Ownership</w:t>
      </w:r>
      <w:r>
        <w:rPr>
          <w:rFonts w:ascii="Arial" w:cs="Arial" w:eastAsia="Arial" w:hAnsi="Arial"/>
          <w:sz w:val="15"/>
          <w:szCs w:val="15"/>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36" w:lineRule="exact"/>
        <w:rPr>
          <w:rFonts w:ascii="Arial" w:cs="Arial" w:eastAsia="Arial" w:hAnsi="Arial"/>
          <w:sz w:val="15"/>
          <w:szCs w:val="15"/>
          <w:b w:val="1"/>
          <w:bCs w:val="1"/>
          <w:color w:val="auto"/>
        </w:rPr>
      </w:pPr>
    </w:p>
    <w:p>
      <w:pPr>
        <w:ind w:firstLine="642"/>
        <w:spacing w:after="0" w:line="264" w:lineRule="auto"/>
        <w:tabs>
          <w:tab w:leader="none" w:pos="123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Employee, Director or Consultant to whom an Award is granted pursuant to the Plan or, if applicable, such other person who holds an outstanding Award.</w:t>
      </w:r>
    </w:p>
    <w:p>
      <w:pPr>
        <w:spacing w:after="0" w:line="180" w:lineRule="exact"/>
        <w:rPr>
          <w:rFonts w:ascii="Arial" w:cs="Arial" w:eastAsia="Arial" w:hAnsi="Arial"/>
          <w:sz w:val="18"/>
          <w:szCs w:val="18"/>
          <w:b w:val="1"/>
          <w:bCs w:val="1"/>
          <w:color w:val="auto"/>
        </w:rPr>
      </w:pPr>
    </w:p>
    <w:p>
      <w:pPr>
        <w:jc w:val="both"/>
        <w:ind w:firstLine="642"/>
        <w:spacing w:after="0" w:line="312" w:lineRule="auto"/>
        <w:tabs>
          <w:tab w:leader="none" w:pos="1437" w:val="left"/>
        </w:tabs>
        <w:numPr>
          <w:ilvl w:val="0"/>
          <w:numId w:val="64"/>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Performance Award</w:t>
      </w:r>
      <w:r>
        <w:rPr>
          <w:rFonts w:ascii="Arial" w:cs="Arial" w:eastAsia="Arial" w:hAnsi="Arial"/>
          <w:sz w:val="15"/>
          <w:szCs w:val="15"/>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50" w:lineRule="exact"/>
        <w:rPr>
          <w:rFonts w:ascii="Arial" w:cs="Arial" w:eastAsia="Arial" w:hAnsi="Arial"/>
          <w:sz w:val="15"/>
          <w:szCs w:val="15"/>
          <w:b w:val="1"/>
          <w:bCs w:val="1"/>
          <w:color w:val="auto"/>
        </w:rPr>
      </w:pPr>
    </w:p>
    <w:p>
      <w:pPr>
        <w:jc w:val="both"/>
        <w:ind w:firstLine="642"/>
        <w:spacing w:after="0" w:line="255" w:lineRule="auto"/>
        <w:tabs>
          <w:tab w:leader="none" w:pos="1204"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Criteria</w:t>
      </w:r>
      <w:r>
        <w:rPr>
          <w:rFonts w:ascii="Arial" w:cs="Arial" w:eastAsia="Arial" w:hAnsi="Arial"/>
          <w:sz w:val="18"/>
          <w:szCs w:val="18"/>
          <w:color w:val="auto"/>
        </w:rPr>
        <w:t>” means the one or more criteria that the Board will select for purposes of establishing the Performance Goals for a Performance Period. The Performance Criteria that will be used to establish such Performance Goals may be based on any measure of performance selected by the Board.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1002" w:right="339" w:bottom="1440" w:gutter="0" w:footer="0" w:header="0"/>
        </w:sectPr>
      </w:pPr>
    </w:p>
    <w:bookmarkStart w:id="44" w:name="page45"/>
    <w:bookmarkEnd w:id="44"/>
    <w:p>
      <w:pPr>
        <w:jc w:val="both"/>
        <w:ind w:firstLine="642"/>
        <w:spacing w:after="0" w:line="296" w:lineRule="auto"/>
        <w:tabs>
          <w:tab w:leader="none" w:pos="1261" w:val="left"/>
        </w:tabs>
        <w:numPr>
          <w:ilvl w:val="1"/>
          <w:numId w:val="65"/>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Performance Goals</w:t>
      </w:r>
      <w:r>
        <w:rPr>
          <w:rFonts w:ascii="Arial" w:cs="Arial" w:eastAsia="Arial" w:hAnsi="Arial"/>
          <w:sz w:val="15"/>
          <w:szCs w:val="15"/>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w:t>
      </w:r>
    </w:p>
    <w:p>
      <w:pPr>
        <w:spacing w:after="0" w:line="2" w:lineRule="exact"/>
        <w:rPr>
          <w:rFonts w:ascii="Arial" w:cs="Arial" w:eastAsia="Arial" w:hAnsi="Arial"/>
          <w:sz w:val="15"/>
          <w:szCs w:val="15"/>
          <w:b w:val="1"/>
          <w:bCs w:val="1"/>
          <w:color w:val="auto"/>
        </w:rPr>
      </w:pPr>
    </w:p>
    <w:p>
      <w:pPr>
        <w:jc w:val="both"/>
        <w:ind w:firstLine="6"/>
        <w:spacing w:after="0" w:line="305" w:lineRule="auto"/>
        <w:tabs>
          <w:tab w:leader="none" w:pos="281" w:val="left"/>
        </w:tabs>
        <w:numPr>
          <w:ilvl w:val="0"/>
          <w:numId w:val="66"/>
        </w:numPr>
        <w:rPr>
          <w:rFonts w:ascii="Arial" w:cs="Arial" w:eastAsia="Arial" w:hAnsi="Arial"/>
          <w:sz w:val="15"/>
          <w:szCs w:val="15"/>
          <w:color w:val="auto"/>
        </w:rPr>
      </w:pPr>
      <w:r>
        <w:rPr>
          <w:rFonts w:ascii="Arial" w:cs="Arial" w:eastAsia="Arial" w:hAnsi="Arial"/>
          <w:sz w:val="15"/>
          <w:szCs w:val="15"/>
          <w:color w:val="auto"/>
        </w:rPr>
        <w:t>to exclude the effects of stock based compensation and the award of bonuses under the Company’s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57" w:lineRule="exact"/>
        <w:rPr>
          <w:rFonts w:ascii="Arial" w:cs="Arial" w:eastAsia="Arial" w:hAnsi="Arial"/>
          <w:sz w:val="15"/>
          <w:szCs w:val="15"/>
          <w:color w:val="auto"/>
        </w:rPr>
      </w:pPr>
    </w:p>
    <w:p>
      <w:pPr>
        <w:jc w:val="both"/>
        <w:ind w:firstLine="642"/>
        <w:spacing w:after="0" w:line="255" w:lineRule="auto"/>
        <w:tabs>
          <w:tab w:leader="none" w:pos="1246"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88" w:lineRule="exact"/>
        <w:rPr>
          <w:sz w:val="20"/>
          <w:szCs w:val="20"/>
          <w:color w:val="auto"/>
        </w:rPr>
      </w:pPr>
    </w:p>
    <w:p>
      <w:pPr>
        <w:ind w:left="1380" w:hanging="738"/>
        <w:spacing w:after="0"/>
        <w:tabs>
          <w:tab w:leader="none" w:pos="138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WM Technology, Inc. 2021 Equity Incentive Plan, as amended from time to time.</w:t>
      </w:r>
    </w:p>
    <w:p>
      <w:pPr>
        <w:spacing w:after="0" w:line="217" w:lineRule="exact"/>
        <w:rPr>
          <w:rFonts w:ascii="Arial" w:cs="Arial" w:eastAsia="Arial" w:hAnsi="Arial"/>
          <w:sz w:val="18"/>
          <w:szCs w:val="18"/>
          <w:b w:val="1"/>
          <w:bCs w:val="1"/>
          <w:color w:val="auto"/>
        </w:rPr>
      </w:pPr>
    </w:p>
    <w:p>
      <w:pPr>
        <w:ind w:right="20" w:firstLine="642"/>
        <w:spacing w:after="0" w:line="264" w:lineRule="auto"/>
        <w:tabs>
          <w:tab w:leader="none" w:pos="1295"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means the person, persons, and/or third-party administrator designated by the Company to administer the day to day operations of the Plan and the Company’s other equity incentive programs.</w:t>
      </w:r>
    </w:p>
    <w:p>
      <w:pPr>
        <w:spacing w:after="0" w:line="180" w:lineRule="exact"/>
        <w:rPr>
          <w:rFonts w:ascii="Arial" w:cs="Arial" w:eastAsia="Arial" w:hAnsi="Arial"/>
          <w:sz w:val="18"/>
          <w:szCs w:val="18"/>
          <w:b w:val="1"/>
          <w:bCs w:val="1"/>
          <w:color w:val="auto"/>
        </w:rPr>
      </w:pPr>
    </w:p>
    <w:p>
      <w:pPr>
        <w:ind w:firstLine="642"/>
        <w:spacing w:after="0" w:line="264" w:lineRule="auto"/>
        <w:tabs>
          <w:tab w:leader="none" w:pos="1249"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Post-Termination Exercise Period</w:t>
      </w:r>
      <w:r>
        <w:rPr>
          <w:rFonts w:ascii="Arial" w:cs="Arial" w:eastAsia="Arial" w:hAnsi="Arial"/>
          <w:sz w:val="18"/>
          <w:szCs w:val="18"/>
          <w:color w:val="auto"/>
        </w:rPr>
        <w:t>” means the period following termination of a Participant’s Continuous Service within which an Option or SAR is exercisable, as specified in Section 4(h).</w:t>
      </w:r>
    </w:p>
    <w:p>
      <w:pPr>
        <w:spacing w:after="0" w:line="180" w:lineRule="exact"/>
        <w:rPr>
          <w:rFonts w:ascii="Arial" w:cs="Arial" w:eastAsia="Arial" w:hAnsi="Arial"/>
          <w:sz w:val="18"/>
          <w:szCs w:val="18"/>
          <w:b w:val="1"/>
          <w:bCs w:val="1"/>
          <w:color w:val="auto"/>
        </w:rPr>
      </w:pPr>
    </w:p>
    <w:p>
      <w:pPr>
        <w:ind w:left="1320" w:hanging="678"/>
        <w:spacing w:after="0"/>
        <w:tabs>
          <w:tab w:leader="none" w:pos="132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means the document containing the Plan information specified in Section 10(a) of the Securities Act.</w:t>
      </w:r>
    </w:p>
    <w:p>
      <w:pPr>
        <w:spacing w:after="0" w:line="217" w:lineRule="exact"/>
        <w:rPr>
          <w:rFonts w:ascii="Arial" w:cs="Arial" w:eastAsia="Arial" w:hAnsi="Arial"/>
          <w:sz w:val="18"/>
          <w:szCs w:val="18"/>
          <w:b w:val="1"/>
          <w:bCs w:val="1"/>
          <w:color w:val="auto"/>
        </w:rPr>
      </w:pPr>
    </w:p>
    <w:p>
      <w:pPr>
        <w:ind w:left="1260" w:hanging="618"/>
        <w:spacing w:after="0"/>
        <w:tabs>
          <w:tab w:leader="none" w:pos="1260" w:val="left"/>
        </w:tabs>
        <w:numPr>
          <w:ilvl w:val="0"/>
          <w:numId w:val="67"/>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Restricted Stock Award</w:t>
      </w:r>
      <w:r>
        <w:rPr>
          <w:rFonts w:ascii="Arial" w:cs="Arial" w:eastAsia="Arial" w:hAnsi="Arial"/>
          <w:sz w:val="15"/>
          <w:szCs w:val="15"/>
          <w:color w:val="auto"/>
        </w:rPr>
        <w:t>” or “</w:t>
      </w:r>
      <w:r>
        <w:rPr>
          <w:rFonts w:ascii="Arial" w:cs="Arial" w:eastAsia="Arial" w:hAnsi="Arial"/>
          <w:sz w:val="15"/>
          <w:szCs w:val="15"/>
          <w:b w:val="1"/>
          <w:bCs w:val="1"/>
          <w:i w:val="1"/>
          <w:iCs w:val="1"/>
          <w:color w:val="auto"/>
        </w:rPr>
        <w:t>RSA</w:t>
      </w:r>
      <w:r>
        <w:rPr>
          <w:rFonts w:ascii="Arial" w:cs="Arial" w:eastAsia="Arial" w:hAnsi="Arial"/>
          <w:sz w:val="15"/>
          <w:szCs w:val="15"/>
          <w:color w:val="auto"/>
        </w:rPr>
        <w:t>” means an Award of shares of Common Stock which is granted pursuant to the terms and conditions of</w:t>
      </w:r>
    </w:p>
    <w:p>
      <w:pPr>
        <w:spacing w:after="0" w:line="50"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Section 5(a).</w:t>
      </w:r>
    </w:p>
    <w:p>
      <w:pPr>
        <w:spacing w:after="0" w:line="205" w:lineRule="exact"/>
        <w:rPr>
          <w:rFonts w:ascii="Arial" w:cs="Arial" w:eastAsia="Arial" w:hAnsi="Arial"/>
          <w:sz w:val="15"/>
          <w:szCs w:val="15"/>
          <w:b w:val="1"/>
          <w:bCs w:val="1"/>
          <w:color w:val="auto"/>
        </w:rPr>
      </w:pPr>
    </w:p>
    <w:p>
      <w:pPr>
        <w:jc w:val="both"/>
        <w:ind w:firstLine="642"/>
        <w:spacing w:after="0" w:line="318" w:lineRule="auto"/>
        <w:tabs>
          <w:tab w:leader="none" w:pos="1195" w:val="left"/>
        </w:tabs>
        <w:numPr>
          <w:ilvl w:val="0"/>
          <w:numId w:val="67"/>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Restricted Stock Award Agreement</w:t>
      </w:r>
      <w:r>
        <w:rPr>
          <w:rFonts w:ascii="Arial" w:cs="Arial" w:eastAsia="Arial" w:hAnsi="Arial"/>
          <w:sz w:val="15"/>
          <w:szCs w:val="15"/>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1002" w:right="339" w:bottom="1440" w:gutter="0" w:footer="0" w:header="0"/>
        </w:sectPr>
      </w:pPr>
    </w:p>
    <w:bookmarkStart w:id="45" w:name="page46"/>
    <w:bookmarkEnd w:id="45"/>
    <w:p>
      <w:pPr>
        <w:ind w:firstLine="642"/>
        <w:spacing w:after="0" w:line="264" w:lineRule="auto"/>
        <w:tabs>
          <w:tab w:leader="none" w:pos="1341"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an Award of restricted stock units representing the right to receive an issuance of shares of Common Stock which is granted pursuant to the terms and conditions of Section 5(a).</w:t>
      </w:r>
    </w:p>
    <w:p>
      <w:pPr>
        <w:spacing w:after="0" w:line="180" w:lineRule="exact"/>
        <w:rPr>
          <w:rFonts w:ascii="Arial" w:cs="Arial" w:eastAsia="Arial" w:hAnsi="Arial"/>
          <w:sz w:val="18"/>
          <w:szCs w:val="18"/>
          <w:b w:val="1"/>
          <w:bCs w:val="1"/>
          <w:color w:val="auto"/>
        </w:rPr>
      </w:pPr>
    </w:p>
    <w:p>
      <w:pPr>
        <w:jc w:val="both"/>
        <w:ind w:firstLine="642"/>
        <w:spacing w:after="0" w:line="252" w:lineRule="auto"/>
        <w:tabs>
          <w:tab w:leader="none" w:pos="1362"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RSU Award Agreement</w:t>
      </w:r>
      <w:r>
        <w:rPr>
          <w:rFonts w:ascii="Arial" w:cs="Arial" w:eastAsia="Arial" w:hAnsi="Arial"/>
          <w:sz w:val="18"/>
          <w:szCs w:val="18"/>
          <w:color w:val="auto"/>
        </w:rPr>
        <w:t>” means a written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90" w:lineRule="exact"/>
        <w:rPr>
          <w:rFonts w:ascii="Arial" w:cs="Arial" w:eastAsia="Arial" w:hAnsi="Arial"/>
          <w:sz w:val="18"/>
          <w:szCs w:val="18"/>
          <w:b w:val="1"/>
          <w:bCs w:val="1"/>
          <w:color w:val="auto"/>
        </w:rPr>
      </w:pPr>
    </w:p>
    <w:p>
      <w:pPr>
        <w:ind w:left="1120" w:hanging="478"/>
        <w:spacing w:after="0"/>
        <w:tabs>
          <w:tab w:leader="none" w:pos="1120" w:val="left"/>
        </w:tabs>
        <w:numPr>
          <w:ilvl w:val="0"/>
          <w:numId w:val="6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16b-3</w:t>
      </w:r>
      <w:r>
        <w:rPr>
          <w:rFonts w:ascii="Arial" w:cs="Arial" w:eastAsia="Arial" w:hAnsi="Arial"/>
          <w:sz w:val="17"/>
          <w:szCs w:val="17"/>
          <w:color w:val="auto"/>
        </w:rPr>
        <w:t>” means Rule 16b-3 promulgated under the Exchange Act or any successor to Rule 16b-3, as in effect from time to time.</w:t>
      </w:r>
    </w:p>
    <w:p>
      <w:pPr>
        <w:spacing w:after="0" w:line="228" w:lineRule="exact"/>
        <w:rPr>
          <w:rFonts w:ascii="Arial" w:cs="Arial" w:eastAsia="Arial" w:hAnsi="Arial"/>
          <w:sz w:val="17"/>
          <w:szCs w:val="17"/>
          <w:b w:val="1"/>
          <w:bCs w:val="1"/>
          <w:color w:val="auto"/>
        </w:rPr>
      </w:pPr>
    </w:p>
    <w:p>
      <w:pPr>
        <w:ind w:left="1280" w:hanging="638"/>
        <w:spacing w:after="0"/>
        <w:tabs>
          <w:tab w:leader="none" w:pos="128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217" w:lineRule="exact"/>
        <w:rPr>
          <w:rFonts w:ascii="Arial" w:cs="Arial" w:eastAsia="Arial" w:hAnsi="Arial"/>
          <w:sz w:val="18"/>
          <w:szCs w:val="18"/>
          <w:b w:val="1"/>
          <w:bCs w:val="1"/>
          <w:color w:val="auto"/>
        </w:rPr>
      </w:pPr>
    </w:p>
    <w:p>
      <w:pPr>
        <w:ind w:left="1400" w:hanging="758"/>
        <w:spacing w:after="0"/>
        <w:tabs>
          <w:tab w:leader="none" w:pos="140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the regulations and other guidance thereunder.</w:t>
      </w:r>
    </w:p>
    <w:p>
      <w:pPr>
        <w:spacing w:after="0" w:line="217" w:lineRule="exact"/>
        <w:rPr>
          <w:rFonts w:ascii="Arial" w:cs="Arial" w:eastAsia="Arial" w:hAnsi="Arial"/>
          <w:sz w:val="18"/>
          <w:szCs w:val="18"/>
          <w:b w:val="1"/>
          <w:bCs w:val="1"/>
          <w:color w:val="auto"/>
        </w:rPr>
      </w:pPr>
    </w:p>
    <w:p>
      <w:pPr>
        <w:jc w:val="both"/>
        <w:ind w:firstLine="642"/>
        <w:spacing w:after="0" w:line="255" w:lineRule="auto"/>
        <w:tabs>
          <w:tab w:leader="none" w:pos="1091"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 Change in Control</w:t>
      </w:r>
      <w:r>
        <w:rPr>
          <w:rFonts w:ascii="Arial" w:cs="Arial" w:eastAsia="Arial" w:hAnsi="Arial"/>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88" w:lineRule="exact"/>
        <w:rPr>
          <w:rFonts w:ascii="Arial" w:cs="Arial" w:eastAsia="Arial" w:hAnsi="Arial"/>
          <w:sz w:val="18"/>
          <w:szCs w:val="18"/>
          <w:b w:val="1"/>
          <w:bCs w:val="1"/>
          <w:color w:val="auto"/>
        </w:rPr>
      </w:pPr>
    </w:p>
    <w:p>
      <w:pPr>
        <w:ind w:left="1560" w:hanging="918"/>
        <w:spacing w:after="0"/>
        <w:tabs>
          <w:tab w:leader="none" w:pos="15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17" w:lineRule="exact"/>
        <w:rPr>
          <w:rFonts w:ascii="Arial" w:cs="Arial" w:eastAsia="Arial" w:hAnsi="Arial"/>
          <w:sz w:val="18"/>
          <w:szCs w:val="18"/>
          <w:b w:val="1"/>
          <w:bCs w:val="1"/>
          <w:color w:val="auto"/>
        </w:rPr>
      </w:pPr>
    </w:p>
    <w:p>
      <w:pPr>
        <w:ind w:left="1140" w:hanging="498"/>
        <w:spacing w:after="0"/>
        <w:tabs>
          <w:tab w:leader="none" w:pos="114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means the number of shares available for issuance under the Plan as set forth in Section 2(a).</w:t>
      </w:r>
    </w:p>
    <w:p>
      <w:pPr>
        <w:spacing w:after="0" w:line="217" w:lineRule="exact"/>
        <w:rPr>
          <w:rFonts w:ascii="Arial" w:cs="Arial" w:eastAsia="Arial" w:hAnsi="Arial"/>
          <w:sz w:val="18"/>
          <w:szCs w:val="18"/>
          <w:b w:val="1"/>
          <w:bCs w:val="1"/>
          <w:color w:val="auto"/>
        </w:rPr>
      </w:pPr>
    </w:p>
    <w:p>
      <w:pPr>
        <w:ind w:firstLine="642"/>
        <w:spacing w:after="0" w:line="264" w:lineRule="auto"/>
        <w:tabs>
          <w:tab w:leader="none" w:pos="1252"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4.</w:t>
      </w:r>
    </w:p>
    <w:p>
      <w:pPr>
        <w:spacing w:after="0" w:line="180" w:lineRule="exact"/>
        <w:rPr>
          <w:rFonts w:ascii="Arial" w:cs="Arial" w:eastAsia="Arial" w:hAnsi="Arial"/>
          <w:sz w:val="18"/>
          <w:szCs w:val="18"/>
          <w:b w:val="1"/>
          <w:bCs w:val="1"/>
          <w:color w:val="auto"/>
        </w:rPr>
      </w:pPr>
    </w:p>
    <w:p>
      <w:pPr>
        <w:jc w:val="both"/>
        <w:ind w:firstLine="642"/>
        <w:spacing w:after="0" w:line="252" w:lineRule="auto"/>
        <w:tabs>
          <w:tab w:leader="none" w:pos="1295"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 Agreement</w:t>
      </w:r>
      <w:r>
        <w:rPr>
          <w:rFonts w:ascii="Arial" w:cs="Arial" w:eastAsia="Arial" w:hAnsi="Arial"/>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90" w:lineRule="exact"/>
        <w:rPr>
          <w:rFonts w:ascii="Arial" w:cs="Arial" w:eastAsia="Arial" w:hAnsi="Arial"/>
          <w:sz w:val="18"/>
          <w:szCs w:val="18"/>
          <w:b w:val="1"/>
          <w:bCs w:val="1"/>
          <w:color w:val="auto"/>
        </w:rPr>
      </w:pPr>
    </w:p>
    <w:p>
      <w:pPr>
        <w:jc w:val="both"/>
        <w:ind w:firstLine="642"/>
        <w:spacing w:after="0" w:line="250" w:lineRule="auto"/>
        <w:tabs>
          <w:tab w:leader="none" w:pos="1348"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1002" w:right="339" w:bottom="1440" w:gutter="0" w:footer="0" w:header="0"/>
        </w:sectPr>
      </w:pPr>
    </w:p>
    <w:bookmarkStart w:id="46" w:name="page47"/>
    <w:bookmarkEnd w:id="46"/>
    <w:p>
      <w:pPr>
        <w:ind w:firstLine="642"/>
        <w:spacing w:after="0" w:line="264" w:lineRule="auto"/>
        <w:tabs>
          <w:tab w:leader="none" w:pos="1178"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80" w:lineRule="exact"/>
        <w:rPr>
          <w:rFonts w:ascii="Arial" w:cs="Arial" w:eastAsia="Arial" w:hAnsi="Arial"/>
          <w:sz w:val="18"/>
          <w:szCs w:val="18"/>
          <w:b w:val="1"/>
          <w:bCs w:val="1"/>
          <w:color w:val="auto"/>
        </w:rPr>
      </w:pPr>
    </w:p>
    <w:p>
      <w:pPr>
        <w:ind w:right="20" w:firstLine="642"/>
        <w:spacing w:after="0" w:line="294" w:lineRule="auto"/>
        <w:tabs>
          <w:tab w:leader="none" w:pos="1251"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Policy</w:t>
      </w:r>
      <w:r>
        <w:rPr>
          <w:rFonts w:ascii="Arial" w:cs="Arial" w:eastAsia="Arial" w:hAnsi="Arial"/>
          <w:sz w:val="17"/>
          <w:szCs w:val="17"/>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57" w:lineRule="exact"/>
        <w:rPr>
          <w:rFonts w:ascii="Arial" w:cs="Arial" w:eastAsia="Arial" w:hAnsi="Arial"/>
          <w:sz w:val="17"/>
          <w:szCs w:val="17"/>
          <w:b w:val="1"/>
          <w:bCs w:val="1"/>
          <w:color w:val="auto"/>
        </w:rPr>
      </w:pPr>
    </w:p>
    <w:p>
      <w:pPr>
        <w:ind w:firstLine="642"/>
        <w:spacing w:after="0" w:line="264" w:lineRule="auto"/>
        <w:tabs>
          <w:tab w:leader="none" w:pos="1164"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Non-Exempt Award</w:t>
      </w:r>
      <w:r>
        <w:rPr>
          <w:rFonts w:ascii="Arial" w:cs="Arial" w:eastAsia="Arial" w:hAnsi="Arial"/>
          <w:sz w:val="18"/>
          <w:szCs w:val="18"/>
          <w:color w:val="auto"/>
        </w:rPr>
        <w:t>” means the portion of any Non-Exempt Award that had not vested in accordance with its terms upon or prior to the date of any Corporate Transaction.</w:t>
      </w:r>
    </w:p>
    <w:p>
      <w:pPr>
        <w:spacing w:after="0" w:line="180" w:lineRule="exact"/>
        <w:rPr>
          <w:rFonts w:ascii="Arial" w:cs="Arial" w:eastAsia="Arial" w:hAnsi="Arial"/>
          <w:sz w:val="18"/>
          <w:szCs w:val="18"/>
          <w:b w:val="1"/>
          <w:bCs w:val="1"/>
          <w:color w:val="auto"/>
        </w:rPr>
      </w:pPr>
    </w:p>
    <w:p>
      <w:pPr>
        <w:ind w:firstLine="642"/>
        <w:spacing w:after="0" w:line="264" w:lineRule="auto"/>
        <w:tabs>
          <w:tab w:leader="none" w:pos="1313"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Non-Exempt Award</w:t>
      </w:r>
      <w:r>
        <w:rPr>
          <w:rFonts w:ascii="Arial" w:cs="Arial" w:eastAsia="Arial" w:hAnsi="Arial"/>
          <w:sz w:val="18"/>
          <w:szCs w:val="18"/>
          <w:color w:val="auto"/>
        </w:rPr>
        <w:t>” means the portion of any Non-Exempt Award that had vested in accordance with its terms upon or prior to the date of a Corporate Transaction.</w:t>
      </w:r>
    </w:p>
    <w:p>
      <w:pPr>
        <w:spacing w:after="0" w:line="180" w:lineRule="exact"/>
        <w:rPr>
          <w:rFonts w:ascii="Arial" w:cs="Arial" w:eastAsia="Arial" w:hAnsi="Arial"/>
          <w:sz w:val="18"/>
          <w:szCs w:val="18"/>
          <w:b w:val="1"/>
          <w:bCs w:val="1"/>
          <w:color w:val="auto"/>
        </w:rPr>
      </w:pPr>
    </w:p>
    <w:p>
      <w:pPr>
        <w:ind w:left="1240" w:hanging="598"/>
        <w:spacing w:after="0"/>
        <w:tabs>
          <w:tab w:leader="none" w:pos="124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WM OpCo</w:t>
      </w:r>
      <w:r>
        <w:rPr>
          <w:rFonts w:ascii="Arial" w:cs="Arial" w:eastAsia="Arial" w:hAnsi="Arial"/>
          <w:sz w:val="18"/>
          <w:szCs w:val="18"/>
          <w:color w:val="auto"/>
        </w:rPr>
        <w:t>” means WM Holding Company, LLC, a Delaware limited liability company.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100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1"/>
          <w:szCs w:val="21"/>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WM Technology,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 xml:space="preserve">RSU Award </w:t>
      </w:r>
      <w:r>
        <w:rPr>
          <w:rFonts w:ascii="Arial" w:cs="Arial" w:eastAsia="Arial" w:hAnsi="Arial"/>
          <w:sz w:val="24"/>
          <w:szCs w:val="24"/>
          <w:b w:val="1"/>
          <w:bCs w:val="1"/>
          <w:color w:val="auto"/>
        </w:rPr>
        <w:t>Grant Notice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(WM Technology, Inc. 2021 Equity Incentive Plan)</w:t>
      </w:r>
    </w:p>
    <w:p>
      <w:pPr>
        <w:spacing w:after="0" w:line="200" w:lineRule="exact"/>
        <w:rPr>
          <w:sz w:val="20"/>
          <w:szCs w:val="20"/>
          <w:color w:val="auto"/>
        </w:rPr>
      </w:pP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WM Technology,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to you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number of restricted stock units specified and on the terms set forth below in consideration of your services (the “</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Your RSU Award is subject to all of the terms and conditions as set forth herein and in the WM Technology, Inc.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-13335</wp:posOffset>
            </wp:positionV>
            <wp:extent cx="1123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-20955</wp:posOffset>
            </wp:positionV>
            <wp:extent cx="112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First Vest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-20955</wp:posOffset>
            </wp:positionV>
            <wp:extent cx="1123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-20955</wp:posOffset>
            </wp:positionV>
            <wp:extent cx="1123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206"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____________________________________________________________________</w:t>
      </w:r>
      <w:r>
        <w:rPr>
          <w:rFonts w:ascii="Arial" w:cs="Arial" w:eastAsia="Arial" w:hAnsi="Arial"/>
          <w:sz w:val="15"/>
          <w:szCs w:val="15"/>
          <w:color w:val="auto"/>
        </w:rPr>
        <w:t>]</w:t>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Notwithstanding the foregoing, vesting shall terminate upon the Participant’s termination of Continuous Service.</w:t>
      </w:r>
    </w:p>
    <w:p>
      <w:pPr>
        <w:spacing w:after="0" w:line="226"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Issuance Schedule:</w:t>
      </w:r>
      <w:r>
        <w:rPr>
          <w:sz w:val="20"/>
          <w:szCs w:val="20"/>
          <w:color w:val="auto"/>
        </w:rPr>
        <w:tab/>
      </w:r>
      <w:r>
        <w:rPr>
          <w:rFonts w:ascii="Arial" w:cs="Arial" w:eastAsia="Arial" w:hAnsi="Arial"/>
          <w:sz w:val="15"/>
          <w:szCs w:val="15"/>
          <w:color w:val="auto"/>
        </w:rPr>
        <w:t>One share of Common Stock will be issued at the time set forth in Section 5 of the Agreement for each restricted stock unit which vests.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Participant Acknowledgments: </w:t>
      </w:r>
      <w:r>
        <w:rPr>
          <w:rFonts w:ascii="Arial" w:cs="Arial" w:eastAsia="Arial" w:hAnsi="Arial"/>
          <w:sz w:val="18"/>
          <w:szCs w:val="18"/>
          <w:color w:val="auto"/>
        </w:rPr>
        <w:t>By your signature below or by electronic acceptance or authentication in a form authorized by the Company, you understand</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that:</w:t>
      </w:r>
    </w:p>
    <w:p>
      <w:pPr>
        <w:spacing w:after="0" w:line="69" w:lineRule="exact"/>
        <w:rPr>
          <w:sz w:val="20"/>
          <w:szCs w:val="20"/>
          <w:color w:val="auto"/>
        </w:rPr>
      </w:pPr>
    </w:p>
    <w:p>
      <w:pPr>
        <w:jc w:val="both"/>
        <w:ind w:left="640" w:hanging="316"/>
        <w:spacing w:after="0" w:line="330" w:lineRule="auto"/>
        <w:tabs>
          <w:tab w:leader="none" w:pos="635"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RSU Award is governed by this RSU Award Grant Notice (the “</w:t>
      </w:r>
      <w:r>
        <w:rPr>
          <w:rFonts w:ascii="Arial" w:cs="Arial" w:eastAsia="Arial" w:hAnsi="Arial"/>
          <w:sz w:val="15"/>
          <w:szCs w:val="15"/>
          <w:b w:val="1"/>
          <w:bCs w:val="1"/>
          <w:i w:val="1"/>
          <w:iCs w:val="1"/>
          <w:color w:val="auto"/>
        </w:rPr>
        <w:t>Grant Notice</w:t>
      </w:r>
      <w:r>
        <w:rPr>
          <w:rFonts w:ascii="Arial" w:cs="Arial" w:eastAsia="Arial" w:hAnsi="Arial"/>
          <w:sz w:val="15"/>
          <w:szCs w:val="15"/>
          <w:color w:val="auto"/>
        </w:rPr>
        <w:t>”), and the provisions of the Plan and the Agreement, all of which are made a part of this document. Unless otherwise provided in the Plan, this Grant Notice and the Agreement (together, the “</w:t>
      </w:r>
      <w:r>
        <w:rPr>
          <w:rFonts w:ascii="Arial" w:cs="Arial" w:eastAsia="Arial" w:hAnsi="Arial"/>
          <w:sz w:val="15"/>
          <w:szCs w:val="15"/>
          <w:b w:val="1"/>
          <w:bCs w:val="1"/>
          <w:i w:val="1"/>
          <w:iCs w:val="1"/>
          <w:color w:val="auto"/>
        </w:rPr>
        <w:t>RSU Award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may not be modified, amended or revised except in a writing signed by you and a duly authorized officer of the Company.</w:t>
      </w:r>
    </w:p>
    <w:p>
      <w:pPr>
        <w:spacing w:after="0" w:line="30" w:lineRule="exact"/>
        <w:rPr>
          <w:rFonts w:ascii="Arial" w:cs="Arial" w:eastAsia="Arial" w:hAnsi="Arial"/>
          <w:sz w:val="15"/>
          <w:szCs w:val="15"/>
          <w:color w:val="auto"/>
        </w:rPr>
      </w:pPr>
    </w:p>
    <w:p>
      <w:pPr>
        <w:ind w:left="640" w:right="20" w:hanging="316"/>
        <w:spacing w:after="0" w:line="294" w:lineRule="auto"/>
        <w:tabs>
          <w:tab w:leader="none" w:pos="635" w:val="left"/>
        </w:tabs>
        <w:numPr>
          <w:ilvl w:val="0"/>
          <w:numId w:val="70"/>
        </w:numPr>
        <w:rPr>
          <w:rFonts w:ascii="Arial" w:cs="Arial" w:eastAsia="Arial" w:hAnsi="Arial"/>
          <w:sz w:val="17"/>
          <w:szCs w:val="17"/>
          <w:color w:val="auto"/>
        </w:rPr>
      </w:pPr>
      <w:r>
        <w:rPr>
          <w:rFonts w:ascii="Arial" w:cs="Arial" w:eastAsia="Arial" w:hAnsi="Arial"/>
          <w:sz w:val="17"/>
          <w:szCs w:val="17"/>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51" w:lineRule="exact"/>
        <w:rPr>
          <w:rFonts w:ascii="Arial" w:cs="Arial" w:eastAsia="Arial" w:hAnsi="Arial"/>
          <w:sz w:val="17"/>
          <w:szCs w:val="17"/>
          <w:color w:val="auto"/>
        </w:rPr>
      </w:pPr>
    </w:p>
    <w:p>
      <w:pPr>
        <w:jc w:val="both"/>
        <w:ind w:left="640" w:hanging="316"/>
        <w:spacing w:after="0" w:line="271" w:lineRule="auto"/>
        <w:tabs>
          <w:tab w:leader="none" w:pos="63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ectPr>
          <w:pgSz w:w="11900" w:h="16838" w:orient="portrait"/>
          <w:cols w:equalWidth="0" w:num="1">
            <w:col w:w="11240"/>
          </w:cols>
          <w:pgMar w:left="320" w:top="125" w:right="339" w:bottom="1440" w:gutter="0" w:footer="0" w:header="0"/>
        </w:sectPr>
      </w:pPr>
    </w:p>
    <w:bookmarkStart w:id="48" w:name="page49"/>
    <w:bookmarkEnd w:id="48"/>
    <w:p>
      <w:pPr>
        <w:spacing w:after="0" w:line="272"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b w:val="1"/>
          <w:bCs w:val="1"/>
          <w:color w:val="auto"/>
        </w:rPr>
        <w:t>WM Technology, Inc.:</w:t>
      </w:r>
      <w:r>
        <w:rPr>
          <w:sz w:val="20"/>
          <w:szCs w:val="20"/>
          <w:color w:val="auto"/>
        </w:rPr>
        <w:tab/>
      </w:r>
      <w:r>
        <w:rPr>
          <w:rFonts w:ascii="Arial" w:cs="Arial" w:eastAsia="Arial" w:hAnsi="Arial"/>
          <w:sz w:val="15"/>
          <w:szCs w:val="15"/>
          <w:b w:val="1"/>
          <w:bCs w:val="1"/>
          <w:color w:val="auto"/>
        </w:rPr>
        <w:t>Participant: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-13335</wp:posOffset>
            </wp:positionV>
            <wp:extent cx="1123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417830</wp:posOffset>
            </wp:positionH>
            <wp:positionV relativeFrom="paragraph">
              <wp:posOffset>-13335</wp:posOffset>
            </wp:positionV>
            <wp:extent cx="1123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ind w:left="180"/>
        <w:spacing w:after="0"/>
        <w:tabs>
          <w:tab w:leader="none" w:pos="10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5"/>
          <w:szCs w:val="15"/>
          <w:color w:val="auto"/>
        </w:rPr>
        <w:t>Signature</w:t>
      </w:r>
    </w:p>
    <w:p>
      <w:pPr>
        <w:spacing w:after="0" w:line="20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-13335</wp:posOffset>
            </wp:positionV>
            <wp:extent cx="1123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-13335</wp:posOffset>
            </wp:positionV>
            <wp:extent cx="1123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-13335</wp:posOffset>
            </wp:positionV>
            <wp:extent cx="1123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191" w:lineRule="exact"/>
        <w:rPr>
          <w:sz w:val="20"/>
          <w:szCs w:val="20"/>
          <w:color w:val="auto"/>
        </w:rPr>
      </w:pPr>
    </w:p>
    <w:p>
      <w:pPr>
        <w:spacing w:after="0"/>
        <w:tabs>
          <w:tab w:leader="none" w:pos="1220" w:val="left"/>
        </w:tabs>
        <w:rPr>
          <w:sz w:val="20"/>
          <w:szCs w:val="20"/>
          <w:color w:val="auto"/>
        </w:rPr>
      </w:pPr>
      <w:r>
        <w:rPr>
          <w:rFonts w:ascii="Arial" w:cs="Arial" w:eastAsia="Arial" w:hAnsi="Arial"/>
          <w:sz w:val="15"/>
          <w:szCs w:val="15"/>
          <w:b w:val="1"/>
          <w:bCs w:val="1"/>
          <w:color w:val="auto"/>
        </w:rPr>
        <w:t>Attachments:</w:t>
      </w:r>
      <w:r>
        <w:rPr>
          <w:sz w:val="20"/>
          <w:szCs w:val="20"/>
          <w:color w:val="auto"/>
        </w:rPr>
        <w:tab/>
      </w:r>
      <w:r>
        <w:rPr>
          <w:rFonts w:ascii="Arial" w:cs="Arial" w:eastAsia="Arial" w:hAnsi="Arial"/>
          <w:sz w:val="15"/>
          <w:szCs w:val="15"/>
          <w:color w:val="auto"/>
        </w:rPr>
        <w:t>RSU Award Agreement, 2021 Equity Incentive Plan</w:t>
      </w:r>
    </w:p>
    <w:p>
      <w:pPr>
        <w:sectPr>
          <w:pgSz w:w="11900" w:h="16838" w:orient="portrait"/>
          <w:cols w:equalWidth="0" w:num="1">
            <w:col w:w="10139"/>
          </w:cols>
          <w:pgMar w:left="320" w:top="1440"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25"/>
          <w:szCs w:val="25"/>
          <w:b w:val="1"/>
          <w:bCs w:val="1"/>
          <w:color w:val="auto"/>
        </w:rPr>
        <w:t>WM Technology,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2021 Equity Incentive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Award Agreement (RSU Award)</w:t>
      </w:r>
    </w:p>
    <w:p>
      <w:pPr>
        <w:spacing w:after="0" w:line="200" w:lineRule="exact"/>
        <w:rPr>
          <w:sz w:val="20"/>
          <w:szCs w:val="20"/>
          <w:color w:val="auto"/>
        </w:rPr>
      </w:pPr>
    </w:p>
    <w:p>
      <w:pPr>
        <w:spacing w:after="0" w:line="239"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As reflected by your RSU Award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WM Technology,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 RSU Award under the WM Technology, Inc.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stock units as indicated in your Grant Notice (the “</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The terms of your RSU Award as specified in this Award Agreement for your RSU Award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Grant Notice constitute your “</w:t>
      </w:r>
      <w:r>
        <w:rPr>
          <w:rFonts w:ascii="Arial" w:cs="Arial" w:eastAsia="Arial" w:hAnsi="Arial"/>
          <w:sz w:val="18"/>
          <w:szCs w:val="18"/>
          <w:b w:val="1"/>
          <w:bCs w:val="1"/>
          <w:i w:val="1"/>
          <w:iCs w:val="1"/>
          <w:color w:val="auto"/>
        </w:rPr>
        <w:t>RSU</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Defined terms not explicitly defined in this Agreement but defined in the Grant Notice or the Plan shall have the same definitions as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Grant Notice or Plan, as applicable.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general terms applicable to your RSU Award are as follows:</w:t>
      </w:r>
    </w:p>
    <w:p>
      <w:pPr>
        <w:spacing w:after="0" w:line="251" w:lineRule="exact"/>
        <w:rPr>
          <w:sz w:val="20"/>
          <w:szCs w:val="20"/>
          <w:color w:val="auto"/>
        </w:rPr>
      </w:pPr>
    </w:p>
    <w:p>
      <w:pPr>
        <w:ind w:left="1280" w:hanging="638"/>
        <w:spacing w:after="0"/>
        <w:tabs>
          <w:tab w:leader="none" w:pos="1280" w:val="left"/>
        </w:tabs>
        <w:numPr>
          <w:ilvl w:val="0"/>
          <w:numId w:val="71"/>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Governing Plan Document. </w:t>
      </w:r>
      <w:r>
        <w:rPr>
          <w:rFonts w:ascii="Arial" w:cs="Arial" w:eastAsia="Arial" w:hAnsi="Arial"/>
          <w:sz w:val="16"/>
          <w:szCs w:val="16"/>
          <w:color w:val="auto"/>
        </w:rPr>
        <w:t>Your RSU Award is subject to all the provisions of the Plan, including but not limited to the provisions in:</w:t>
      </w:r>
    </w:p>
    <w:p>
      <w:pPr>
        <w:spacing w:after="0" w:line="251" w:lineRule="exact"/>
        <w:rPr>
          <w:rFonts w:ascii="Arial" w:cs="Arial" w:eastAsia="Arial" w:hAnsi="Arial"/>
          <w:sz w:val="19"/>
          <w:szCs w:val="19"/>
          <w:b w:val="1"/>
          <w:bCs w:val="1"/>
          <w:color w:val="auto"/>
        </w:rPr>
      </w:pPr>
    </w:p>
    <w:p>
      <w:pPr>
        <w:ind w:left="1900" w:hanging="622"/>
        <w:spacing w:after="0"/>
        <w:tabs>
          <w:tab w:leader="none" w:pos="1900" w:val="left"/>
        </w:tabs>
        <w:numPr>
          <w:ilvl w:val="1"/>
          <w:numId w:val="71"/>
        </w:numPr>
        <w:rPr>
          <w:rFonts w:ascii="Arial" w:cs="Arial" w:eastAsia="Arial" w:hAnsi="Arial"/>
          <w:sz w:val="19"/>
          <w:szCs w:val="19"/>
          <w:b w:val="1"/>
          <w:bCs w:val="1"/>
          <w:color w:val="auto"/>
        </w:rPr>
      </w:pPr>
      <w:r>
        <w:rPr>
          <w:rFonts w:ascii="Arial" w:cs="Arial" w:eastAsia="Arial" w:hAnsi="Arial"/>
          <w:sz w:val="16"/>
          <w:szCs w:val="16"/>
          <w:color w:val="auto"/>
        </w:rPr>
        <w:t>Section 7 of the Plan regarding the impact of a Capitalization Adjustment, dissolution, liquidation, or Corporate Transaction on</w:t>
      </w:r>
    </w:p>
    <w:p>
      <w:pPr>
        <w:spacing w:after="0" w:line="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8"/>
          <w:szCs w:val="18"/>
          <w:color w:val="auto"/>
        </w:rPr>
        <w:t>your RSU Award;</w:t>
      </w:r>
    </w:p>
    <w:p>
      <w:pPr>
        <w:spacing w:after="0" w:line="242" w:lineRule="exact"/>
        <w:rPr>
          <w:rFonts w:ascii="Arial" w:cs="Arial" w:eastAsia="Arial" w:hAnsi="Arial"/>
          <w:sz w:val="19"/>
          <w:szCs w:val="19"/>
          <w:b w:val="1"/>
          <w:bCs w:val="1"/>
          <w:color w:val="auto"/>
        </w:rPr>
      </w:pPr>
    </w:p>
    <w:p>
      <w:pPr>
        <w:ind w:left="1900" w:hanging="622"/>
        <w:spacing w:after="0"/>
        <w:tabs>
          <w:tab w:leader="none" w:pos="1900" w:val="left"/>
        </w:tabs>
        <w:numPr>
          <w:ilvl w:val="1"/>
          <w:numId w:val="71"/>
        </w:numPr>
        <w:rPr>
          <w:rFonts w:ascii="Arial" w:cs="Arial" w:eastAsia="Arial" w:hAnsi="Arial"/>
          <w:sz w:val="19"/>
          <w:szCs w:val="19"/>
          <w:b w:val="1"/>
          <w:bCs w:val="1"/>
          <w:color w:val="auto"/>
        </w:rPr>
      </w:pPr>
      <w:r>
        <w:rPr>
          <w:rFonts w:ascii="Arial" w:cs="Arial" w:eastAsia="Arial" w:hAnsi="Arial"/>
          <w:sz w:val="16"/>
          <w:szCs w:val="16"/>
          <w:color w:val="auto"/>
        </w:rPr>
        <w:t>Section 10(e) of the Plan regarding the Company’s retained rights to terminate your Continuous Service notwithstanding the grant</w:t>
      </w:r>
    </w:p>
    <w:p>
      <w:pPr>
        <w:spacing w:after="0" w:line="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8"/>
          <w:szCs w:val="18"/>
          <w:color w:val="auto"/>
        </w:rPr>
        <w:t>of the RSU Award; and</w:t>
      </w:r>
    </w:p>
    <w:p>
      <w:pPr>
        <w:spacing w:after="0" w:line="224" w:lineRule="exact"/>
        <w:rPr>
          <w:rFonts w:ascii="Arial" w:cs="Arial" w:eastAsia="Arial" w:hAnsi="Arial"/>
          <w:sz w:val="19"/>
          <w:szCs w:val="19"/>
          <w:b w:val="1"/>
          <w:bCs w:val="1"/>
          <w:color w:val="auto"/>
        </w:rPr>
      </w:pPr>
    </w:p>
    <w:p>
      <w:pPr>
        <w:ind w:left="1920" w:hanging="642"/>
        <w:spacing w:after="0"/>
        <w:tabs>
          <w:tab w:leader="none" w:pos="1920" w:val="left"/>
        </w:tabs>
        <w:numPr>
          <w:ilvl w:val="1"/>
          <w:numId w:val="71"/>
        </w:numPr>
        <w:rPr>
          <w:rFonts w:ascii="Arial" w:cs="Arial" w:eastAsia="Arial" w:hAnsi="Arial"/>
          <w:sz w:val="21"/>
          <w:szCs w:val="21"/>
          <w:b w:val="1"/>
          <w:bCs w:val="1"/>
          <w:color w:val="auto"/>
        </w:rPr>
      </w:pPr>
      <w:r>
        <w:rPr>
          <w:rFonts w:ascii="Arial" w:cs="Arial" w:eastAsia="Arial" w:hAnsi="Arial"/>
          <w:sz w:val="18"/>
          <w:szCs w:val="18"/>
          <w:color w:val="auto"/>
        </w:rPr>
        <w:t>Section 9(c) of the Plan regarding the tax consequences of your RSU Award.</w:t>
      </w:r>
    </w:p>
    <w:p>
      <w:pPr>
        <w:spacing w:after="0" w:line="201"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45" w:lineRule="exact"/>
        <w:rPr>
          <w:sz w:val="20"/>
          <w:szCs w:val="20"/>
          <w:color w:val="auto"/>
        </w:rPr>
      </w:pPr>
    </w:p>
    <w:p>
      <w:pPr>
        <w:jc w:val="both"/>
        <w:ind w:firstLine="642"/>
        <w:spacing w:after="0" w:line="242" w:lineRule="auto"/>
        <w:tabs>
          <w:tab w:leader="none" w:pos="1272" w:val="left"/>
        </w:tabs>
        <w:numPr>
          <w:ilvl w:val="0"/>
          <w:numId w:val="72"/>
        </w:numPr>
        <w:rPr>
          <w:rFonts w:ascii="Arial" w:cs="Arial" w:eastAsia="Arial" w:hAnsi="Arial"/>
          <w:sz w:val="21"/>
          <w:szCs w:val="21"/>
          <w:b w:val="1"/>
          <w:bCs w:val="1"/>
          <w:color w:val="auto"/>
        </w:rPr>
      </w:pPr>
      <w:r>
        <w:rPr>
          <w:rFonts w:ascii="Arial" w:cs="Arial" w:eastAsia="Arial" w:hAnsi="Arial"/>
          <w:sz w:val="18"/>
          <w:szCs w:val="18"/>
          <w:b w:val="1"/>
          <w:bCs w:val="1"/>
          <w:color w:val="auto"/>
        </w:rPr>
        <w:t xml:space="preserve">Grant of the RSU Award. </w:t>
      </w:r>
      <w:r>
        <w:rPr>
          <w:rFonts w:ascii="Arial" w:cs="Arial" w:eastAsia="Arial" w:hAnsi="Arial"/>
          <w:sz w:val="18"/>
          <w:szCs w:val="18"/>
          <w:color w:val="auto"/>
        </w:rPr>
        <w:t>This RSU Award represents your right to be issued on a future date the number of shares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that is equal to the number of restricted stock units indicated in the Grant Notice as modified to reflect any Capitalization Adjustment and subject to your satisfaction of the vesting conditions set forth therein (the “</w:t>
      </w: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236" w:lineRule="exact"/>
        <w:rPr>
          <w:rFonts w:ascii="Arial" w:cs="Arial" w:eastAsia="Arial" w:hAnsi="Arial"/>
          <w:sz w:val="21"/>
          <w:szCs w:val="21"/>
          <w:b w:val="1"/>
          <w:bCs w:val="1"/>
          <w:color w:val="auto"/>
        </w:rPr>
      </w:pPr>
    </w:p>
    <w:p>
      <w:pPr>
        <w:jc w:val="both"/>
        <w:ind w:firstLine="642"/>
        <w:spacing w:after="0" w:line="239" w:lineRule="auto"/>
        <w:tabs>
          <w:tab w:leader="none" w:pos="1272" w:val="left"/>
        </w:tabs>
        <w:numPr>
          <w:ilvl w:val="0"/>
          <w:numId w:val="72"/>
        </w:numPr>
        <w:rPr>
          <w:rFonts w:ascii="Arial" w:cs="Arial" w:eastAsia="Arial" w:hAnsi="Arial"/>
          <w:sz w:val="21"/>
          <w:szCs w:val="21"/>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You shall receive no benefit or adjustment to this RSU Award with respect to any cash dividend, stock dividend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that does not result from a Capitalization Adjustment; provided, however, that this sentence will not apply with respect to any shares of Common Stock that are delivered to you in connection with your RSU Award after such shares have been delivered to you.</w:t>
      </w:r>
    </w:p>
    <w:p>
      <w:pPr>
        <w:spacing w:after="0" w:line="235" w:lineRule="exact"/>
        <w:rPr>
          <w:rFonts w:ascii="Arial" w:cs="Arial" w:eastAsia="Arial" w:hAnsi="Arial"/>
          <w:sz w:val="21"/>
          <w:szCs w:val="21"/>
          <w:b w:val="1"/>
          <w:bCs w:val="1"/>
          <w:color w:val="auto"/>
        </w:rPr>
      </w:pPr>
    </w:p>
    <w:p>
      <w:pPr>
        <w:jc w:val="both"/>
        <w:ind w:firstLine="642"/>
        <w:spacing w:after="0" w:line="279" w:lineRule="auto"/>
        <w:tabs>
          <w:tab w:leader="none" w:pos="1272" w:val="left"/>
        </w:tabs>
        <w:numPr>
          <w:ilvl w:val="0"/>
          <w:numId w:val="72"/>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Withholding Obligations. </w:t>
      </w:r>
      <w:r>
        <w:rPr>
          <w:rFonts w:ascii="Arial" w:cs="Arial" w:eastAsia="Arial" w:hAnsi="Arial"/>
          <w:sz w:val="16"/>
          <w:szCs w:val="16"/>
          <w:color w:val="auto"/>
        </w:rPr>
        <w:t>As further provided in Section 9 of the Plan, you hereby authorize withholding from payroll and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payable to you, and otherwise agree to make adequate provision for, any sums required to satisfy the federal, state, local and foreign tax withholding obligations, if any, which arise in connection with your RSU Award (the “</w:t>
      </w:r>
      <w:r>
        <w:rPr>
          <w:rFonts w:ascii="Arial" w:cs="Arial" w:eastAsia="Arial" w:hAnsi="Arial"/>
          <w:sz w:val="16"/>
          <w:szCs w:val="16"/>
          <w:b w:val="1"/>
          <w:bCs w:val="1"/>
          <w:i w:val="1"/>
          <w:iCs w:val="1"/>
          <w:color w:val="auto"/>
        </w:rPr>
        <w:t>Withholding Obligation</w:t>
      </w:r>
      <w:r>
        <w:rPr>
          <w:rFonts w:ascii="Arial" w:cs="Arial" w:eastAsia="Arial" w:hAnsi="Arial"/>
          <w:sz w:val="16"/>
          <w:szCs w:val="16"/>
          <w:color w:val="auto"/>
        </w:rPr>
        <w:t>”) in accordance with the withholding procedures</w:t>
      </w:r>
    </w:p>
    <w:p>
      <w:pPr>
        <w:sectPr>
          <w:pgSz w:w="11900" w:h="16838" w:orient="portrait"/>
          <w:cols w:equalWidth="0" w:num="1">
            <w:col w:w="11240"/>
          </w:cols>
          <w:pgMar w:left="320" w:top="1389" w:right="339" w:bottom="1440" w:gutter="0" w:footer="0" w:header="0"/>
        </w:sectPr>
      </w:pPr>
    </w:p>
    <w:bookmarkStart w:id="50" w:name="page51"/>
    <w:bookmarkEnd w:id="50"/>
    <w:p>
      <w:pPr>
        <w:jc w:val="both"/>
        <w:spacing w:after="0" w:line="271" w:lineRule="auto"/>
        <w:rPr>
          <w:sz w:val="20"/>
          <w:szCs w:val="20"/>
          <w:color w:val="auto"/>
        </w:rPr>
      </w:pPr>
      <w:r>
        <w:rPr>
          <w:rFonts w:ascii="Arial" w:cs="Arial" w:eastAsia="Arial" w:hAnsi="Arial"/>
          <w:sz w:val="17"/>
          <w:szCs w:val="17"/>
          <w:color w:val="auto"/>
        </w:rPr>
        <w:t>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99" w:lineRule="exact"/>
        <w:rPr>
          <w:sz w:val="20"/>
          <w:szCs w:val="20"/>
          <w:color w:val="auto"/>
        </w:rPr>
      </w:pPr>
    </w:p>
    <w:p>
      <w:pPr>
        <w:ind w:left="1280" w:hanging="638"/>
        <w:spacing w:after="0"/>
        <w:tabs>
          <w:tab w:leader="none" w:pos="1280" w:val="left"/>
        </w:tabs>
        <w:numPr>
          <w:ilvl w:val="0"/>
          <w:numId w:val="73"/>
        </w:numPr>
        <w:rPr>
          <w:rFonts w:ascii="Arial" w:cs="Arial" w:eastAsia="Arial" w:hAnsi="Arial"/>
          <w:sz w:val="21"/>
          <w:szCs w:val="21"/>
          <w:b w:val="1"/>
          <w:bCs w:val="1"/>
          <w:color w:val="auto"/>
        </w:rPr>
      </w:pPr>
      <w:r>
        <w:rPr>
          <w:rFonts w:ascii="Arial" w:cs="Arial" w:eastAsia="Arial" w:hAnsi="Arial"/>
          <w:sz w:val="18"/>
          <w:szCs w:val="18"/>
          <w:b w:val="1"/>
          <w:bCs w:val="1"/>
          <w:color w:val="auto"/>
        </w:rPr>
        <w:t>Date of Issuance.</w:t>
      </w:r>
    </w:p>
    <w:p>
      <w:pPr>
        <w:spacing w:after="0" w:line="240" w:lineRule="exact"/>
        <w:rPr>
          <w:rFonts w:ascii="Arial" w:cs="Arial" w:eastAsia="Arial" w:hAnsi="Arial"/>
          <w:sz w:val="21"/>
          <w:szCs w:val="21"/>
          <w:b w:val="1"/>
          <w:bCs w:val="1"/>
          <w:color w:val="auto"/>
        </w:rPr>
      </w:pPr>
    </w:p>
    <w:p>
      <w:pPr>
        <w:jc w:val="both"/>
        <w:ind w:firstLine="1278"/>
        <w:spacing w:after="0"/>
        <w:tabs>
          <w:tab w:leader="none" w:pos="1903" w:val="left"/>
        </w:tabs>
        <w:numPr>
          <w:ilvl w:val="1"/>
          <w:numId w:val="73"/>
        </w:numPr>
        <w:rPr>
          <w:rFonts w:ascii="Arial" w:cs="Arial" w:eastAsia="Arial" w:hAnsi="Arial"/>
          <w:sz w:val="21"/>
          <w:szCs w:val="21"/>
          <w:b w:val="1"/>
          <w:bCs w:val="1"/>
          <w:color w:val="auto"/>
        </w:rPr>
      </w:pPr>
      <w:r>
        <w:rPr>
          <w:rFonts w:ascii="Arial" w:cs="Arial" w:eastAsia="Arial" w:hAnsi="Arial"/>
          <w:sz w:val="18"/>
          <w:szCs w:val="18"/>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18"/>
          <w:szCs w:val="18"/>
          <w:b w:val="1"/>
          <w:bCs w:val="1"/>
          <w:i w:val="1"/>
          <w:iCs w:val="1"/>
          <w:color w:val="auto"/>
        </w:rPr>
        <w:t>Original Issuance Date</w:t>
      </w:r>
      <w:r>
        <w:rPr>
          <w:rFonts w:ascii="Arial" w:cs="Arial" w:eastAsia="Arial" w:hAnsi="Arial"/>
          <w:sz w:val="18"/>
          <w:szCs w:val="18"/>
          <w:color w:val="auto"/>
        </w:rPr>
        <w:t>.”</w:t>
      </w:r>
    </w:p>
    <w:p>
      <w:pPr>
        <w:spacing w:after="0" w:line="242" w:lineRule="exact"/>
        <w:rPr>
          <w:rFonts w:ascii="Arial" w:cs="Arial" w:eastAsia="Arial" w:hAnsi="Arial"/>
          <w:sz w:val="21"/>
          <w:szCs w:val="21"/>
          <w:b w:val="1"/>
          <w:bCs w:val="1"/>
          <w:color w:val="auto"/>
        </w:rPr>
      </w:pPr>
    </w:p>
    <w:p>
      <w:pPr>
        <w:ind w:left="1900" w:hanging="622"/>
        <w:spacing w:after="0"/>
        <w:tabs>
          <w:tab w:leader="none" w:pos="1900" w:val="left"/>
        </w:tabs>
        <w:numPr>
          <w:ilvl w:val="1"/>
          <w:numId w:val="73"/>
        </w:numPr>
        <w:rPr>
          <w:rFonts w:ascii="Arial" w:cs="Arial" w:eastAsia="Arial" w:hAnsi="Arial"/>
          <w:sz w:val="19"/>
          <w:szCs w:val="19"/>
          <w:b w:val="1"/>
          <w:bCs w:val="1"/>
          <w:color w:val="auto"/>
        </w:rPr>
      </w:pPr>
      <w:r>
        <w:rPr>
          <w:rFonts w:ascii="Arial" w:cs="Arial" w:eastAsia="Arial" w:hAnsi="Arial"/>
          <w:sz w:val="16"/>
          <w:szCs w:val="16"/>
          <w:color w:val="auto"/>
        </w:rPr>
        <w:t>If the Original Issuance Date falls on a date that is not a business day, delivery shall instead occur on the next following business</w:t>
      </w:r>
    </w:p>
    <w:p>
      <w:pPr>
        <w:spacing w:after="0" w:line="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8"/>
          <w:szCs w:val="18"/>
          <w:color w:val="auto"/>
        </w:rPr>
        <w:t>day. In addition, if:</w:t>
      </w:r>
    </w:p>
    <w:p>
      <w:pPr>
        <w:spacing w:after="0" w:line="242" w:lineRule="exact"/>
        <w:rPr>
          <w:rFonts w:ascii="Arial" w:cs="Arial" w:eastAsia="Arial" w:hAnsi="Arial"/>
          <w:sz w:val="19"/>
          <w:szCs w:val="19"/>
          <w:b w:val="1"/>
          <w:bCs w:val="1"/>
          <w:color w:val="auto"/>
        </w:rPr>
      </w:pPr>
    </w:p>
    <w:p>
      <w:pPr>
        <w:jc w:val="both"/>
        <w:ind w:firstLine="1914"/>
        <w:spacing w:after="0"/>
        <w:tabs>
          <w:tab w:leader="none" w:pos="2532" w:val="left"/>
        </w:tabs>
        <w:numPr>
          <w:ilvl w:val="2"/>
          <w:numId w:val="73"/>
        </w:numPr>
        <w:rPr>
          <w:rFonts w:ascii="Arial" w:cs="Arial" w:eastAsia="Arial" w:hAnsi="Arial"/>
          <w:sz w:val="21"/>
          <w:szCs w:val="21"/>
          <w:b w:val="1"/>
          <w:bCs w:val="1"/>
          <w:color w:val="auto"/>
        </w:rPr>
      </w:pPr>
      <w:r>
        <w:rPr>
          <w:rFonts w:ascii="Arial" w:cs="Arial" w:eastAsia="Arial" w:hAnsi="Arial"/>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8"/>
          <w:szCs w:val="18"/>
          <w:b w:val="1"/>
          <w:bCs w:val="1"/>
          <w:i w:val="1"/>
          <w:iCs w:val="1"/>
          <w:color w:val="auto"/>
        </w:rPr>
        <w:t>10b5-1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Arrangement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w:t>
      </w:r>
    </w:p>
    <w:p>
      <w:pPr>
        <w:spacing w:after="0" w:line="242" w:lineRule="exact"/>
        <w:rPr>
          <w:rFonts w:ascii="Arial" w:cs="Arial" w:eastAsia="Arial" w:hAnsi="Arial"/>
          <w:sz w:val="21"/>
          <w:szCs w:val="21"/>
          <w:b w:val="1"/>
          <w:bCs w:val="1"/>
          <w:color w:val="auto"/>
        </w:rPr>
      </w:pPr>
    </w:p>
    <w:p>
      <w:pPr>
        <w:jc w:val="both"/>
        <w:ind w:firstLine="1914"/>
        <w:spacing w:after="0" w:line="239" w:lineRule="auto"/>
        <w:tabs>
          <w:tab w:leader="none" w:pos="2538" w:val="left"/>
        </w:tabs>
        <w:numPr>
          <w:ilvl w:val="2"/>
          <w:numId w:val="73"/>
        </w:numPr>
        <w:rPr>
          <w:rFonts w:ascii="Arial" w:cs="Arial" w:eastAsia="Arial" w:hAnsi="Arial"/>
          <w:sz w:val="21"/>
          <w:szCs w:val="21"/>
          <w:b w:val="1"/>
          <w:bCs w:val="1"/>
          <w:color w:val="auto"/>
        </w:rPr>
      </w:pPr>
      <w:r>
        <w:rPr>
          <w:rFonts w:ascii="Arial" w:cs="Arial" w:eastAsia="Arial" w:hAnsi="Arial"/>
          <w:sz w:val="18"/>
          <w:szCs w:val="18"/>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241" w:lineRule="exact"/>
        <w:rPr>
          <w:sz w:val="20"/>
          <w:szCs w:val="20"/>
          <w:color w:val="auto"/>
        </w:rPr>
      </w:pPr>
    </w:p>
    <w:p>
      <w:pPr>
        <w:jc w:val="both"/>
        <w:ind w:firstLine="642"/>
        <w:spacing w:after="0" w:line="276" w:lineRule="auto"/>
        <w:tabs>
          <w:tab w:leader="none" w:pos="1272" w:val="left"/>
        </w:tabs>
        <w:numPr>
          <w:ilvl w:val="0"/>
          <w:numId w:val="74"/>
        </w:numPr>
        <w:rPr>
          <w:rFonts w:ascii="Arial" w:cs="Arial" w:eastAsia="Arial" w:hAnsi="Arial"/>
          <w:sz w:val="19"/>
          <w:szCs w:val="19"/>
          <w:b w:val="1"/>
          <w:bCs w:val="1"/>
          <w:color w:val="auto"/>
        </w:rPr>
      </w:pPr>
      <w:r>
        <w:rPr>
          <w:rFonts w:ascii="Arial" w:cs="Arial" w:eastAsia="Arial" w:hAnsi="Arial"/>
          <w:sz w:val="16"/>
          <w:szCs w:val="16"/>
          <w:u w:val="single" w:color="auto"/>
          <w:color w:val="auto"/>
        </w:rPr>
        <w:t>then</w:t>
      </w:r>
      <w:r>
        <w:rPr>
          <w:rFonts w:ascii="Arial" w:cs="Arial" w:eastAsia="Arial" w:hAnsi="Arial"/>
          <w:sz w:val="16"/>
          <w:szCs w:val="16"/>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6"/>
          <w:szCs w:val="16"/>
          <w:u w:val="single" w:color="auto"/>
          <w:color w:val="auto"/>
        </w:rPr>
        <w:t>if and only if</w:t>
      </w:r>
      <w:r>
        <w:rPr>
          <w:rFonts w:ascii="Arial" w:cs="Arial" w:eastAsia="Arial" w:hAnsi="Arial"/>
          <w:sz w:val="16"/>
          <w:szCs w:val="16"/>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96" w:lineRule="exact"/>
        <w:rPr>
          <w:sz w:val="20"/>
          <w:szCs w:val="20"/>
          <w:color w:val="auto"/>
        </w:rPr>
      </w:pPr>
    </w:p>
    <w:p>
      <w:pPr>
        <w:ind w:left="1920" w:hanging="642"/>
        <w:spacing w:after="0"/>
        <w:tabs>
          <w:tab w:leader="none" w:pos="1920" w:val="left"/>
        </w:tabs>
        <w:numPr>
          <w:ilvl w:val="1"/>
          <w:numId w:val="75"/>
        </w:numPr>
        <w:rPr>
          <w:rFonts w:ascii="Arial" w:cs="Arial" w:eastAsia="Arial" w:hAnsi="Arial"/>
          <w:sz w:val="21"/>
          <w:szCs w:val="21"/>
          <w:b w:val="1"/>
          <w:bCs w:val="1"/>
          <w:color w:val="auto"/>
        </w:rPr>
      </w:pPr>
      <w:r>
        <w:rPr>
          <w:rFonts w:ascii="Arial" w:cs="Arial" w:eastAsia="Arial" w:hAnsi="Arial"/>
          <w:sz w:val="18"/>
          <w:szCs w:val="18"/>
          <w:color w:val="auto"/>
        </w:rPr>
        <w:t>To the extent the RSU Award is a Non-Exempt RSU Award, the provisions of Section 12 of the Plan shall apply.</w:t>
      </w:r>
    </w:p>
    <w:p>
      <w:pPr>
        <w:spacing w:after="0" w:line="234" w:lineRule="exact"/>
        <w:rPr>
          <w:rFonts w:ascii="Arial" w:cs="Arial" w:eastAsia="Arial" w:hAnsi="Arial"/>
          <w:sz w:val="21"/>
          <w:szCs w:val="21"/>
          <w:b w:val="1"/>
          <w:bCs w:val="1"/>
          <w:color w:val="auto"/>
        </w:rPr>
      </w:pPr>
    </w:p>
    <w:p>
      <w:pPr>
        <w:ind w:firstLine="642"/>
        <w:spacing w:after="0" w:line="236" w:lineRule="auto"/>
        <w:tabs>
          <w:tab w:leader="none" w:pos="1272" w:val="left"/>
        </w:tabs>
        <w:numPr>
          <w:ilvl w:val="0"/>
          <w:numId w:val="76"/>
        </w:numPr>
        <w:rPr>
          <w:rFonts w:ascii="Arial" w:cs="Arial" w:eastAsia="Arial" w:hAnsi="Arial"/>
          <w:sz w:val="21"/>
          <w:szCs w:val="21"/>
          <w:b w:val="1"/>
          <w:bCs w:val="1"/>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Except as otherwise provided in the Plan, your RSU Award is not transferable, except by will or by the applicable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w:t>
      </w:r>
    </w:p>
    <w:p>
      <w:pPr>
        <w:sectPr>
          <w:pgSz w:w="11900" w:h="16838" w:orient="portrait"/>
          <w:cols w:equalWidth="0" w:num="1">
            <w:col w:w="11240"/>
          </w:cols>
          <w:pgMar w:left="320" w:top="1399" w:right="339" w:bottom="1440" w:gutter="0" w:footer="0" w:header="0"/>
        </w:sectPr>
      </w:pPr>
    </w:p>
    <w:bookmarkStart w:id="51" w:name="page52"/>
    <w:bookmarkEnd w:id="51"/>
    <w:p>
      <w:pPr>
        <w:jc w:val="both"/>
        <w:ind w:left="-642" w:firstLine="642"/>
        <w:spacing w:after="0" w:line="239" w:lineRule="auto"/>
        <w:tabs>
          <w:tab w:leader="none" w:pos="630" w:val="left"/>
        </w:tabs>
        <w:numPr>
          <w:ilvl w:val="0"/>
          <w:numId w:val="77"/>
        </w:numPr>
        <w:rPr>
          <w:rFonts w:ascii="Arial" w:cs="Arial" w:eastAsia="Arial" w:hAnsi="Arial"/>
          <w:sz w:val="21"/>
          <w:szCs w:val="21"/>
          <w:b w:val="1"/>
          <w:bCs w:val="1"/>
          <w:color w:val="auto"/>
        </w:rPr>
      </w:pPr>
      <w:r>
        <w:rPr>
          <w:rFonts w:ascii="Arial" w:cs="Arial" w:eastAsia="Arial" w:hAnsi="Arial"/>
          <w:sz w:val="18"/>
          <w:szCs w:val="18"/>
          <w:b w:val="1"/>
          <w:bCs w:val="1"/>
          <w:color w:val="auto"/>
        </w:rPr>
        <w:t xml:space="preserve">Corporate Transaction. </w:t>
      </w:r>
      <w:r>
        <w:rPr>
          <w:rFonts w:ascii="Arial" w:cs="Arial" w:eastAsia="Arial" w:hAnsi="Arial"/>
          <w:sz w:val="18"/>
          <w:szCs w:val="18"/>
          <w:color w:val="auto"/>
        </w:rPr>
        <w:t>Your RSU Award is subject to the terms of any agreement governing a Corporate Transaction involving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235" w:lineRule="exact"/>
        <w:rPr>
          <w:rFonts w:ascii="Arial" w:cs="Arial" w:eastAsia="Arial" w:hAnsi="Arial"/>
          <w:sz w:val="21"/>
          <w:szCs w:val="21"/>
          <w:b w:val="1"/>
          <w:bCs w:val="1"/>
          <w:color w:val="auto"/>
        </w:rPr>
      </w:pPr>
    </w:p>
    <w:p>
      <w:pPr>
        <w:jc w:val="both"/>
        <w:ind w:left="-642" w:firstLine="642"/>
        <w:spacing w:after="0" w:line="241" w:lineRule="auto"/>
        <w:tabs>
          <w:tab w:leader="none" w:pos="630" w:val="left"/>
        </w:tabs>
        <w:numPr>
          <w:ilvl w:val="0"/>
          <w:numId w:val="77"/>
        </w:numPr>
        <w:rPr>
          <w:rFonts w:ascii="Arial" w:cs="Arial" w:eastAsia="Arial" w:hAnsi="Arial"/>
          <w:sz w:val="21"/>
          <w:szCs w:val="21"/>
          <w:b w:val="1"/>
          <w:bCs w:val="1"/>
          <w:color w:val="auto"/>
        </w:rPr>
      </w:pPr>
      <w:r>
        <w:rPr>
          <w:rFonts w:ascii="Arial" w:cs="Arial" w:eastAsia="Arial" w:hAnsi="Arial"/>
          <w:sz w:val="18"/>
          <w:szCs w:val="18"/>
          <w:b w:val="1"/>
          <w:bCs w:val="1"/>
          <w:color w:val="auto"/>
        </w:rPr>
        <w:t>No Liability for Taxes</w:t>
      </w:r>
      <w:r>
        <w:rPr>
          <w:rFonts w:ascii="Arial" w:cs="Arial" w:eastAsia="Arial" w:hAnsi="Arial"/>
          <w:sz w:val="18"/>
          <w:szCs w:val="18"/>
          <w:color w:val="auto"/>
        </w:rPr>
        <w:t>. As a condition to accepting the RSU Award, you hereby (a) agree to not make any claim against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233" w:lineRule="exact"/>
        <w:rPr>
          <w:rFonts w:ascii="Arial" w:cs="Arial" w:eastAsia="Arial" w:hAnsi="Arial"/>
          <w:sz w:val="21"/>
          <w:szCs w:val="21"/>
          <w:b w:val="1"/>
          <w:bCs w:val="1"/>
          <w:color w:val="auto"/>
        </w:rPr>
      </w:pPr>
    </w:p>
    <w:p>
      <w:pPr>
        <w:jc w:val="both"/>
        <w:ind w:left="-642" w:firstLine="642"/>
        <w:spacing w:after="0" w:line="241" w:lineRule="auto"/>
        <w:tabs>
          <w:tab w:leader="none" w:pos="630" w:val="left"/>
        </w:tabs>
        <w:numPr>
          <w:ilvl w:val="0"/>
          <w:numId w:val="77"/>
        </w:numPr>
        <w:rPr>
          <w:rFonts w:ascii="Arial" w:cs="Arial" w:eastAsia="Arial" w:hAnsi="Arial"/>
          <w:sz w:val="21"/>
          <w:szCs w:val="21"/>
          <w:b w:val="1"/>
          <w:bCs w:val="1"/>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part of this Agreement or the Plan is declared by any court or governmental authority to be unlawful or invalid, such</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233" w:lineRule="exact"/>
        <w:rPr>
          <w:rFonts w:ascii="Arial" w:cs="Arial" w:eastAsia="Arial" w:hAnsi="Arial"/>
          <w:sz w:val="21"/>
          <w:szCs w:val="21"/>
          <w:b w:val="1"/>
          <w:bCs w:val="1"/>
          <w:color w:val="auto"/>
        </w:rPr>
      </w:pPr>
    </w:p>
    <w:p>
      <w:pPr>
        <w:ind w:left="-642" w:firstLine="642"/>
        <w:spacing w:after="0" w:line="290" w:lineRule="auto"/>
        <w:tabs>
          <w:tab w:leader="none" w:pos="630" w:val="left"/>
        </w:tabs>
        <w:numPr>
          <w:ilvl w:val="0"/>
          <w:numId w:val="77"/>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Other Documents. </w:t>
      </w:r>
      <w:r>
        <w:rPr>
          <w:rFonts w:ascii="Arial" w:cs="Arial" w:eastAsia="Arial" w:hAnsi="Arial"/>
          <w:sz w:val="16"/>
          <w:szCs w:val="16"/>
          <w:color w:val="auto"/>
        </w:rPr>
        <w:t>You hereby acknowledge receipt of or the right to receive a document providing the information required by Rule</w:t>
      </w:r>
      <w:r>
        <w:rPr>
          <w:rFonts w:ascii="Arial" w:cs="Arial" w:eastAsia="Arial" w:hAnsi="Arial"/>
          <w:sz w:val="16"/>
          <w:szCs w:val="16"/>
          <w:b w:val="1"/>
          <w:bCs w:val="1"/>
          <w:color w:val="auto"/>
        </w:rPr>
        <w:t xml:space="preserve"> </w:t>
      </w:r>
      <w:r>
        <w:rPr>
          <w:rFonts w:ascii="Arial" w:cs="Arial" w:eastAsia="Arial" w:hAnsi="Arial"/>
          <w:sz w:val="16"/>
          <w:szCs w:val="16"/>
          <w:color w:val="auto"/>
        </w:rPr>
        <w:t>428(b)(1) promulgated under the Securities Act, which includes the Prospectus. In addition, you acknowledge receipt of the Company’s Trading Policy.</w:t>
      </w:r>
    </w:p>
    <w:p>
      <w:pPr>
        <w:spacing w:after="0" w:line="189" w:lineRule="exact"/>
        <w:rPr>
          <w:rFonts w:ascii="Arial" w:cs="Arial" w:eastAsia="Arial" w:hAnsi="Arial"/>
          <w:sz w:val="19"/>
          <w:szCs w:val="19"/>
          <w:b w:val="1"/>
          <w:bCs w:val="1"/>
          <w:color w:val="auto"/>
        </w:rPr>
      </w:pPr>
    </w:p>
    <w:p>
      <w:pPr>
        <w:ind w:left="-642" w:firstLine="642"/>
        <w:spacing w:after="0" w:line="236" w:lineRule="auto"/>
        <w:tabs>
          <w:tab w:leader="none" w:pos="618" w:val="left"/>
        </w:tabs>
        <w:numPr>
          <w:ilvl w:val="0"/>
          <w:numId w:val="77"/>
        </w:numPr>
        <w:rPr>
          <w:rFonts w:ascii="Arial" w:cs="Arial" w:eastAsia="Arial" w:hAnsi="Arial"/>
          <w:sz w:val="21"/>
          <w:szCs w:val="21"/>
          <w:b w:val="1"/>
          <w:bCs w:val="1"/>
          <w:color w:val="auto"/>
        </w:rPr>
      </w:pPr>
      <w:r>
        <w:rPr>
          <w:rFonts w:ascii="Arial" w:cs="Arial" w:eastAsia="Arial" w:hAnsi="Arial"/>
          <w:sz w:val="18"/>
          <w:szCs w:val="18"/>
          <w:b w:val="1"/>
          <w:bCs w:val="1"/>
          <w:color w:val="auto"/>
        </w:rPr>
        <w:t xml:space="preserve">Questions. </w:t>
      </w:r>
      <w:r>
        <w:rPr>
          <w:rFonts w:ascii="Arial" w:cs="Arial" w:eastAsia="Arial" w:hAnsi="Arial"/>
          <w:sz w:val="18"/>
          <w:szCs w:val="18"/>
          <w:color w:val="auto"/>
        </w:rPr>
        <w:t>If you have questions regarding these or any other terms and conditions applicable to your RSU Award, including a summary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federal income tax consequences please see the Prospectus.</w:t>
      </w:r>
    </w:p>
    <w:sectPr>
      <w:pgSz w:w="11900" w:h="16838" w:orient="portrait"/>
      <w:cols w:equalWidth="0" w:num="1">
        <w:col w:w="10598"/>
      </w:cols>
      <w:pgMar w:left="962" w:top="14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decimal"/>
      <w:start w:val="41"/>
    </w:lvl>
  </w:abstractNum>
  <w:abstractNum w:abstractNumId="1">
    <w:nsid w:val="51EAD36B"/>
    <w:multiLevelType w:val="hybridMultilevel"/>
    <w:lvl w:ilvl="0">
      <w:lvlJc w:val="left"/>
      <w:lvlText w:val="(%1)"/>
      <w:numFmt w:val="decimal"/>
      <w:start w:val="1"/>
    </w:lvl>
  </w:abstractNum>
  <w:abstractNum w:abstractNumId="2">
    <w:nsid w:val="2D517796"/>
    <w:multiLevelType w:val="hybridMultilevel"/>
    <w:lvl w:ilvl="0">
      <w:lvlJc w:val="left"/>
      <w:lvlText w:val="(%1)"/>
      <w:numFmt w:val="lowerLetter"/>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3855585C"/>
    <w:multiLevelType w:val="hybridMultilevel"/>
    <w:lvl w:ilvl="0">
      <w:lvlJc w:val="left"/>
      <w:lvlText w:val="%1"/>
      <w:numFmt w:val="lowerLetter"/>
      <w:start w:val="1"/>
    </w:lvl>
    <w:lvl w:ilvl="1">
      <w:lvlJc w:val="left"/>
      <w:lvlText w:val="(%2)"/>
      <w:numFmt w:val="decimal"/>
      <w:start w:val="2"/>
    </w:lvl>
  </w:abstractNum>
  <w:abstractNum w:abstractNumId="6">
    <w:nsid w:val="70A64E2A"/>
    <w:multiLevelType w:val="hybridMultilevel"/>
    <w:lvl w:ilvl="0">
      <w:lvlJc w:val="left"/>
      <w:lvlText w:val="(%1)"/>
      <w:numFmt w:val="lowerLetter"/>
      <w:start w:val="2"/>
    </w:lvl>
    <w:lvl w:ilvl="1">
      <w:lvlJc w:val="left"/>
      <w:lvlText w:val="%2"/>
      <w:numFmt w:val="decimal"/>
      <w:start w:val="1"/>
    </w:lvl>
  </w:abstractNum>
  <w:abstractNum w:abstractNumId="7">
    <w:nsid w:val="6A2342EC"/>
    <w:multiLevelType w:val="hybridMultilevel"/>
    <w:lvl w:ilvl="0">
      <w:lvlJc w:val="left"/>
      <w:lvlText w:val="(%1)"/>
      <w:numFmt w:val="lowerLetter"/>
      <w:start w:val="3"/>
    </w:lvl>
  </w:abstractNum>
  <w:abstractNum w:abstractNumId="8">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9">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
    <w:nsid w:val="725A06F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2">
    <w:nsid w:val="57E4CCA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3">
    <w:nsid w:val="7A6D8D3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
    <w:nsid w:val="4B588F54"/>
    <w:multiLevelType w:val="hybridMultilevel"/>
    <w:lvl w:ilvl="0">
      <w:lvlJc w:val="left"/>
      <w:lvlText w:val="(%1)"/>
      <w:numFmt w:val="lowerLetter"/>
      <w:start w:val="1"/>
    </w:lvl>
  </w:abstractNum>
  <w:abstractNum w:abstractNumId="15">
    <w:nsid w:val="542289EC"/>
    <w:multiLevelType w:val="hybridMultilevel"/>
    <w:lvl w:ilvl="0">
      <w:lvlJc w:val="left"/>
      <w:lvlText w:val="(%1)"/>
      <w:numFmt w:val="lowerLetter"/>
      <w:start w:val="3"/>
    </w:lvl>
    <w:lvl w:ilvl="1">
      <w:lvlJc w:val="left"/>
      <w:lvlText w:val="(%2)"/>
      <w:numFmt w:val="lowerRoman"/>
      <w:start w:val="1"/>
    </w:lvl>
  </w:abstractNum>
  <w:abstractNum w:abstractNumId="16">
    <w:nsid w:val="6DE91B18"/>
    <w:multiLevelType w:val="hybridMultilevel"/>
    <w:lvl w:ilvl="0">
      <w:lvlJc w:val="left"/>
      <w:lvlText w:val="(%1)"/>
      <w:numFmt w:val="lowerLetter"/>
      <w:start w:val="5"/>
    </w:lvl>
    <w:lvl w:ilvl="1">
      <w:lvlJc w:val="left"/>
      <w:lvlText w:val="(%2)"/>
      <w:numFmt w:val="lowerRoman"/>
      <w:start w:val="1"/>
    </w:lvl>
  </w:abstractNum>
  <w:abstractNum w:abstractNumId="17">
    <w:nsid w:val="38437FDB"/>
    <w:multiLevelType w:val="hybridMultilevel"/>
    <w:lvl w:ilvl="0">
      <w:lvlJc w:val="left"/>
      <w:lvlText w:val="(%1)"/>
      <w:numFmt w:val="lowerLetter"/>
      <w:start w:val="8"/>
    </w:lvl>
    <w:lvl w:ilvl="1">
      <w:lvlJc w:val="left"/>
      <w:lvlText w:val="(%2)"/>
      <w:numFmt w:val="lowerRoman"/>
      <w:start w:val="1"/>
    </w:lvl>
  </w:abstractNum>
  <w:abstractNum w:abstractNumId="18">
    <w:nsid w:val="7644A45C"/>
    <w:multiLevelType w:val="hybridMultilevel"/>
    <w:lvl w:ilvl="0">
      <w:lvlJc w:val="left"/>
      <w:lvlText w:val="(%1)"/>
      <w:numFmt w:val="lowerRoman"/>
      <w:start w:val="1"/>
    </w:lvl>
  </w:abstractNum>
  <w:abstractNum w:abstractNumId="19">
    <w:nsid w:val="32FFF902"/>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20">
    <w:nsid w:val="684A481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1">
    <w:nsid w:val="579478F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22">
    <w:nsid w:val="749ABB43"/>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23">
    <w:nsid w:val="3DC240F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4">
    <w:nsid w:val="1BA026FA"/>
    <w:multiLevelType w:val="hybridMultilevel"/>
    <w:lvl w:ilvl="0">
      <w:lvlJc w:val="left"/>
      <w:lvlText w:val="%1."/>
      <w:numFmt w:val="decimal"/>
      <w:start w:val="6"/>
    </w:lvl>
    <w:lvl w:ilvl="1">
      <w:lvlJc w:val="left"/>
      <w:lvlText w:val="(%2)"/>
      <w:numFmt w:val="lowerLetter"/>
      <w:start w:val="1"/>
    </w:lvl>
  </w:abstractNum>
  <w:abstractNum w:abstractNumId="25">
    <w:nsid w:val="79A1DEAA"/>
    <w:multiLevelType w:val="hybridMultilevel"/>
    <w:lvl w:ilvl="0">
      <w:lvlJc w:val="left"/>
      <w:lvlText w:val="%1"/>
      <w:numFmt w:val="decimal"/>
      <w:start w:val="1"/>
    </w:lvl>
    <w:lvl w:ilvl="1">
      <w:lvlJc w:val="left"/>
      <w:lvlText w:val="(%2)"/>
      <w:numFmt w:val="lowerLetter"/>
      <w:start w:val="3"/>
    </w:lvl>
  </w:abstractNum>
  <w:abstractNum w:abstractNumId="26">
    <w:nsid w:val="75C6C33A"/>
    <w:multiLevelType w:val="hybridMultilevel"/>
    <w:lvl w:ilvl="0">
      <w:lvlJc w:val="left"/>
      <w:lvlText w:val="%1."/>
      <w:numFmt w:val="decimal"/>
      <w:start w:val="7"/>
    </w:lvl>
    <w:lvl w:ilvl="1">
      <w:lvlJc w:val="left"/>
      <w:lvlText w:val="(%2)"/>
      <w:numFmt w:val="lowerLetter"/>
      <w:start w:val="1"/>
    </w:lvl>
  </w:abstractNum>
  <w:abstractNum w:abstractNumId="27">
    <w:nsid w:val="12E685FB"/>
    <w:multiLevelType w:val="hybridMultilevel"/>
    <w:lvl w:ilvl="0">
      <w:lvlJc w:val="left"/>
      <w:lvlText w:val="(%1)"/>
      <w:numFmt w:val="lowerRoman"/>
      <w:start w:val="1"/>
    </w:lvl>
  </w:abstractNum>
  <w:abstractNum w:abstractNumId="28">
    <w:nsid w:val="70C6A52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9">
    <w:nsid w:val="520EEDD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0">
    <w:nsid w:val="374A3FE6"/>
    <w:multiLevelType w:val="hybridMultilevel"/>
    <w:lvl w:ilvl="0">
      <w:lvlJc w:val="left"/>
      <w:lvlText w:val="(%1)"/>
      <w:numFmt w:val="lowerRoman"/>
      <w:start w:val="3"/>
    </w:lvl>
  </w:abstractNum>
  <w:abstractNum w:abstractNumId="31">
    <w:nsid w:val="4F4EF005"/>
    <w:multiLevelType w:val="hybridMultilevel"/>
    <w:lvl w:ilvl="0">
      <w:lvlJc w:val="left"/>
      <w:lvlText w:val="%1"/>
      <w:numFmt w:val="lowerLetter"/>
      <w:start w:val="1"/>
    </w:lvl>
    <w:lvl w:ilvl="1">
      <w:lvlJc w:val="left"/>
      <w:lvlText w:val="(%2)"/>
      <w:numFmt w:val="lowerRoman"/>
      <w:start w:val="12"/>
    </w:lvl>
  </w:abstractNum>
  <w:abstractNum w:abstractNumId="32">
    <w:nsid w:val="23F9C13C"/>
    <w:multiLevelType w:val="hybridMultilevel"/>
    <w:lvl w:ilvl="0">
      <w:lvlJc w:val="left"/>
      <w:lvlText w:val="(%1)"/>
      <w:numFmt w:val="lowerLetter"/>
      <w:start w:val="3"/>
    </w:lvl>
    <w:lvl w:ilvl="1">
      <w:lvlJc w:val="left"/>
      <w:lvlText w:val="(%2)"/>
      <w:numFmt w:val="lowerRoman"/>
      <w:start w:val="1"/>
    </w:lvl>
  </w:abstractNum>
  <w:abstractNum w:abstractNumId="33">
    <w:nsid w:val="649BB77C"/>
    <w:multiLevelType w:val="hybridMultilevel"/>
    <w:lvl w:ilvl="0">
      <w:lvlJc w:val="left"/>
      <w:lvlText w:val="%1."/>
      <w:numFmt w:val="decimal"/>
      <w:start w:val="9"/>
    </w:lvl>
    <w:lvl w:ilvl="1">
      <w:lvlJc w:val="left"/>
      <w:lvlText w:val="(%2)"/>
      <w:numFmt w:val="lowerLetter"/>
      <w:start w:val="1"/>
    </w:lvl>
  </w:abstractNum>
  <w:abstractNum w:abstractNumId="34">
    <w:nsid w:val="275AC794"/>
    <w:multiLevelType w:val="hybridMultilevel"/>
    <w:lvl w:ilvl="0">
      <w:lvlJc w:val="left"/>
      <w:lvlText w:val="%1"/>
      <w:numFmt w:val="decimal"/>
      <w:start w:val="1"/>
    </w:lvl>
    <w:lvl w:ilvl="1">
      <w:lvlJc w:val="left"/>
      <w:lvlText w:val="(%2)"/>
      <w:numFmt w:val="lowerLetter"/>
      <w:start w:val="4"/>
    </w:lvl>
  </w:abstractNum>
  <w:abstractNum w:abstractNumId="35">
    <w:nsid w:val="39386575"/>
    <w:multiLevelType w:val="hybridMultilevel"/>
    <w:lvl w:ilvl="0">
      <w:lvlJc w:val="left"/>
      <w:lvlText w:val="%1."/>
      <w:numFmt w:val="decimal"/>
      <w:start w:val="10"/>
    </w:lvl>
    <w:lvl w:ilvl="1">
      <w:lvlJc w:val="left"/>
      <w:lvlText w:val="(%2)"/>
      <w:numFmt w:val="lowerLetter"/>
      <w:start w:val="1"/>
    </w:lvl>
  </w:abstractNum>
  <w:abstractNum w:abstractNumId="36">
    <w:nsid w:val="1CF10FD8"/>
    <w:multiLevelType w:val="hybridMultilevel"/>
    <w:lvl w:ilvl="0">
      <w:lvlJc w:val="left"/>
      <w:lvlText w:val="(%1)"/>
      <w:numFmt w:val="lowerLetter"/>
      <w:start w:val="6"/>
    </w:lvl>
  </w:abstractNum>
  <w:abstractNum w:abstractNumId="37">
    <w:nsid w:val="180115BE"/>
    <w:multiLevelType w:val="hybridMultilevel"/>
    <w:lvl w:ilvl="0">
      <w:lvlJc w:val="left"/>
      <w:lvlText w:val="(%1)"/>
      <w:numFmt w:val="lowerLetter"/>
      <w:start w:val="10"/>
    </w:lvl>
  </w:abstractNum>
  <w:abstractNum w:abstractNumId="38">
    <w:nsid w:val="235BA861"/>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39">
    <w:nsid w:val="47398C89"/>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0">
    <w:nsid w:val="354FE9F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decimal"/>
      <w:start w:val="1"/>
    </w:lvl>
  </w:abstractNum>
  <w:abstractNum w:abstractNumId="41">
    <w:nsid w:val="15B5AF5C"/>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decimal"/>
      <w:start w:val="1"/>
    </w:lvl>
  </w:abstractNum>
  <w:abstractNum w:abstractNumId="42">
    <w:nsid w:val="741226BB"/>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43">
    <w:nsid w:val="D34B6A8"/>
    <w:multiLevelType w:val="hybridMultilevel"/>
    <w:lvl w:ilvl="0">
      <w:lvlJc w:val="left"/>
      <w:lvlText w:val="(%1)"/>
      <w:numFmt w:val="lowerRoman"/>
      <w:start w:val="2"/>
    </w:lvl>
  </w:abstractNum>
  <w:abstractNum w:abstractNumId="44">
    <w:nsid w:val="10233C9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5">
    <w:nsid w:val="3F6AB60F"/>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46">
    <w:nsid w:val="61574095"/>
    <w:multiLevelType w:val="hybridMultilevel"/>
    <w:lvl w:ilvl="0">
      <w:lvlJc w:val="left"/>
      <w:lvlText w:val="%1"/>
      <w:numFmt w:val="lowerLetter"/>
      <w:start w:val="1"/>
    </w:lvl>
    <w:lvl w:ilvl="1">
      <w:lvlJc w:val="left"/>
      <w:lvlText w:val="(%2)"/>
      <w:numFmt w:val="lowerLetter"/>
      <w:start w:val="35"/>
    </w:lvl>
  </w:abstractNum>
  <w:abstractNum w:abstractNumId="47">
    <w:nsid w:val="7E0C57B1"/>
    <w:multiLevelType w:val="hybridMultilevel"/>
    <w:lvl w:ilvl="0">
      <w:lvlJc w:val="left"/>
      <w:lvlText w:val="(%1)"/>
      <w:numFmt w:val="lowerLetter"/>
      <w:start w:val="5"/>
    </w:lvl>
    <w:lvl w:ilvl="1">
      <w:lvlJc w:val="left"/>
      <w:lvlText w:val="(%2)"/>
      <w:numFmt w:val="lowerLetter"/>
      <w:start w:val="9"/>
    </w:lvl>
  </w:abstractNum>
  <w:abstractNum w:abstractNumId="48">
    <w:nsid w:val="77AE35EB"/>
    <w:multiLevelType w:val="hybridMultilevel"/>
    <w:lvl w:ilvl="0">
      <w:lvlJc w:val="left"/>
      <w:lvlText w:val="(%1)"/>
      <w:numFmt w:val="lowerRoman"/>
      <w:start w:val="2"/>
    </w:lvl>
  </w:abstractNum>
  <w:abstractNum w:abstractNumId="49">
    <w:nsid w:val="579BE4F1"/>
    <w:multiLevelType w:val="hybridMultilevel"/>
    <w:lvl w:ilvl="0">
      <w:lvlJc w:val="left"/>
      <w:lvlText w:val="%1."/>
      <w:numFmt w:val="decimal"/>
      <w:start w:val="13"/>
    </w:lvl>
  </w:abstractNum>
  <w:abstractNum w:abstractNumId="50">
    <w:nsid w:val="310C50B3"/>
    <w:multiLevelType w:val="hybridMultilevel"/>
    <w:lvl w:ilvl="0">
      <w:lvlJc w:val="left"/>
      <w:lvlText w:val="%1."/>
      <w:numFmt w:val="decimal"/>
      <w:start w:val="14"/>
    </w:lvl>
  </w:abstractNum>
  <w:abstractNum w:abstractNumId="51">
    <w:nsid w:val="5FF87E05"/>
    <w:multiLevelType w:val="hybridMultilevel"/>
    <w:lvl w:ilvl="0">
      <w:lvlJc w:val="left"/>
      <w:lvlText w:val="%1."/>
      <w:numFmt w:val="decimal"/>
      <w:start w:val="15"/>
    </w:lvl>
  </w:abstractNum>
  <w:abstractNum w:abstractNumId="52">
    <w:nsid w:val="2F305DEF"/>
    <w:multiLevelType w:val="hybridMultilevel"/>
    <w:lvl w:ilvl="0">
      <w:lvlJc w:val="left"/>
      <w:lvlText w:val="(%1)"/>
      <w:numFmt w:val="lowerLetter"/>
      <w:start w:val="1"/>
    </w:lvl>
  </w:abstractNum>
  <w:abstractNum w:abstractNumId="53">
    <w:nsid w:val="25A70BF7"/>
    <w:multiLevelType w:val="hybridMultilevel"/>
    <w:lvl w:ilvl="0">
      <w:lvlJc w:val="left"/>
      <w:lvlText w:val="(%1)"/>
      <w:numFmt w:val="lowerLetter"/>
      <w:start w:val="9"/>
    </w:lvl>
    <w:lvl w:ilvl="1">
      <w:lvlJc w:val="left"/>
      <w:lvlText w:val="(%2)"/>
      <w:numFmt w:val="lowerLetter"/>
      <w:start w:val="9"/>
    </w:lvl>
  </w:abstractNum>
  <w:abstractNum w:abstractNumId="54">
    <w:nsid w:val="1DBABF00"/>
    <w:multiLevelType w:val="hybridMultilevel"/>
    <w:lvl w:ilvl="0">
      <w:lvlJc w:val="left"/>
      <w:lvlText w:val="(%1)"/>
      <w:numFmt w:val="lowerRoman"/>
      <w:start w:val="2"/>
    </w:lvl>
  </w:abstractNum>
  <w:abstractNum w:abstractNumId="55">
    <w:nsid w:val="4AD084E9"/>
    <w:multiLevelType w:val="hybridMultilevel"/>
    <w:lvl w:ilvl="0">
      <w:lvlJc w:val="left"/>
      <w:lvlText w:val="(%1)"/>
      <w:numFmt w:val="lowerLetter"/>
      <w:start w:val="11"/>
    </w:lvl>
  </w:abstractNum>
  <w:abstractNum w:abstractNumId="56">
    <w:nsid w:val="1F48EAA1"/>
    <w:multiLevelType w:val="hybridMultilevel"/>
    <w:lvl w:ilvl="0">
      <w:lvlJc w:val="left"/>
      <w:lvlText w:val="(%1)"/>
      <w:numFmt w:val="lowerLetter"/>
      <w:start w:val="17"/>
    </w:lvl>
    <w:lvl w:ilvl="1">
      <w:lvlJc w:val="left"/>
      <w:lvlText w:val="(%2)"/>
      <w:numFmt w:val="lowerRoman"/>
      <w:start w:val="1"/>
    </w:lvl>
  </w:abstractNum>
  <w:abstractNum w:abstractNumId="57">
    <w:nsid w:val="1381823A"/>
    <w:multiLevelType w:val="hybridMultilevel"/>
    <w:lvl w:ilvl="0">
      <w:lvlJc w:val="left"/>
      <w:lvlText w:val="(%1)"/>
      <w:numFmt w:val="lowerLetter"/>
      <w:start w:val="19"/>
    </w:lvl>
  </w:abstractNum>
  <w:abstractNum w:abstractNumId="58">
    <w:nsid w:val="5DB70AE5"/>
    <w:multiLevelType w:val="hybridMultilevel"/>
    <w:lvl w:ilvl="0">
      <w:lvlJc w:val="left"/>
      <w:lvlText w:val="(%1)"/>
      <w:numFmt w:val="lowerLetter"/>
      <w:start w:val="27"/>
    </w:lvl>
  </w:abstractNum>
  <w:abstractNum w:abstractNumId="59">
    <w:nsid w:val="100F8FCA"/>
    <w:multiLevelType w:val="hybridMultilevel"/>
    <w:lvl w:ilvl="0">
      <w:lvlJc w:val="left"/>
      <w:lvlText w:val="(%1)"/>
      <w:numFmt w:val="lowerRoman"/>
      <w:start w:val="1"/>
    </w:lvl>
  </w:abstractNum>
  <w:abstractNum w:abstractNumId="60">
    <w:nsid w:val="6590700B"/>
    <w:multiLevelType w:val="hybridMultilevel"/>
    <w:lvl w:ilvl="0">
      <w:lvlJc w:val="left"/>
      <w:lvlText w:val="%1"/>
      <w:numFmt w:val="lowerLetter"/>
      <w:start w:val="1"/>
    </w:lvl>
    <w:lvl w:ilvl="1">
      <w:lvlJc w:val="left"/>
      <w:lvlText w:val="(%2)"/>
      <w:numFmt w:val="lowerRoman"/>
      <w:start w:val="2"/>
    </w:lvl>
  </w:abstractNum>
  <w:abstractNum w:abstractNumId="61">
    <w:nsid w:val="15014ACB"/>
    <w:multiLevelType w:val="hybridMultilevel"/>
    <w:lvl w:ilvl="0">
      <w:lvlJc w:val="left"/>
      <w:lvlText w:val="(%1)"/>
      <w:numFmt w:val="lowerLetter"/>
      <w:start w:val="29"/>
    </w:lvl>
    <w:lvl w:ilvl="1">
      <w:lvlJc w:val="left"/>
      <w:lvlText w:val="%2"/>
      <w:numFmt w:val="lowerRoman"/>
      <w:start w:val="1"/>
    </w:lvl>
  </w:abstractNum>
  <w:abstractNum w:abstractNumId="62">
    <w:nsid w:val="5F5E7FD0"/>
    <w:multiLevelType w:val="hybridMultilevel"/>
    <w:lvl w:ilvl="0">
      <w:lvlJc w:val="left"/>
      <w:lvlText w:val="(%1)"/>
      <w:numFmt w:val="lowerLetter"/>
      <w:start w:val="34"/>
    </w:lvl>
  </w:abstractNum>
  <w:abstractNum w:abstractNumId="63">
    <w:nsid w:val="98A3148"/>
    <w:multiLevelType w:val="hybridMultilevel"/>
    <w:lvl w:ilvl="0">
      <w:lvlJc w:val="left"/>
      <w:lvlText w:val="(%1)"/>
      <w:numFmt w:val="lowerLetter"/>
      <w:start w:val="44"/>
    </w:lvl>
  </w:abstractNum>
  <w:abstractNum w:abstractNumId="64">
    <w:nsid w:val="799D0247"/>
    <w:multiLevelType w:val="hybridMultilevel"/>
    <w:lvl w:ilvl="0">
      <w:lvlJc w:val="left"/>
      <w:lvlText w:val="%1"/>
      <w:numFmt w:val="decimal"/>
      <w:start w:val="1"/>
    </w:lvl>
    <w:lvl w:ilvl="1">
      <w:lvlJc w:val="left"/>
      <w:lvlText w:val="(%2)"/>
      <w:numFmt w:val="lowerLetter"/>
      <w:start w:val="51"/>
    </w:lvl>
  </w:abstractNum>
  <w:abstractNum w:abstractNumId="65">
    <w:nsid w:val="6B94764"/>
    <w:multiLevelType w:val="hybridMultilevel"/>
    <w:lvl w:ilvl="0">
      <w:lvlJc w:val="left"/>
      <w:lvlText w:val="(%1)"/>
      <w:numFmt w:val="decimal"/>
      <w:start w:val="9"/>
    </w:lvl>
    <w:lvl w:ilvl="1">
      <w:lvlJc w:val="left"/>
      <w:lvlText w:val="(%2)"/>
      <w:numFmt w:val="lowerLetter"/>
      <w:start w:val="52"/>
    </w:lvl>
  </w:abstractNum>
  <w:abstractNum w:abstractNumId="66">
    <w:nsid w:val="42C296BD"/>
    <w:multiLevelType w:val="hybridMultilevel"/>
    <w:lvl w:ilvl="0">
      <w:lvlJc w:val="left"/>
      <w:lvlText w:val="(%1)"/>
      <w:numFmt w:val="lowerLetter"/>
      <w:start w:val="53"/>
    </w:lvl>
  </w:abstractNum>
  <w:abstractNum w:abstractNumId="67">
    <w:nsid w:val="168E121F"/>
    <w:multiLevelType w:val="hybridMultilevel"/>
    <w:lvl w:ilvl="0">
      <w:lvlJc w:val="left"/>
      <w:lvlText w:val="(%1)"/>
      <w:numFmt w:val="lowerLetter"/>
      <w:start w:val="59"/>
    </w:lvl>
  </w:abstractNum>
  <w:abstractNum w:abstractNumId="68">
    <w:nsid w:val="1EBA5D23"/>
    <w:multiLevelType w:val="hybridMultilevel"/>
    <w:lvl w:ilvl="0">
      <w:lvlJc w:val="left"/>
      <w:lvlText w:val="(%1)"/>
      <w:numFmt w:val="lowerLetter"/>
      <w:start w:val="70"/>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1."/>
      <w:numFmt w:val="decimal"/>
      <w:start w:val="1"/>
    </w:lvl>
    <w:lvl w:ilvl="1">
      <w:lvlJc w:val="left"/>
      <w:lvlText w:val="(%2)"/>
      <w:numFmt w:val="lowerLetter"/>
      <w:start w:val="1"/>
    </w:lvl>
  </w:abstractNum>
  <w:abstractNum w:abstractNumId="71">
    <w:nsid w:val="540A471C"/>
    <w:multiLevelType w:val="hybridMultilevel"/>
    <w:lvl w:ilvl="0">
      <w:lvlJc w:val="left"/>
      <w:lvlText w:val="%1."/>
      <w:numFmt w:val="decimal"/>
      <w:start w:val="2"/>
    </w:lvl>
  </w:abstractNum>
  <w:abstractNum w:abstractNumId="72">
    <w:nsid w:val="7BD3EE7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3">
    <w:nsid w:val="51D9C564"/>
    <w:multiLevelType w:val="hybridMultilevel"/>
    <w:lvl w:ilvl="0">
      <w:lvlJc w:val="left"/>
      <w:lvlText w:val="(%1)"/>
      <w:numFmt w:val="lowerRoman"/>
      <w:start w:val="3"/>
    </w:lvl>
  </w:abstractNum>
  <w:abstractNum w:abstractNumId="74">
    <w:nsid w:val="613EFDC5"/>
    <w:multiLevelType w:val="hybridMultilevel"/>
    <w:lvl w:ilvl="0">
      <w:lvlJc w:val="left"/>
      <w:lvlText w:val="%1"/>
      <w:numFmt w:val="decimal"/>
      <w:start w:val="1"/>
    </w:lvl>
    <w:lvl w:ilvl="1">
      <w:lvlJc w:val="left"/>
      <w:lvlText w:val="(%2)"/>
      <w:numFmt w:val="lowerLetter"/>
      <w:start w:val="3"/>
    </w:lvl>
  </w:abstractNum>
  <w:abstractNum w:abstractNumId="75">
    <w:nsid w:val="BF72B14"/>
    <w:multiLevelType w:val="hybridMultilevel"/>
    <w:lvl w:ilvl="0">
      <w:lvlJc w:val="left"/>
      <w:lvlText w:val="%1."/>
      <w:numFmt w:val="decimal"/>
      <w:start w:val="6"/>
    </w:lvl>
    <w:lvl w:ilvl="1">
      <w:lvlJc w:val="left"/>
      <w:lvlText w:val="%2"/>
      <w:numFmt w:val="lowerLetter"/>
      <w:start w:val="1"/>
    </w:lvl>
  </w:abstractNum>
  <w:abstractNum w:abstractNumId="76">
    <w:nsid w:val="11447B73"/>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jpeg"/><Relationship Id="rId27" Type="http://schemas.openxmlformats.org/officeDocument/2006/relationships/image" Target="media/image15.jpe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13" Type="http://schemas.openxmlformats.org/officeDocument/2006/relationships/hyperlink" Target="https://www.sec.gov/Archives/edgar/data/1779474/000114036121021785/brhc10025756_ex3-1.htm" TargetMode="External"/><Relationship Id="rId14" Type="http://schemas.openxmlformats.org/officeDocument/2006/relationships/hyperlink" Target="https://www.sec.gov/Archives/edgar/data/1779474/000114036121021785/brhc10025756_ex3-2.htm" TargetMode="External"/><Relationship Id="rId15" Type="http://schemas.openxmlformats.org/officeDocument/2006/relationships/hyperlink" Target="https://www.sec.gov/Archives/edgar/data/1779474/000114036121021785/brhc10025756_ex16-1.htm" TargetMode="External"/><Relationship Id="rId16" Type="http://schemas.openxmlformats.org/officeDocument/2006/relationships/hyperlink" Target="https://www.sec.gov/Archives/edgar/data/1779474/000114036121021785/brhc10025756_ex10-8.htm" TargetMode="External"/><Relationship Id="rId17" Type="http://schemas.openxmlformats.org/officeDocument/2006/relationships/hyperlink" Target="https://www.sec.gov/Archives/edgar/data/1779474/000114036121021785/brhc10025756_ex10-7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2021-08-26T05:15:37Z</dcterms:created>
  <dcterms:modified xsi:type="dcterms:W3CDTF">2021-08-26T05:15:37Z</dcterms:modified>
</cp:coreProperties>
</file>