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13G/A</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2)*</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78"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620" w:right="9100"/>
        <w:spacing w:after="0" w:line="265" w:lineRule="exact"/>
        <w:tabs>
          <w:tab w:leader="none" w:pos="1016"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 xml:space="preserve">Rule 13d-1(b) </w:t>
      </w:r>
      <w:r>
        <w:rPr>
          <w:rFonts w:ascii="MS PGothic" w:cs="MS PGothic" w:eastAsia="MS PGothic" w:hAnsi="MS PGothic"/>
          <w:sz w:val="19"/>
          <w:szCs w:val="19"/>
          <w:color w:val="auto"/>
        </w:rPr>
        <w:t>☒</w:t>
      </w:r>
      <w:r>
        <w:rPr>
          <w:rFonts w:ascii="Arial" w:cs="Arial" w:eastAsia="Arial" w:hAnsi="Arial"/>
          <w:sz w:val="18"/>
          <w:szCs w:val="18"/>
          <w:color w:val="auto"/>
        </w:rPr>
        <w:t xml:space="preserve"> Rule 13d-1(c)</w:t>
      </w:r>
    </w:p>
    <w:p>
      <w:pPr>
        <w:ind w:left="1020" w:hanging="400"/>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Rule 13d-1(d)</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7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2"/>
              </w:rPr>
              <w:t>CUSIP No. 92971A109</w:t>
            </w:r>
          </w:p>
        </w:tc>
        <w:tc>
          <w:tcPr>
            <w:tcW w:w="1120" w:type="dxa"/>
            <w:vAlign w:val="bottom"/>
          </w:tcPr>
          <w:p>
            <w:pPr>
              <w:spacing w:after="0"/>
              <w:rPr>
                <w:sz w:val="20"/>
                <w:szCs w:val="20"/>
                <w:color w:val="auto"/>
              </w:rPr>
            </w:pPr>
          </w:p>
        </w:tc>
        <w:tc>
          <w:tcPr>
            <w:tcW w:w="6880" w:type="dxa"/>
            <w:vAlign w:val="bottom"/>
          </w:tcPr>
          <w:p>
            <w:pPr>
              <w:ind w:left="2500"/>
              <w:spacing w:after="0"/>
              <w:rPr>
                <w:sz w:val="20"/>
                <w:szCs w:val="20"/>
                <w:color w:val="auto"/>
              </w:rPr>
            </w:pPr>
            <w:r>
              <w:rPr>
                <w:rFonts w:ascii="Arial" w:cs="Arial" w:eastAsia="Arial" w:hAnsi="Arial"/>
                <w:sz w:val="18"/>
                <w:szCs w:val="18"/>
                <w:b w:val="1"/>
                <w:bCs w:val="1"/>
                <w:color w:val="auto"/>
              </w:rPr>
              <w:t>13G/A</w:t>
            </w:r>
          </w:p>
        </w:tc>
        <w:tc>
          <w:tcPr>
            <w:tcW w:w="1480" w:type="dxa"/>
            <w:vAlign w:val="bottom"/>
          </w:tcPr>
          <w:p>
            <w:pPr>
              <w:ind w:left="160"/>
              <w:spacing w:after="0"/>
              <w:rPr>
                <w:sz w:val="20"/>
                <w:szCs w:val="20"/>
                <w:color w:val="auto"/>
              </w:rPr>
            </w:pPr>
            <w:r>
              <w:rPr>
                <w:rFonts w:ascii="Arial" w:cs="Arial" w:eastAsia="Arial" w:hAnsi="Arial"/>
                <w:sz w:val="18"/>
                <w:szCs w:val="18"/>
                <w:b w:val="1"/>
                <w:bCs w:val="1"/>
                <w:color w:val="auto"/>
                <w:w w:val="83"/>
              </w:rPr>
              <w:t>Page 2 of 7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10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NAME OF REPORTING PERSON</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0" w:type="dxa"/>
            <w:vAlign w:val="bottom"/>
            <w:gridSpan w:val="2"/>
          </w:tcPr>
          <w:p>
            <w:pPr>
              <w:ind w:left="320"/>
              <w:spacing w:after="0"/>
              <w:rPr>
                <w:sz w:val="20"/>
                <w:szCs w:val="20"/>
                <w:color w:val="auto"/>
              </w:rPr>
            </w:pPr>
            <w:r>
              <w:rPr>
                <w:rFonts w:ascii="Arial" w:cs="Arial" w:eastAsia="Arial" w:hAnsi="Arial"/>
                <w:sz w:val="20"/>
                <w:szCs w:val="20"/>
                <w:color w:val="auto"/>
              </w:rPr>
              <w:t>Senvest Management, LLC</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0" w:type="dxa"/>
            <w:vAlign w:val="bottom"/>
            <w:tcBorders>
              <w:bottom w:val="single" w:sz="8" w:color="auto"/>
            </w:tcBorders>
            <w:gridSpan w:val="2"/>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10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CHECK THE APPROPRIATE BOX IF A MEMBER OF A GROUP</w:t>
            </w:r>
          </w:p>
        </w:tc>
        <w:tc>
          <w:tcPr>
            <w:tcW w:w="1480" w:type="dxa"/>
            <w:vAlign w:val="bottom"/>
            <w:tcBorders>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100" w:type="dxa"/>
            <w:vAlign w:val="bottom"/>
          </w:tcPr>
          <w:p>
            <w:pPr>
              <w:spacing w:after="0"/>
              <w:rPr>
                <w:sz w:val="24"/>
                <w:szCs w:val="24"/>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SEC USE ONLY</w:t>
            </w:r>
          </w:p>
        </w:tc>
        <w:tc>
          <w:tcPr>
            <w:tcW w:w="1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0" w:type="dxa"/>
            <w:vAlign w:val="bottom"/>
            <w:tcBorders>
              <w:bottom w:val="single" w:sz="8" w:color="auto"/>
            </w:tcBorders>
            <w:gridSpan w:val="2"/>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10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CITIZENSHIP OR PLACE OF ORGANIZATION</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320"/>
              <w:spacing w:after="0"/>
              <w:rPr>
                <w:sz w:val="20"/>
                <w:szCs w:val="20"/>
                <w:color w:val="auto"/>
              </w:rPr>
            </w:pPr>
            <w:r>
              <w:rPr>
                <w:rFonts w:ascii="Arial" w:cs="Arial" w:eastAsia="Arial" w:hAnsi="Arial"/>
                <w:sz w:val="20"/>
                <w:szCs w:val="20"/>
                <w:color w:val="auto"/>
                <w:w w:val="89"/>
              </w:rPr>
              <w:t>Delaware</w:t>
            </w:r>
          </w:p>
        </w:tc>
        <w:tc>
          <w:tcPr>
            <w:tcW w:w="68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right w:val="single" w:sz="8" w:color="auto"/>
            </w:tcBorders>
          </w:tcPr>
          <w:p>
            <w:pPr>
              <w:ind w:left="440"/>
              <w:spacing w:after="0"/>
              <w:rPr>
                <w:sz w:val="20"/>
                <w:szCs w:val="20"/>
                <w:color w:val="auto"/>
              </w:rPr>
            </w:pPr>
            <w:r>
              <w:rPr>
                <w:rFonts w:ascii="Arial" w:cs="Arial" w:eastAsia="Arial" w:hAnsi="Arial"/>
                <w:sz w:val="20"/>
                <w:szCs w:val="20"/>
                <w:b w:val="1"/>
                <w:bCs w:val="1"/>
                <w:color w:val="auto"/>
              </w:rPr>
              <w:t>5</w:t>
            </w:r>
          </w:p>
        </w:tc>
        <w:tc>
          <w:tcPr>
            <w:tcW w:w="688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20"/>
                <w:szCs w:val="20"/>
                <w:color w:val="auto"/>
              </w:rPr>
              <w:t>0</w:t>
            </w: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NUMBER OF</w:t>
            </w:r>
          </w:p>
        </w:tc>
        <w:tc>
          <w:tcPr>
            <w:tcW w:w="100" w:type="dxa"/>
            <w:vAlign w:val="bottom"/>
          </w:tcPr>
          <w:p>
            <w:pPr>
              <w:spacing w:after="0"/>
              <w:rPr>
                <w:sz w:val="22"/>
                <w:szCs w:val="22"/>
                <w:color w:val="auto"/>
              </w:rPr>
            </w:pPr>
          </w:p>
        </w:tc>
        <w:tc>
          <w:tcPr>
            <w:tcW w:w="1120" w:type="dxa"/>
            <w:vAlign w:val="bottom"/>
            <w:tcBorders>
              <w:right w:val="single" w:sz="8" w:color="auto"/>
            </w:tcBorders>
          </w:tcPr>
          <w:p>
            <w:pPr>
              <w:ind w:left="440"/>
              <w:spacing w:after="0"/>
              <w:rPr>
                <w:sz w:val="20"/>
                <w:szCs w:val="20"/>
                <w:color w:val="auto"/>
              </w:rPr>
            </w:pPr>
            <w:r>
              <w:rPr>
                <w:rFonts w:ascii="Arial" w:cs="Arial" w:eastAsia="Arial" w:hAnsi="Arial"/>
                <w:sz w:val="20"/>
                <w:szCs w:val="20"/>
                <w:b w:val="1"/>
                <w:bCs w:val="1"/>
                <w:color w:val="auto"/>
              </w:rPr>
              <w:t>6</w:t>
            </w:r>
          </w:p>
        </w:tc>
        <w:tc>
          <w:tcPr>
            <w:tcW w:w="6880" w:type="dxa"/>
            <w:vAlign w:val="bottom"/>
          </w:tcPr>
          <w:p>
            <w:pPr>
              <w:ind w:left="100"/>
              <w:spacing w:after="0"/>
              <w:rPr>
                <w:sz w:val="20"/>
                <w:szCs w:val="20"/>
                <w:color w:val="auto"/>
              </w:rPr>
            </w:pPr>
            <w:r>
              <w:rPr>
                <w:rFonts w:ascii="Arial" w:cs="Arial" w:eastAsia="Arial" w:hAnsi="Arial"/>
                <w:sz w:val="20"/>
                <w:szCs w:val="20"/>
                <w:color w:val="auto"/>
              </w:rPr>
              <w:t>SHARED VOTING POWER</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SHARES</w:t>
            </w:r>
          </w:p>
        </w:tc>
        <w:tc>
          <w:tcPr>
            <w:tcW w:w="10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gridSpan w:val="2"/>
          </w:tcPr>
          <w:p>
            <w:pPr>
              <w:ind w:left="420"/>
              <w:spacing w:after="0"/>
              <w:rPr>
                <w:sz w:val="20"/>
                <w:szCs w:val="20"/>
                <w:color w:val="auto"/>
              </w:rPr>
            </w:pPr>
            <w:r>
              <w:rPr>
                <w:rFonts w:ascii="Arial" w:cs="Arial" w:eastAsia="Arial" w:hAnsi="Arial"/>
                <w:sz w:val="20"/>
                <w:szCs w:val="20"/>
                <w:color w:val="auto"/>
                <w:w w:val="95"/>
              </w:rPr>
              <w:t>7,806,571 shares of Class A Common Stock (including 1,959,017 shares of Class A Common</w:t>
            </w: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6880" w:type="dxa"/>
            <w:vAlign w:val="bottom"/>
          </w:tcPr>
          <w:p>
            <w:pPr>
              <w:ind w:left="420"/>
              <w:spacing w:after="0"/>
              <w:rPr>
                <w:sz w:val="20"/>
                <w:szCs w:val="20"/>
                <w:color w:val="auto"/>
              </w:rPr>
            </w:pPr>
            <w:r>
              <w:rPr>
                <w:rFonts w:ascii="Arial" w:cs="Arial" w:eastAsia="Arial" w:hAnsi="Arial"/>
                <w:sz w:val="20"/>
                <w:szCs w:val="20"/>
                <w:color w:val="auto"/>
              </w:rPr>
              <w:t>Stock issuable upon exercise of warrants)</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6880" w:type="dxa"/>
            <w:vAlign w:val="bottom"/>
            <w:tcBorders>
              <w:bottom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20"/>
                <w:szCs w:val="20"/>
                <w:b w:val="1"/>
                <w:bCs w:val="1"/>
                <w:color w:val="auto"/>
              </w:rPr>
              <w:t>7</w:t>
            </w:r>
          </w:p>
        </w:tc>
        <w:tc>
          <w:tcPr>
            <w:tcW w:w="688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00" w:type="dxa"/>
            <w:vAlign w:val="bottom"/>
          </w:tcPr>
          <w:p>
            <w:pPr>
              <w:spacing w:after="0"/>
              <w:rPr>
                <w:sz w:val="12"/>
                <w:szCs w:val="12"/>
                <w:color w:val="auto"/>
              </w:rPr>
            </w:pPr>
          </w:p>
        </w:tc>
        <w:tc>
          <w:tcPr>
            <w:tcW w:w="1120" w:type="dxa"/>
            <w:vAlign w:val="bottom"/>
            <w:tcBorders>
              <w:right w:val="single" w:sz="8" w:color="auto"/>
            </w:tcBorders>
            <w:vMerge w:val="continue"/>
          </w:tcPr>
          <w:p>
            <w:pPr>
              <w:spacing w:after="0"/>
              <w:rPr>
                <w:sz w:val="12"/>
                <w:szCs w:val="12"/>
                <w:color w:val="auto"/>
              </w:rPr>
            </w:pPr>
          </w:p>
        </w:tc>
        <w:tc>
          <w:tcPr>
            <w:tcW w:w="6880" w:type="dxa"/>
            <w:vAlign w:val="bottom"/>
            <w:vMerge w:val="continue"/>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688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4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00" w:type="dxa"/>
            <w:vAlign w:val="bottom"/>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6880" w:type="dxa"/>
            <w:vAlign w:val="bottom"/>
            <w:vMerge w:val="continue"/>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688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6880" w:type="dxa"/>
            <w:vAlign w:val="bottom"/>
            <w:tcBorders>
              <w:bottom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right w:val="single" w:sz="8" w:color="auto"/>
            </w:tcBorders>
            <w:vMerge w:val="restart"/>
          </w:tcPr>
          <w:p>
            <w:pPr>
              <w:ind w:left="440"/>
              <w:spacing w:after="0"/>
              <w:rPr>
                <w:sz w:val="20"/>
                <w:szCs w:val="20"/>
                <w:color w:val="auto"/>
              </w:rPr>
            </w:pPr>
            <w:r>
              <w:rPr>
                <w:rFonts w:ascii="Arial" w:cs="Arial" w:eastAsia="Arial" w:hAnsi="Arial"/>
                <w:sz w:val="20"/>
                <w:szCs w:val="20"/>
                <w:b w:val="1"/>
                <w:bCs w:val="1"/>
                <w:color w:val="auto"/>
              </w:rPr>
              <w:t>8</w:t>
            </w:r>
          </w:p>
        </w:tc>
        <w:tc>
          <w:tcPr>
            <w:tcW w:w="688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6880" w:type="dxa"/>
            <w:vAlign w:val="bottom"/>
            <w:vMerge w:val="continue"/>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66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gridSpan w:val="2"/>
          </w:tcPr>
          <w:p>
            <w:pPr>
              <w:ind w:left="420"/>
              <w:spacing w:after="0"/>
              <w:rPr>
                <w:sz w:val="20"/>
                <w:szCs w:val="20"/>
                <w:color w:val="auto"/>
              </w:rPr>
            </w:pPr>
            <w:r>
              <w:rPr>
                <w:rFonts w:ascii="Arial" w:cs="Arial" w:eastAsia="Arial" w:hAnsi="Arial"/>
                <w:sz w:val="20"/>
                <w:szCs w:val="20"/>
                <w:color w:val="auto"/>
                <w:w w:val="95"/>
              </w:rPr>
              <w:t>7,806,571 shares of Class A Common Stock (including 1,959,017 shares of Class A Common</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6880" w:type="dxa"/>
            <w:vAlign w:val="bottom"/>
          </w:tcPr>
          <w:p>
            <w:pPr>
              <w:ind w:left="420"/>
              <w:spacing w:after="0"/>
              <w:rPr>
                <w:sz w:val="20"/>
                <w:szCs w:val="20"/>
                <w:color w:val="auto"/>
              </w:rPr>
            </w:pPr>
            <w:r>
              <w:rPr>
                <w:rFonts w:ascii="Arial" w:cs="Arial" w:eastAsia="Arial" w:hAnsi="Arial"/>
                <w:sz w:val="20"/>
                <w:szCs w:val="20"/>
                <w:color w:val="auto"/>
              </w:rPr>
              <w:t>Stock issuable upon exercise of warrants)</w:t>
            </w: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10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AGGREGATE AMOUNT BENEFICIALLY OWNED BY EACH REPORTING PERSON</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80" w:type="dxa"/>
            <w:vAlign w:val="bottom"/>
            <w:tcBorders>
              <w:right w:val="single" w:sz="8" w:color="auto"/>
            </w:tcBorders>
            <w:gridSpan w:val="3"/>
          </w:tcPr>
          <w:p>
            <w:pPr>
              <w:ind w:left="320"/>
              <w:spacing w:after="0"/>
              <w:rPr>
                <w:sz w:val="20"/>
                <w:szCs w:val="20"/>
                <w:color w:val="auto"/>
              </w:rPr>
            </w:pPr>
            <w:r>
              <w:rPr>
                <w:rFonts w:ascii="Arial" w:cs="Arial" w:eastAsia="Arial" w:hAnsi="Arial"/>
                <w:sz w:val="20"/>
                <w:szCs w:val="20"/>
                <w:color w:val="auto"/>
                <w:w w:val="94"/>
              </w:rPr>
              <w:t>7,806,571 shares of Class A Common Stock (including 1,959,017 shares of Class A Common Stock issuable</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0" w:type="dxa"/>
            <w:vAlign w:val="bottom"/>
            <w:gridSpan w:val="2"/>
          </w:tcPr>
          <w:p>
            <w:pPr>
              <w:ind w:left="320"/>
              <w:spacing w:after="0"/>
              <w:rPr>
                <w:sz w:val="20"/>
                <w:szCs w:val="20"/>
                <w:color w:val="auto"/>
              </w:rPr>
            </w:pPr>
            <w:r>
              <w:rPr>
                <w:rFonts w:ascii="Arial" w:cs="Arial" w:eastAsia="Arial" w:hAnsi="Arial"/>
                <w:sz w:val="20"/>
                <w:szCs w:val="20"/>
                <w:color w:val="auto"/>
              </w:rPr>
              <w:t>upon exercise of warrants)</w:t>
            </w: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100" w:type="dxa"/>
            <w:vAlign w:val="bottom"/>
          </w:tcPr>
          <w:p>
            <w:pPr>
              <w:spacing w:after="0"/>
              <w:rPr>
                <w:sz w:val="24"/>
                <w:szCs w:val="24"/>
                <w:color w:val="auto"/>
              </w:rPr>
            </w:pPr>
          </w:p>
        </w:tc>
        <w:tc>
          <w:tcPr>
            <w:tcW w:w="8000" w:type="dxa"/>
            <w:vAlign w:val="bottom"/>
            <w:gridSpan w:val="2"/>
          </w:tcPr>
          <w:p>
            <w:pPr>
              <w:ind w:left="80"/>
              <w:spacing w:after="0"/>
              <w:rPr>
                <w:sz w:val="20"/>
                <w:szCs w:val="20"/>
                <w:color w:val="auto"/>
              </w:rPr>
            </w:pPr>
            <w:r>
              <w:rPr>
                <w:rFonts w:ascii="Arial" w:cs="Arial" w:eastAsia="Arial" w:hAnsi="Arial"/>
                <w:sz w:val="20"/>
                <w:szCs w:val="20"/>
                <w:color w:val="auto"/>
                <w:w w:val="96"/>
              </w:rPr>
              <w:t>CHECK BOX IF THE AGGREGATE AMOUNT IN ROW (9) EXCLUDES CERTAIN SHARES</w:t>
            </w:r>
          </w:p>
        </w:tc>
        <w:tc>
          <w:tcPr>
            <w:tcW w:w="1480" w:type="dxa"/>
            <w:vAlign w:val="bottom"/>
            <w:tcBorders>
              <w:right w:val="single" w:sz="8" w:color="auto"/>
            </w:tcBorders>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10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PERCENT OF CLASS REPRESENTED BY AMOUNT IN ROW (9)</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320"/>
              <w:spacing w:after="0"/>
              <w:rPr>
                <w:sz w:val="20"/>
                <w:szCs w:val="20"/>
                <w:color w:val="auto"/>
              </w:rPr>
            </w:pPr>
            <w:r>
              <w:rPr>
                <w:rFonts w:ascii="Arial" w:cs="Arial" w:eastAsia="Arial" w:hAnsi="Arial"/>
                <w:sz w:val="20"/>
                <w:szCs w:val="20"/>
                <w:color w:val="auto"/>
              </w:rPr>
              <w:t>8.40%</w:t>
            </w:r>
          </w:p>
        </w:tc>
        <w:tc>
          <w:tcPr>
            <w:tcW w:w="68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100" w:type="dxa"/>
            <w:vAlign w:val="bottom"/>
          </w:tcPr>
          <w:p>
            <w:pPr>
              <w:spacing w:after="0"/>
              <w:rPr>
                <w:sz w:val="22"/>
                <w:szCs w:val="22"/>
                <w:color w:val="auto"/>
              </w:rPr>
            </w:pPr>
          </w:p>
        </w:tc>
        <w:tc>
          <w:tcPr>
            <w:tcW w:w="8000" w:type="dxa"/>
            <w:vAlign w:val="bottom"/>
            <w:gridSpan w:val="2"/>
          </w:tcPr>
          <w:p>
            <w:pPr>
              <w:spacing w:after="0"/>
              <w:rPr>
                <w:sz w:val="20"/>
                <w:szCs w:val="20"/>
                <w:color w:val="auto"/>
              </w:rPr>
            </w:pPr>
            <w:r>
              <w:rPr>
                <w:rFonts w:ascii="Arial" w:cs="Arial" w:eastAsia="Arial" w:hAnsi="Arial"/>
                <w:sz w:val="20"/>
                <w:szCs w:val="20"/>
                <w:color w:val="auto"/>
              </w:rPr>
              <w:t>TYPE OF REPORTING PERSON</w:t>
            </w:r>
          </w:p>
        </w:tc>
        <w:tc>
          <w:tcPr>
            <w:tcW w:w="14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ind w:left="320"/>
              <w:spacing w:after="0"/>
              <w:rPr>
                <w:sz w:val="20"/>
                <w:szCs w:val="20"/>
                <w:color w:val="auto"/>
              </w:rPr>
            </w:pPr>
            <w:r>
              <w:rPr>
                <w:rFonts w:ascii="Arial" w:cs="Arial" w:eastAsia="Arial" w:hAnsi="Arial"/>
                <w:sz w:val="20"/>
                <w:szCs w:val="20"/>
                <w:color w:val="auto"/>
              </w:rPr>
              <w:t>OO, IA</w:t>
            </w:r>
          </w:p>
        </w:tc>
        <w:tc>
          <w:tcPr>
            <w:tcW w:w="6880" w:type="dxa"/>
            <w:vAlign w:val="bottom"/>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260" w:type="dxa"/>
            <w:vAlign w:val="bottom"/>
            <w:tcBorders>
              <w:top w:val="single" w:sz="8" w:color="auto"/>
            </w:tcBorders>
            <w:gridSpan w:val="2"/>
          </w:tcPr>
          <w:p>
            <w:pPr>
              <w:ind w:left="100"/>
              <w:spacing w:after="0"/>
              <w:rPr>
                <w:sz w:val="20"/>
                <w:szCs w:val="20"/>
                <w:color w:val="auto"/>
              </w:rPr>
            </w:pPr>
            <w:r>
              <w:rPr>
                <w:rFonts w:ascii="Arial" w:cs="Arial" w:eastAsia="Arial" w:hAnsi="Arial"/>
                <w:sz w:val="20"/>
                <w:szCs w:val="20"/>
                <w:color w:val="auto"/>
              </w:rPr>
              <w:t>NAME OF REPORTING PERSON</w:t>
            </w:r>
          </w:p>
        </w:tc>
        <w:tc>
          <w:tcPr>
            <w:tcW w:w="13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660" w:type="dxa"/>
            <w:vAlign w:val="bottom"/>
            <w:tcBorders>
              <w:left w:val="single" w:sz="8" w:color="auto"/>
              <w:right w:val="single" w:sz="8" w:color="auto"/>
            </w:tcBorders>
          </w:tcPr>
          <w:p>
            <w:pPr>
              <w:spacing w:after="0"/>
              <w:rPr>
                <w:sz w:val="24"/>
                <w:szCs w:val="24"/>
                <w:color w:val="auto"/>
              </w:rPr>
            </w:pPr>
          </w:p>
        </w:tc>
        <w:tc>
          <w:tcPr>
            <w:tcW w:w="8260" w:type="dxa"/>
            <w:vAlign w:val="bottom"/>
            <w:gridSpan w:val="2"/>
          </w:tcPr>
          <w:p>
            <w:pPr>
              <w:ind w:left="420"/>
              <w:spacing w:after="0"/>
              <w:rPr>
                <w:sz w:val="20"/>
                <w:szCs w:val="20"/>
                <w:color w:val="auto"/>
              </w:rPr>
            </w:pPr>
            <w:r>
              <w:rPr>
                <w:rFonts w:ascii="Arial" w:cs="Arial" w:eastAsia="Arial" w:hAnsi="Arial"/>
                <w:sz w:val="20"/>
                <w:szCs w:val="20"/>
                <w:color w:val="auto"/>
              </w:rPr>
              <w:t>Richard Mashaal</w:t>
            </w: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260" w:type="dxa"/>
            <w:vAlign w:val="bottom"/>
            <w:gridSpan w:val="2"/>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20" w:type="dxa"/>
            <w:vAlign w:val="bottom"/>
            <w:tcBorders>
              <w:right w:val="single" w:sz="8" w:color="auto"/>
            </w:tcBorders>
          </w:tcPr>
          <w:p>
            <w:pPr>
              <w:jc w:val="center"/>
              <w:ind w:right="6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jc w:val="center"/>
              <w:ind w:right="6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260" w:type="dxa"/>
            <w:vAlign w:val="bottom"/>
            <w:gridSpan w:val="2"/>
          </w:tcPr>
          <w:p>
            <w:pPr>
              <w:ind w:left="100"/>
              <w:spacing w:after="0"/>
              <w:rPr>
                <w:sz w:val="20"/>
                <w:szCs w:val="20"/>
                <w:color w:val="auto"/>
              </w:rPr>
            </w:pPr>
            <w:r>
              <w:rPr>
                <w:rFonts w:ascii="Arial" w:cs="Arial" w:eastAsia="Arial" w:hAnsi="Arial"/>
                <w:sz w:val="20"/>
                <w:szCs w:val="20"/>
                <w:color w:val="auto"/>
              </w:rPr>
              <w:t>SEC USE ONLY</w:t>
            </w:r>
          </w:p>
        </w:tc>
        <w:tc>
          <w:tcPr>
            <w:tcW w:w="1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260" w:type="dxa"/>
            <w:vAlign w:val="bottom"/>
            <w:gridSpan w:val="2"/>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Canada</w:t>
            </w:r>
          </w:p>
        </w:tc>
        <w:tc>
          <w:tcPr>
            <w:tcW w:w="704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7040" w:type="dxa"/>
            <w:vAlign w:val="bottom"/>
          </w:tcPr>
          <w:p>
            <w:pPr>
              <w:ind w:left="100"/>
              <w:spacing w:after="0"/>
              <w:rPr>
                <w:sz w:val="20"/>
                <w:szCs w:val="20"/>
                <w:color w:val="auto"/>
              </w:rPr>
            </w:pPr>
            <w:r>
              <w:rPr>
                <w:rFonts w:ascii="Arial" w:cs="Arial" w:eastAsia="Arial" w:hAnsi="Arial"/>
                <w:sz w:val="20"/>
                <w:szCs w:val="20"/>
                <w:color w:val="auto"/>
              </w:rPr>
              <w:t>SOLE VOTING POWER</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7040" w:type="dxa"/>
            <w:vAlign w:val="bottom"/>
          </w:tcPr>
          <w:p>
            <w:pPr>
              <w:ind w:left="420"/>
              <w:spacing w:after="0"/>
              <w:rPr>
                <w:sz w:val="20"/>
                <w:szCs w:val="20"/>
                <w:color w:val="auto"/>
              </w:rPr>
            </w:pPr>
            <w:r>
              <w:rPr>
                <w:rFonts w:ascii="Arial" w:cs="Arial" w:eastAsia="Arial" w:hAnsi="Arial"/>
                <w:sz w:val="20"/>
                <w:szCs w:val="20"/>
                <w:color w:val="auto"/>
              </w:rPr>
              <w:t>0</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6</w:t>
            </w:r>
          </w:p>
        </w:tc>
        <w:tc>
          <w:tcPr>
            <w:tcW w:w="7040" w:type="dxa"/>
            <w:vAlign w:val="bottom"/>
          </w:tcPr>
          <w:p>
            <w:pPr>
              <w:ind w:left="100"/>
              <w:spacing w:after="0"/>
              <w:rPr>
                <w:sz w:val="20"/>
                <w:szCs w:val="20"/>
                <w:color w:val="auto"/>
              </w:rPr>
            </w:pPr>
            <w:r>
              <w:rPr>
                <w:rFonts w:ascii="Arial" w:cs="Arial" w:eastAsia="Arial" w:hAnsi="Arial"/>
                <w:sz w:val="20"/>
                <w:szCs w:val="20"/>
                <w:color w:val="auto"/>
              </w:rPr>
              <w:t>SHARED VOTING POWER</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gridSpan w:val="2"/>
          </w:tcPr>
          <w:p>
            <w:pPr>
              <w:ind w:left="420"/>
              <w:spacing w:after="0"/>
              <w:rPr>
                <w:sz w:val="20"/>
                <w:szCs w:val="20"/>
                <w:color w:val="auto"/>
              </w:rPr>
            </w:pPr>
            <w:r>
              <w:rPr>
                <w:rFonts w:ascii="Arial" w:cs="Arial" w:eastAsia="Arial" w:hAnsi="Arial"/>
                <w:sz w:val="20"/>
                <w:szCs w:val="20"/>
                <w:color w:val="auto"/>
                <w:w w:val="95"/>
              </w:rPr>
              <w:t>7,806,571 shares of Class A Common Stock (including 1,959,017 shares of Class A Common</w:t>
            </w:r>
          </w:p>
        </w:tc>
        <w:tc>
          <w:tcPr>
            <w:tcW w:w="0" w:type="dxa"/>
            <w:vAlign w:val="bottom"/>
          </w:tcPr>
          <w:p>
            <w:pPr>
              <w:spacing w:after="0"/>
              <w:rPr>
                <w:sz w:val="1"/>
                <w:szCs w:val="1"/>
                <w:color w:val="auto"/>
              </w:rPr>
            </w:pPr>
          </w:p>
        </w:tc>
      </w:tr>
      <w:tr>
        <w:trPr>
          <w:trHeight w:val="256"/>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7040" w:type="dxa"/>
            <w:vAlign w:val="bottom"/>
          </w:tcPr>
          <w:p>
            <w:pPr>
              <w:ind w:left="420"/>
              <w:spacing w:after="0"/>
              <w:rPr>
                <w:sz w:val="20"/>
                <w:szCs w:val="20"/>
                <w:color w:val="auto"/>
              </w:rPr>
            </w:pPr>
            <w:r>
              <w:rPr>
                <w:rFonts w:ascii="Arial" w:cs="Arial" w:eastAsia="Arial" w:hAnsi="Arial"/>
                <w:sz w:val="20"/>
                <w:szCs w:val="20"/>
                <w:color w:val="auto"/>
              </w:rPr>
              <w:t>Stock issuable upon exercise of warrants)</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7040" w:type="dxa"/>
            <w:vAlign w:val="bottom"/>
            <w:tcBorders>
              <w:bottom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7040" w:type="dxa"/>
            <w:vAlign w:val="bottom"/>
            <w:vMerge w:val="restart"/>
          </w:tcPr>
          <w:p>
            <w:pPr>
              <w:ind w:left="100"/>
              <w:spacing w:after="0"/>
              <w:rPr>
                <w:sz w:val="20"/>
                <w:szCs w:val="20"/>
                <w:color w:val="auto"/>
              </w:rPr>
            </w:pPr>
            <w:r>
              <w:rPr>
                <w:rFonts w:ascii="Arial" w:cs="Arial" w:eastAsia="Arial" w:hAnsi="Arial"/>
                <w:sz w:val="20"/>
                <w:szCs w:val="20"/>
                <w:color w:val="auto"/>
              </w:rPr>
              <w:t>SOLE DISPOSITIVE POWER</w:t>
            </w:r>
          </w:p>
        </w:tc>
        <w:tc>
          <w:tcPr>
            <w:tcW w:w="1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7040" w:type="dxa"/>
            <w:vAlign w:val="bottom"/>
            <w:vMerge w:val="continue"/>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70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7040" w:type="dxa"/>
            <w:vAlign w:val="bottom"/>
            <w:vMerge w:val="continue"/>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7040" w:type="dxa"/>
            <w:vAlign w:val="bottom"/>
          </w:tcPr>
          <w:p>
            <w:pPr>
              <w:spacing w:after="0"/>
              <w:rPr>
                <w:sz w:val="5"/>
                <w:szCs w:val="5"/>
                <w:color w:val="auto"/>
              </w:rPr>
            </w:pPr>
          </w:p>
        </w:tc>
        <w:tc>
          <w:tcPr>
            <w:tcW w:w="1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7040" w:type="dxa"/>
            <w:vAlign w:val="bottom"/>
            <w:tcBorders>
              <w:bottom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7040" w:type="dxa"/>
            <w:vAlign w:val="bottom"/>
            <w:vMerge w:val="restart"/>
          </w:tcPr>
          <w:p>
            <w:pPr>
              <w:ind w:left="100"/>
              <w:spacing w:after="0"/>
              <w:rPr>
                <w:sz w:val="20"/>
                <w:szCs w:val="20"/>
                <w:color w:val="auto"/>
              </w:rPr>
            </w:pPr>
            <w:r>
              <w:rPr>
                <w:rFonts w:ascii="Arial" w:cs="Arial" w:eastAsia="Arial" w:hAnsi="Arial"/>
                <w:sz w:val="20"/>
                <w:szCs w:val="20"/>
                <w:color w:val="auto"/>
              </w:rPr>
              <w:t>SHARED DISPOSITIVE POWER</w:t>
            </w: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7040" w:type="dxa"/>
            <w:vAlign w:val="bottom"/>
            <w:vMerge w:val="continue"/>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8360" w:type="dxa"/>
            <w:vAlign w:val="bottom"/>
            <w:tcBorders>
              <w:right w:val="single" w:sz="8" w:color="auto"/>
            </w:tcBorders>
            <w:gridSpan w:val="2"/>
          </w:tcPr>
          <w:p>
            <w:pPr>
              <w:ind w:left="420"/>
              <w:spacing w:after="0"/>
              <w:rPr>
                <w:sz w:val="20"/>
                <w:szCs w:val="20"/>
                <w:color w:val="auto"/>
              </w:rPr>
            </w:pPr>
            <w:r>
              <w:rPr>
                <w:rFonts w:ascii="Arial" w:cs="Arial" w:eastAsia="Arial" w:hAnsi="Arial"/>
                <w:sz w:val="20"/>
                <w:szCs w:val="20"/>
                <w:color w:val="auto"/>
                <w:w w:val="95"/>
              </w:rPr>
              <w:t>7,806,571 shares of Class A Common Stock (including 1,959,017 shares of Class A Common</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7040" w:type="dxa"/>
            <w:vAlign w:val="bottom"/>
          </w:tcPr>
          <w:p>
            <w:pPr>
              <w:ind w:left="420"/>
              <w:spacing w:after="0"/>
              <w:rPr>
                <w:sz w:val="20"/>
                <w:szCs w:val="20"/>
                <w:color w:val="auto"/>
              </w:rPr>
            </w:pPr>
            <w:r>
              <w:rPr>
                <w:rFonts w:ascii="Arial" w:cs="Arial" w:eastAsia="Arial" w:hAnsi="Arial"/>
                <w:sz w:val="20"/>
                <w:szCs w:val="20"/>
                <w:color w:val="auto"/>
              </w:rPr>
              <w:t>Stock issuable upon exercise of warrants)</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260" w:type="dxa"/>
            <w:vAlign w:val="bottom"/>
            <w:gridSpan w:val="2"/>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tcPr>
          <w:p>
            <w:pPr>
              <w:spacing w:after="0"/>
              <w:rPr>
                <w:sz w:val="19"/>
                <w:szCs w:val="19"/>
                <w:color w:val="auto"/>
              </w:rPr>
            </w:pPr>
          </w:p>
        </w:tc>
        <w:tc>
          <w:tcPr>
            <w:tcW w:w="9580" w:type="dxa"/>
            <w:vAlign w:val="bottom"/>
            <w:tcBorders>
              <w:right w:val="single" w:sz="8" w:color="auto"/>
            </w:tcBorders>
            <w:gridSpan w:val="3"/>
          </w:tcPr>
          <w:p>
            <w:pPr>
              <w:ind w:left="420"/>
              <w:spacing w:after="0"/>
              <w:rPr>
                <w:sz w:val="20"/>
                <w:szCs w:val="20"/>
                <w:color w:val="auto"/>
              </w:rPr>
            </w:pPr>
            <w:r>
              <w:rPr>
                <w:rFonts w:ascii="Arial" w:cs="Arial" w:eastAsia="Arial" w:hAnsi="Arial"/>
                <w:sz w:val="20"/>
                <w:szCs w:val="20"/>
                <w:color w:val="auto"/>
                <w:w w:val="94"/>
              </w:rPr>
              <w:t>7,806,571 shares of Class A Common Stock (including 1,959,017 shares of Class A Common Stock issuable</w:t>
            </w: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60" w:type="dxa"/>
            <w:vAlign w:val="bottom"/>
            <w:gridSpan w:val="2"/>
          </w:tcPr>
          <w:p>
            <w:pPr>
              <w:ind w:left="420"/>
              <w:spacing w:after="0"/>
              <w:rPr>
                <w:sz w:val="20"/>
                <w:szCs w:val="20"/>
                <w:color w:val="auto"/>
              </w:rPr>
            </w:pPr>
            <w:r>
              <w:rPr>
                <w:rFonts w:ascii="Arial" w:cs="Arial" w:eastAsia="Arial" w:hAnsi="Arial"/>
                <w:sz w:val="20"/>
                <w:szCs w:val="20"/>
                <w:color w:val="auto"/>
              </w:rPr>
              <w:t>upon exercise of warrants)</w:t>
            </w: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260" w:type="dxa"/>
            <w:vAlign w:val="bottom"/>
            <w:gridSpan w:val="2"/>
          </w:tcPr>
          <w:p>
            <w:pPr>
              <w:ind w:left="180"/>
              <w:spacing w:after="0"/>
              <w:rPr>
                <w:sz w:val="20"/>
                <w:szCs w:val="20"/>
                <w:color w:val="auto"/>
              </w:rPr>
            </w:pPr>
            <w:r>
              <w:rPr>
                <w:rFonts w:ascii="Arial" w:cs="Arial" w:eastAsia="Arial" w:hAnsi="Arial"/>
                <w:sz w:val="20"/>
                <w:szCs w:val="20"/>
                <w:color w:val="auto"/>
                <w:w w:val="98"/>
              </w:rPr>
              <w:t>CHECK BOX IF THE AGGREGATE AMOUNT IN ROW (9) EXCLUDES CERTAIN SHARES</w:t>
            </w:r>
          </w:p>
        </w:tc>
        <w:tc>
          <w:tcPr>
            <w:tcW w:w="1320" w:type="dxa"/>
            <w:vAlign w:val="bottom"/>
            <w:tcBorders>
              <w:right w:val="single" w:sz="8" w:color="auto"/>
            </w:tcBorders>
            <w:vMerge w:val="restart"/>
          </w:tcPr>
          <w:p>
            <w:pPr>
              <w:jc w:val="center"/>
              <w:ind w:right="10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260" w:type="dxa"/>
            <w:vAlign w:val="bottom"/>
            <w:gridSpan w:val="2"/>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8.40%</w:t>
            </w:r>
          </w:p>
        </w:tc>
        <w:tc>
          <w:tcPr>
            <w:tcW w:w="704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260" w:type="dxa"/>
            <w:vAlign w:val="bottom"/>
            <w:gridSpan w:val="2"/>
          </w:tcPr>
          <w:p>
            <w:pPr>
              <w:ind w:left="100"/>
              <w:spacing w:after="0"/>
              <w:rPr>
                <w:sz w:val="20"/>
                <w:szCs w:val="20"/>
                <w:color w:val="auto"/>
              </w:rPr>
            </w:pPr>
            <w:r>
              <w:rPr>
                <w:rFonts w:ascii="Arial" w:cs="Arial" w:eastAsia="Arial" w:hAnsi="Arial"/>
                <w:sz w:val="20"/>
                <w:szCs w:val="20"/>
                <w:color w:val="auto"/>
              </w:rPr>
              <w:t>TYPE OF REPORTING PERSON</w:t>
            </w:r>
          </w:p>
        </w:tc>
        <w:tc>
          <w:tcPr>
            <w:tcW w:w="1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IN, HC</w:t>
            </w:r>
          </w:p>
        </w:tc>
        <w:tc>
          <w:tcPr>
            <w:tcW w:w="7040" w:type="dxa"/>
            <w:vAlign w:val="bottom"/>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40" w:type="dxa"/>
            <w:vAlign w:val="bottom"/>
            <w:tcBorders>
              <w:bottom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93"/>
        </w:trPr>
        <w:tc>
          <w:tcPr>
            <w:tcW w:w="1240" w:type="dxa"/>
            <w:vAlign w:val="bottom"/>
          </w:tcPr>
          <w:p>
            <w:pPr>
              <w:spacing w:after="0"/>
              <w:rPr>
                <w:sz w:val="24"/>
                <w:szCs w:val="24"/>
                <w:color w:val="auto"/>
              </w:rPr>
            </w:pPr>
          </w:p>
        </w:tc>
        <w:tc>
          <w:tcPr>
            <w:tcW w:w="9780" w:type="dxa"/>
            <w:vAlign w:val="bottom"/>
            <w:gridSpan w:val="5"/>
          </w:tcPr>
          <w:p>
            <w:pPr>
              <w:ind w:left="420"/>
              <w:spacing w:after="0"/>
              <w:rPr>
                <w:sz w:val="20"/>
                <w:szCs w:val="20"/>
                <w:color w:val="auto"/>
              </w:rPr>
            </w:pPr>
            <w:r>
              <w:rPr>
                <w:rFonts w:ascii="Arial" w:cs="Arial" w:eastAsia="Arial" w:hAnsi="Arial"/>
                <w:sz w:val="20"/>
                <w:szCs w:val="20"/>
                <w:color w:val="auto"/>
              </w:rPr>
              <w:t>WM Technology, Inc. (the “Issuer”)</w:t>
            </w:r>
          </w:p>
        </w:tc>
      </w:tr>
      <w:tr>
        <w:trPr>
          <w:trHeight w:val="20"/>
        </w:trPr>
        <w:tc>
          <w:tcPr>
            <w:tcW w:w="1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511"/>
        </w:trPr>
        <w:tc>
          <w:tcPr>
            <w:tcW w:w="124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317"/>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41 Discovery</w:t>
            </w:r>
          </w:p>
        </w:tc>
      </w:tr>
      <w:tr>
        <w:trPr>
          <w:trHeight w:val="250"/>
        </w:trPr>
        <w:tc>
          <w:tcPr>
            <w:tcW w:w="1240" w:type="dxa"/>
            <w:vAlign w:val="bottom"/>
          </w:tcPr>
          <w:p>
            <w:pPr>
              <w:spacing w:after="0"/>
              <w:rPr>
                <w:sz w:val="21"/>
                <w:szCs w:val="21"/>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Irvine, California 92618</w:t>
            </w:r>
          </w:p>
        </w:tc>
      </w:tr>
      <w:tr>
        <w:trPr>
          <w:trHeight w:val="473"/>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338"/>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This statement is filed by Senvest Management, LLC and Richard Mashaal.</w:t>
            </w:r>
          </w:p>
        </w:tc>
      </w:tr>
      <w:tr>
        <w:trPr>
          <w:trHeight w:val="465"/>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w w:val="92"/>
              </w:rPr>
              <w:t>The reported securities are held in the account of Senvest Master Fund, LP, Senvest Technology Partners Master</w:t>
            </w:r>
          </w:p>
        </w:tc>
      </w:tr>
      <w:tr>
        <w:trPr>
          <w:trHeight w:val="206"/>
        </w:trPr>
        <w:tc>
          <w:tcPr>
            <w:tcW w:w="1240" w:type="dxa"/>
            <w:vAlign w:val="bottom"/>
          </w:tcPr>
          <w:p>
            <w:pPr>
              <w:spacing w:after="0"/>
              <w:rPr>
                <w:sz w:val="17"/>
                <w:szCs w:val="17"/>
                <w:color w:val="auto"/>
              </w:rPr>
            </w:pPr>
          </w:p>
        </w:tc>
        <w:tc>
          <w:tcPr>
            <w:tcW w:w="978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Fund, LP and Senvest Global (KY), LP (collectively, the “Investment Vehicles”).</w:t>
            </w:r>
          </w:p>
        </w:tc>
      </w:tr>
      <w:tr>
        <w:trPr>
          <w:trHeight w:val="20"/>
        </w:trPr>
        <w:tc>
          <w:tcPr>
            <w:tcW w:w="1240" w:type="dxa"/>
            <w:vAlign w:val="bottom"/>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76"/>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w w:val="93"/>
              </w:rPr>
              <w:t>Senvest Management, LLC may be deemed to beneficially own the securities held by the Investment Vehicles by</w:t>
            </w:r>
          </w:p>
        </w:tc>
      </w:tr>
      <w:tr>
        <w:trPr>
          <w:trHeight w:val="229"/>
        </w:trPr>
        <w:tc>
          <w:tcPr>
            <w:tcW w:w="1240" w:type="dxa"/>
            <w:vAlign w:val="bottom"/>
          </w:tcPr>
          <w:p>
            <w:pPr>
              <w:spacing w:after="0"/>
              <w:rPr>
                <w:sz w:val="19"/>
                <w:szCs w:val="19"/>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w w:val="90"/>
              </w:rPr>
              <w:t>virtue of Senvest Management, LLC’s position as investment manager of the Investment Vehicles. Mr. Mashaal may</w:t>
            </w:r>
          </w:p>
        </w:tc>
      </w:tr>
      <w:tr>
        <w:trPr>
          <w:trHeight w:val="230"/>
        </w:trPr>
        <w:tc>
          <w:tcPr>
            <w:tcW w:w="1240" w:type="dxa"/>
            <w:vAlign w:val="bottom"/>
          </w:tcPr>
          <w:p>
            <w:pPr>
              <w:spacing w:after="0"/>
              <w:rPr>
                <w:sz w:val="19"/>
                <w:szCs w:val="19"/>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w w:val="90"/>
              </w:rPr>
              <w:t>be deemed to beneficially own the securities held by the Investment Vehicles by virtue of Mr. Mashaal’s status as the</w:t>
            </w:r>
          </w:p>
        </w:tc>
      </w:tr>
      <w:tr>
        <w:trPr>
          <w:trHeight w:val="229"/>
        </w:trPr>
        <w:tc>
          <w:tcPr>
            <w:tcW w:w="1240" w:type="dxa"/>
            <w:vAlign w:val="bottom"/>
          </w:tcPr>
          <w:p>
            <w:pPr>
              <w:spacing w:after="0"/>
              <w:rPr>
                <w:sz w:val="19"/>
                <w:szCs w:val="19"/>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w w:val="92"/>
              </w:rPr>
              <w:t>managing member of Senvest Management, LLC. None of the foregoing should be construed in and of itself as an</w:t>
            </w:r>
          </w:p>
        </w:tc>
      </w:tr>
      <w:tr>
        <w:trPr>
          <w:trHeight w:val="250"/>
        </w:trPr>
        <w:tc>
          <w:tcPr>
            <w:tcW w:w="1240" w:type="dxa"/>
            <w:vAlign w:val="bottom"/>
          </w:tcPr>
          <w:p>
            <w:pPr>
              <w:spacing w:after="0"/>
              <w:rPr>
                <w:sz w:val="21"/>
                <w:szCs w:val="21"/>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admission by any Reporting Person as to beneficial ownership of the securities reported herein.</w:t>
            </w:r>
          </w:p>
        </w:tc>
      </w:tr>
      <w:tr>
        <w:trPr>
          <w:trHeight w:val="473"/>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321"/>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Senvest Management, LLC</w:t>
            </w:r>
          </w:p>
        </w:tc>
      </w:tr>
      <w:tr>
        <w:trPr>
          <w:trHeight w:val="279"/>
        </w:trPr>
        <w:tc>
          <w:tcPr>
            <w:tcW w:w="1240" w:type="dxa"/>
            <w:vAlign w:val="bottom"/>
          </w:tcPr>
          <w:p>
            <w:pPr>
              <w:spacing w:after="0"/>
              <w:rPr>
                <w:sz w:val="24"/>
                <w:szCs w:val="24"/>
                <w:color w:val="auto"/>
              </w:rPr>
            </w:pPr>
          </w:p>
        </w:tc>
        <w:tc>
          <w:tcPr>
            <w:tcW w:w="9780" w:type="dxa"/>
            <w:vAlign w:val="bottom"/>
            <w:gridSpan w:val="5"/>
          </w:tcPr>
          <w:p>
            <w:pPr>
              <w:ind w:left="44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40" w:type="dxa"/>
            <w:vAlign w:val="bottom"/>
          </w:tcPr>
          <w:p>
            <w:pPr>
              <w:spacing w:after="0"/>
              <w:rPr>
                <w:sz w:val="21"/>
                <w:szCs w:val="21"/>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New York, New York 10022</w:t>
            </w:r>
          </w:p>
        </w:tc>
      </w:tr>
      <w:tr>
        <w:trPr>
          <w:trHeight w:val="452"/>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Richard Mashaal</w:t>
            </w:r>
          </w:p>
        </w:tc>
      </w:tr>
      <w:tr>
        <w:trPr>
          <w:trHeight w:val="234"/>
        </w:trPr>
        <w:tc>
          <w:tcPr>
            <w:tcW w:w="1240" w:type="dxa"/>
            <w:vAlign w:val="bottom"/>
          </w:tcPr>
          <w:p>
            <w:pPr>
              <w:spacing w:after="0"/>
              <w:rPr>
                <w:sz w:val="20"/>
                <w:szCs w:val="20"/>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c/o Senvest Management, LLC</w:t>
            </w:r>
          </w:p>
        </w:tc>
      </w:tr>
      <w:tr>
        <w:trPr>
          <w:trHeight w:val="279"/>
        </w:trPr>
        <w:tc>
          <w:tcPr>
            <w:tcW w:w="1240" w:type="dxa"/>
            <w:vAlign w:val="bottom"/>
          </w:tcPr>
          <w:p>
            <w:pPr>
              <w:spacing w:after="0"/>
              <w:rPr>
                <w:sz w:val="24"/>
                <w:szCs w:val="24"/>
                <w:color w:val="auto"/>
              </w:rPr>
            </w:pPr>
          </w:p>
        </w:tc>
        <w:tc>
          <w:tcPr>
            <w:tcW w:w="9780" w:type="dxa"/>
            <w:vAlign w:val="bottom"/>
            <w:gridSpan w:val="5"/>
          </w:tcPr>
          <w:p>
            <w:pPr>
              <w:ind w:left="44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40" w:type="dxa"/>
            <w:vAlign w:val="bottom"/>
          </w:tcPr>
          <w:p>
            <w:pPr>
              <w:spacing w:after="0"/>
              <w:rPr>
                <w:sz w:val="21"/>
                <w:szCs w:val="21"/>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New York, New York 10022</w:t>
            </w:r>
          </w:p>
        </w:tc>
      </w:tr>
      <w:tr>
        <w:trPr>
          <w:trHeight w:val="472"/>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Place of Organization:</w:t>
            </w:r>
          </w:p>
        </w:tc>
      </w:tr>
      <w:tr>
        <w:trPr>
          <w:trHeight w:val="338"/>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Senvest Management, LLC – Delaware</w:t>
            </w:r>
          </w:p>
        </w:tc>
      </w:tr>
      <w:tr>
        <w:trPr>
          <w:trHeight w:val="486"/>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Richard Mashaal – Canada</w:t>
            </w:r>
          </w:p>
        </w:tc>
      </w:tr>
      <w:tr>
        <w:trPr>
          <w:trHeight w:val="48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338"/>
        </w:trPr>
        <w:tc>
          <w:tcPr>
            <w:tcW w:w="1240" w:type="dxa"/>
            <w:vAlign w:val="bottom"/>
          </w:tcPr>
          <w:p>
            <w:pPr>
              <w:spacing w:after="0"/>
              <w:rPr>
                <w:sz w:val="24"/>
                <w:szCs w:val="24"/>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color w:val="auto"/>
              </w:rPr>
              <w:t>Class A Common Stock, par value $0.0001 per share</w:t>
            </w: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78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337"/>
        </w:trPr>
        <w:tc>
          <w:tcPr>
            <w:tcW w:w="1240" w:type="dxa"/>
            <w:vAlign w:val="bottom"/>
          </w:tcPr>
          <w:p>
            <w:pPr>
              <w:spacing w:after="0"/>
              <w:rPr>
                <w:sz w:val="24"/>
                <w:szCs w:val="24"/>
                <w:color w:val="auto"/>
              </w:rPr>
            </w:pPr>
          </w:p>
        </w:tc>
        <w:tc>
          <w:tcPr>
            <w:tcW w:w="1620" w:type="dxa"/>
            <w:vAlign w:val="bottom"/>
            <w:gridSpan w:val="2"/>
          </w:tcPr>
          <w:p>
            <w:pPr>
              <w:ind w:left="440"/>
              <w:spacing w:after="0"/>
              <w:rPr>
                <w:sz w:val="20"/>
                <w:szCs w:val="20"/>
                <w:color w:val="auto"/>
              </w:rPr>
            </w:pPr>
            <w:r>
              <w:rPr>
                <w:rFonts w:ascii="Arial" w:cs="Arial" w:eastAsia="Arial" w:hAnsi="Arial"/>
                <w:sz w:val="20"/>
                <w:szCs w:val="20"/>
                <w:color w:val="auto"/>
              </w:rPr>
              <w:t>92971A109</w:t>
            </w:r>
          </w:p>
        </w:tc>
        <w:tc>
          <w:tcPr>
            <w:tcW w:w="8160" w:type="dxa"/>
            <w:vAlign w:val="bottom"/>
          </w:tcPr>
          <w:p>
            <w:pPr>
              <w:spacing w:after="0"/>
              <w:rPr>
                <w:sz w:val="24"/>
                <w:szCs w:val="24"/>
                <w:color w:val="auto"/>
              </w:rPr>
            </w:pPr>
          </w:p>
        </w:tc>
      </w:tr>
      <w:tr>
        <w:trPr>
          <w:trHeight w:val="459"/>
        </w:trPr>
        <w:tc>
          <w:tcPr>
            <w:tcW w:w="124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80" w:type="dxa"/>
            <w:vAlign w:val="bottom"/>
            <w:gridSpan w:val="3"/>
          </w:tcPr>
          <w:p>
            <w:pPr>
              <w:ind w:left="440"/>
              <w:spacing w:after="0"/>
              <w:rPr>
                <w:sz w:val="20"/>
                <w:szCs w:val="20"/>
                <w:color w:val="auto"/>
              </w:rPr>
            </w:pPr>
            <w:r>
              <w:rPr>
                <w:rFonts w:ascii="Arial" w:cs="Arial" w:eastAsia="Arial" w:hAnsi="Arial"/>
                <w:sz w:val="20"/>
                <w:szCs w:val="20"/>
                <w:b w:val="1"/>
                <w:bCs w:val="1"/>
                <w:color w:val="auto"/>
                <w:w w:val="91"/>
              </w:rPr>
              <w:t>If this Statement is Filed Pursuant to §§ 240.13d-1(b) or 240.13d-2(b), or (c), check whether the Person Filing</w:t>
            </w:r>
          </w:p>
        </w:tc>
      </w:tr>
      <w:tr>
        <w:trPr>
          <w:trHeight w:val="256"/>
        </w:trPr>
        <w:tc>
          <w:tcPr>
            <w:tcW w:w="1240" w:type="dxa"/>
            <w:vAlign w:val="bottom"/>
          </w:tcPr>
          <w:p>
            <w:pPr>
              <w:spacing w:after="0"/>
              <w:rPr>
                <w:sz w:val="22"/>
                <w:szCs w:val="22"/>
                <w:color w:val="auto"/>
              </w:rPr>
            </w:pPr>
          </w:p>
        </w:tc>
        <w:tc>
          <w:tcPr>
            <w:tcW w:w="1020" w:type="dxa"/>
            <w:vAlign w:val="bottom"/>
          </w:tcPr>
          <w:p>
            <w:pPr>
              <w:ind w:left="440"/>
              <w:spacing w:after="0"/>
              <w:rPr>
                <w:sz w:val="20"/>
                <w:szCs w:val="20"/>
                <w:color w:val="auto"/>
              </w:rPr>
            </w:pPr>
            <w:r>
              <w:rPr>
                <w:rFonts w:ascii="Arial" w:cs="Arial" w:eastAsia="Arial" w:hAnsi="Arial"/>
                <w:sz w:val="20"/>
                <w:szCs w:val="20"/>
                <w:b w:val="1"/>
                <w:bCs w:val="1"/>
                <w:color w:val="auto"/>
              </w:rPr>
              <w:t>is a:</w:t>
            </w:r>
          </w:p>
        </w:tc>
        <w:tc>
          <w:tcPr>
            <w:tcW w:w="600" w:type="dxa"/>
            <w:vAlign w:val="bottom"/>
          </w:tcPr>
          <w:p>
            <w:pPr>
              <w:spacing w:after="0"/>
              <w:rPr>
                <w:sz w:val="22"/>
                <w:szCs w:val="22"/>
                <w:color w:val="auto"/>
              </w:rPr>
            </w:pPr>
          </w:p>
        </w:tc>
        <w:tc>
          <w:tcPr>
            <w:tcW w:w="8160" w:type="dxa"/>
            <w:vAlign w:val="bottom"/>
          </w:tcPr>
          <w:p>
            <w:pPr>
              <w:spacing w:after="0"/>
              <w:rPr>
                <w:sz w:val="22"/>
                <w:szCs w:val="22"/>
                <w:color w:val="auto"/>
              </w:rPr>
            </w:pPr>
          </w:p>
        </w:tc>
      </w:tr>
      <w:tr>
        <w:trPr>
          <w:trHeight w:val="529"/>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(a)</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rPr>
              <w:t>Broker or dealer registered under section 15 of the Act (15 U.S.C. 78o);</w:t>
            </w:r>
          </w:p>
        </w:tc>
      </w:tr>
      <w:tr>
        <w:trPr>
          <w:trHeight w:val="473"/>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(b)</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rPr>
              <w:t>Bank as defined in section 3(a)(6) of the Act (15 U.S.C. 78c);</w:t>
            </w:r>
          </w:p>
        </w:tc>
      </w:tr>
      <w:tr>
        <w:trPr>
          <w:trHeight w:val="473"/>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(c)</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395"/>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(d)</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w w:val="90"/>
              </w:rPr>
              <w:t>Investment company registered under section 8 of the Investment Company Act of 1940 (15 U.S.C.</w:t>
            </w:r>
          </w:p>
        </w:tc>
      </w:tr>
      <w:tr>
        <w:trPr>
          <w:trHeight w:val="250"/>
        </w:trPr>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160" w:type="dxa"/>
            <w:vAlign w:val="bottom"/>
          </w:tcPr>
          <w:p>
            <w:pPr>
              <w:ind w:left="160"/>
              <w:spacing w:after="0"/>
              <w:rPr>
                <w:sz w:val="20"/>
                <w:szCs w:val="20"/>
                <w:color w:val="auto"/>
              </w:rPr>
            </w:pPr>
            <w:r>
              <w:rPr>
                <w:rFonts w:ascii="Arial" w:cs="Arial" w:eastAsia="Arial" w:hAnsi="Arial"/>
                <w:sz w:val="20"/>
                <w:szCs w:val="20"/>
                <w:color w:val="auto"/>
              </w:rPr>
              <w:t>80a-8);</w:t>
            </w:r>
          </w:p>
        </w:tc>
      </w:tr>
      <w:tr>
        <w:trPr>
          <w:trHeight w:val="503"/>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(e)</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rPr>
              <w:t>An investment adviser in accordance with § 240.13d-1(b)(1)(ii)(E);</w:t>
            </w:r>
          </w:p>
        </w:tc>
      </w:tr>
      <w:tr>
        <w:trPr>
          <w:trHeight w:val="473"/>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(f)</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220"/>
              <w:spacing w:after="0"/>
              <w:rPr>
                <w:sz w:val="20"/>
                <w:szCs w:val="20"/>
                <w:color w:val="auto"/>
              </w:rPr>
            </w:pPr>
            <w:r>
              <w:rPr>
                <w:rFonts w:ascii="Arial" w:cs="Arial" w:eastAsia="Arial" w:hAnsi="Arial"/>
                <w:sz w:val="20"/>
                <w:szCs w:val="20"/>
                <w:color w:val="auto"/>
              </w:rPr>
              <w:t>An employee benefit plan or endowment fund in accordance with § 240.13d-1(b)(1)(ii)(F);</w:t>
            </w:r>
          </w:p>
        </w:tc>
      </w:tr>
      <w:tr>
        <w:trPr>
          <w:trHeight w:val="473"/>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(g)</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220"/>
              <w:spacing w:after="0"/>
              <w:rPr>
                <w:sz w:val="20"/>
                <w:szCs w:val="20"/>
                <w:color w:val="auto"/>
              </w:rPr>
            </w:pPr>
            <w:r>
              <w:rPr>
                <w:rFonts w:ascii="Arial" w:cs="Arial" w:eastAsia="Arial" w:hAnsi="Arial"/>
                <w:sz w:val="20"/>
                <w:szCs w:val="20"/>
                <w:color w:val="auto"/>
              </w:rPr>
              <w:t>A parent holding company or control person in accordance with §240.13d-1(b)(1)(ii)(G);</w:t>
            </w:r>
          </w:p>
        </w:tc>
      </w:tr>
      <w:tr>
        <w:trPr>
          <w:trHeight w:val="395"/>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(h)</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rPr>
              <w:t>A savings association as defined in Section 3(b) of the Federal Deposit Insurance Act (12</w:t>
            </w:r>
          </w:p>
        </w:tc>
      </w:tr>
      <w:tr>
        <w:trPr>
          <w:trHeight w:val="250"/>
        </w:trPr>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160" w:type="dxa"/>
            <w:vAlign w:val="bottom"/>
          </w:tcPr>
          <w:p>
            <w:pPr>
              <w:ind w:left="160"/>
              <w:spacing w:after="0"/>
              <w:rPr>
                <w:sz w:val="20"/>
                <w:szCs w:val="20"/>
                <w:color w:val="auto"/>
              </w:rPr>
            </w:pPr>
            <w:r>
              <w:rPr>
                <w:rFonts w:ascii="Arial" w:cs="Arial" w:eastAsia="Arial" w:hAnsi="Arial"/>
                <w:sz w:val="20"/>
                <w:szCs w:val="20"/>
                <w:color w:val="auto"/>
              </w:rPr>
              <w:t>U.S.C.1813);</w:t>
            </w:r>
          </w:p>
        </w:tc>
      </w:tr>
      <w:tr>
        <w:trPr>
          <w:trHeight w:val="452"/>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(i)</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w:t>
            </w:r>
          </w:p>
        </w:tc>
      </w:tr>
      <w:tr>
        <w:trPr>
          <w:trHeight w:val="250"/>
        </w:trPr>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160" w:type="dxa"/>
            <w:vAlign w:val="bottom"/>
          </w:tcPr>
          <w:p>
            <w:pPr>
              <w:ind w:left="160"/>
              <w:spacing w:after="0"/>
              <w:rPr>
                <w:sz w:val="20"/>
                <w:szCs w:val="20"/>
                <w:color w:val="auto"/>
              </w:rPr>
            </w:pPr>
            <w:r>
              <w:rPr>
                <w:rFonts w:ascii="Arial" w:cs="Arial" w:eastAsia="Arial" w:hAnsi="Arial"/>
                <w:sz w:val="20"/>
                <w:szCs w:val="20"/>
                <w:color w:val="auto"/>
              </w:rPr>
              <w:t>of the Investment Company Act of 1940 (15 U.S.C. 80a-3);</w:t>
            </w:r>
          </w:p>
        </w:tc>
      </w:tr>
      <w:tr>
        <w:trPr>
          <w:trHeight w:val="529"/>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(j)</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rPr>
              <w:t>A non-U.S. institution in accordance with §240.13d-1(b)(1)(ii)(J);</w:t>
            </w:r>
          </w:p>
        </w:tc>
      </w:tr>
      <w:tr>
        <w:trPr>
          <w:trHeight w:val="473"/>
        </w:trPr>
        <w:tc>
          <w:tcPr>
            <w:tcW w:w="1240" w:type="dxa"/>
            <w:vAlign w:val="bottom"/>
          </w:tcPr>
          <w:p>
            <w:pPr>
              <w:spacing w:after="0"/>
              <w:rPr>
                <w:sz w:val="24"/>
                <w:szCs w:val="24"/>
                <w:color w:val="auto"/>
              </w:rPr>
            </w:pPr>
          </w:p>
        </w:tc>
        <w:tc>
          <w:tcPr>
            <w:tcW w:w="1020" w:type="dxa"/>
            <w:vAlign w:val="bottom"/>
          </w:tcPr>
          <w:p>
            <w:pPr>
              <w:ind w:left="440"/>
              <w:spacing w:after="0"/>
              <w:rPr>
                <w:sz w:val="20"/>
                <w:szCs w:val="20"/>
                <w:color w:val="auto"/>
              </w:rPr>
            </w:pPr>
            <w:r>
              <w:rPr>
                <w:rFonts w:ascii="Arial" w:cs="Arial" w:eastAsia="Arial" w:hAnsi="Arial"/>
                <w:sz w:val="20"/>
                <w:szCs w:val="20"/>
                <w:color w:val="auto"/>
              </w:rPr>
              <w:t>(k)</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tcPr>
          <w:p>
            <w:pPr>
              <w:ind w:left="160"/>
              <w:spacing w:after="0"/>
              <w:rPr>
                <w:sz w:val="20"/>
                <w:szCs w:val="20"/>
                <w:color w:val="auto"/>
              </w:rPr>
            </w:pPr>
            <w:r>
              <w:rPr>
                <w:rFonts w:ascii="Arial" w:cs="Arial" w:eastAsia="Arial" w:hAnsi="Arial"/>
                <w:sz w:val="20"/>
                <w:szCs w:val="20"/>
                <w:color w:val="auto"/>
              </w:rPr>
              <w:t>Group, in accordance with §240.13d-1(b)(1)(ii)(K).</w:t>
            </w:r>
          </w:p>
        </w:tc>
      </w:tr>
      <w:tr>
        <w:trPr>
          <w:trHeight w:val="638"/>
        </w:trPr>
        <w:tc>
          <w:tcPr>
            <w:tcW w:w="1240" w:type="dxa"/>
            <w:vAlign w:val="bottom"/>
          </w:tcPr>
          <w:p>
            <w:pPr>
              <w:spacing w:after="0"/>
              <w:rPr>
                <w:sz w:val="24"/>
                <w:szCs w:val="24"/>
                <w:color w:val="auto"/>
              </w:rPr>
            </w:pPr>
          </w:p>
        </w:tc>
        <w:tc>
          <w:tcPr>
            <w:tcW w:w="9780" w:type="dxa"/>
            <w:vAlign w:val="bottom"/>
            <w:gridSpan w:val="3"/>
          </w:tcPr>
          <w:p>
            <w:pPr>
              <w:ind w:left="440"/>
              <w:spacing w:after="0"/>
              <w:rPr>
                <w:sz w:val="20"/>
                <w:szCs w:val="20"/>
                <w:color w:val="auto"/>
              </w:rPr>
            </w:pPr>
            <w:r>
              <w:rPr>
                <w:rFonts w:ascii="Arial" w:cs="Arial" w:eastAsia="Arial" w:hAnsi="Arial"/>
                <w:sz w:val="20"/>
                <w:szCs w:val="20"/>
                <w:color w:val="auto"/>
              </w:rPr>
              <w:t>If filing as a non-U.S. institution in accordance with Rule 13d-1(b)(1)(ii)(J), please</w:t>
            </w:r>
          </w:p>
        </w:tc>
      </w:tr>
      <w:tr>
        <w:trPr>
          <w:trHeight w:val="250"/>
        </w:trPr>
        <w:tc>
          <w:tcPr>
            <w:tcW w:w="1240" w:type="dxa"/>
            <w:vAlign w:val="bottom"/>
          </w:tcPr>
          <w:p>
            <w:pPr>
              <w:spacing w:after="0"/>
              <w:rPr>
                <w:sz w:val="21"/>
                <w:szCs w:val="21"/>
                <w:color w:val="auto"/>
              </w:rPr>
            </w:pPr>
          </w:p>
        </w:tc>
        <w:tc>
          <w:tcPr>
            <w:tcW w:w="9780" w:type="dxa"/>
            <w:vAlign w:val="bottom"/>
            <w:gridSpan w:val="3"/>
          </w:tcPr>
          <w:p>
            <w:pPr>
              <w:ind w:left="440"/>
              <w:spacing w:after="0"/>
              <w:rPr>
                <w:sz w:val="20"/>
                <w:szCs w:val="20"/>
                <w:color w:val="auto"/>
              </w:rPr>
            </w:pPr>
            <w:r>
              <w:rPr>
                <w:rFonts w:ascii="Arial" w:cs="Arial" w:eastAsia="Arial" w:hAnsi="Arial"/>
                <w:sz w:val="20"/>
                <w:szCs w:val="20"/>
                <w:color w:val="auto"/>
              </w:rPr>
              <w:t>specify the type of institution:__________________________________</w:t>
            </w:r>
          </w:p>
        </w:tc>
      </w:tr>
      <w:tr>
        <w:trPr>
          <w:trHeight w:val="473"/>
        </w:trPr>
        <w:tc>
          <w:tcPr>
            <w:tcW w:w="1240" w:type="dxa"/>
            <w:vAlign w:val="bottom"/>
          </w:tcPr>
          <w:p>
            <w:pPr>
              <w:spacing w:after="0"/>
              <w:rPr>
                <w:sz w:val="20"/>
                <w:szCs w:val="20"/>
                <w:color w:val="auto"/>
              </w:rPr>
            </w:pPr>
            <w:r>
              <w:rPr>
                <w:rFonts w:ascii="Arial" w:cs="Arial" w:eastAsia="Arial" w:hAnsi="Arial"/>
                <w:sz w:val="20"/>
                <w:szCs w:val="20"/>
                <w:b w:val="1"/>
                <w:bCs w:val="1"/>
                <w:color w:val="auto"/>
              </w:rPr>
              <w:t>Item 4.</w:t>
            </w:r>
          </w:p>
        </w:tc>
        <w:tc>
          <w:tcPr>
            <w:tcW w:w="1620" w:type="dxa"/>
            <w:vAlign w:val="bottom"/>
            <w:gridSpan w:val="2"/>
          </w:tcPr>
          <w:p>
            <w:pPr>
              <w:ind w:left="440"/>
              <w:spacing w:after="0"/>
              <w:rPr>
                <w:sz w:val="20"/>
                <w:szCs w:val="20"/>
                <w:color w:val="auto"/>
              </w:rPr>
            </w:pPr>
            <w:r>
              <w:rPr>
                <w:rFonts w:ascii="Arial" w:cs="Arial" w:eastAsia="Arial" w:hAnsi="Arial"/>
                <w:sz w:val="20"/>
                <w:szCs w:val="20"/>
                <w:b w:val="1"/>
                <w:bCs w:val="1"/>
                <w:color w:val="auto"/>
              </w:rPr>
              <w:t>Ownership:</w:t>
            </w:r>
          </w:p>
        </w:tc>
        <w:tc>
          <w:tcPr>
            <w:tcW w:w="8160" w:type="dxa"/>
            <w:vAlign w:val="bottom"/>
          </w:tcPr>
          <w:p>
            <w:pPr>
              <w:spacing w:after="0"/>
              <w:rPr>
                <w:sz w:val="24"/>
                <w:szCs w:val="24"/>
                <w:color w:val="auto"/>
              </w:rPr>
            </w:pPr>
          </w:p>
        </w:tc>
      </w:tr>
    </w:tbl>
    <w:p>
      <w:pPr>
        <w:spacing w:after="0" w:line="87" w:lineRule="exact"/>
        <w:rPr>
          <w:sz w:val="20"/>
          <w:szCs w:val="20"/>
          <w:color w:val="auto"/>
        </w:rPr>
      </w:pPr>
    </w:p>
    <w:p>
      <w:pPr>
        <w:ind w:left="1800" w:right="380"/>
        <w:spacing w:after="0" w:line="259" w:lineRule="auto"/>
        <w:rPr>
          <w:sz w:val="20"/>
          <w:szCs w:val="20"/>
          <w:color w:val="auto"/>
        </w:rPr>
      </w:pPr>
      <w:r>
        <w:rPr>
          <w:rFonts w:ascii="Arial" w:cs="Arial" w:eastAsia="Arial" w:hAnsi="Arial"/>
          <w:sz w:val="19"/>
          <w:szCs w:val="19"/>
          <w:color w:val="auto"/>
        </w:rPr>
        <w:t>The information required by Items 4(a) – (c) is set forth in Rows (5) – (11) of the cover page for each Reporting Person hereto and is incorporated herein by reference for each such Reporting Person. The percentages set forth in this Schedule 13G/A are calculated based upon an aggregate of 90,952,468 shares of Class A Common Stock outstanding as of November 3, 2023, as reported in the Issuer’s Quarterly Report on Form 10-Q for the quarterly period ended September 30, 2022 filed with the Securities and Exchange Commission on November 8, 2022, and assume the exercise of the reported warrants.</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356"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1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Investment Vehicles have the right to receive and the power to direct the receipt of dividends from, and the</w:t>
      </w:r>
    </w:p>
    <w:p>
      <w:pPr>
        <w:spacing w:after="0" w:line="39"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proceeds from the sale of the Class A Common Stock. Senvest Master Fund, LP has the right to receive or the power</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to direct the receipt of dividends from, or the proceeds from the sale of, more than 5% of the Class A Common Stock.</w:t>
      </w:r>
    </w:p>
    <w:p>
      <w:pPr>
        <w:spacing w:after="0" w:line="244"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Parent Holding Company or Control Person:</w:t>
      </w:r>
    </w:p>
    <w:p>
      <w:pPr>
        <w:spacing w:after="0" w:line="9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1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14"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50"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114"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By signing below each Reporting Person certifies that, to the best of his or its knowledge and belief, the securities</w:t>
      </w:r>
    </w:p>
    <w:p>
      <w:pPr>
        <w:spacing w:after="0" w:line="38" w:lineRule="exact"/>
        <w:rPr>
          <w:sz w:val="20"/>
          <w:szCs w:val="20"/>
          <w:color w:val="auto"/>
        </w:rPr>
      </w:pPr>
    </w:p>
    <w:p>
      <w:pPr>
        <w:jc w:val="right"/>
        <w:ind w:right="120"/>
        <w:spacing w:after="0"/>
        <w:rPr>
          <w:sz w:val="20"/>
          <w:szCs w:val="20"/>
          <w:color w:val="auto"/>
        </w:rPr>
      </w:pPr>
      <w:r>
        <w:rPr>
          <w:rFonts w:ascii="Arial" w:cs="Arial" w:eastAsia="Arial" w:hAnsi="Arial"/>
          <w:sz w:val="20"/>
          <w:szCs w:val="20"/>
          <w:color w:val="auto"/>
        </w:rPr>
        <w:t>referred to above were not acquired and are not held for the purpose of or with the effect of changing or influencing</w:t>
      </w:r>
    </w:p>
    <w:p>
      <w:pPr>
        <w:ind w:left="1800"/>
        <w:spacing w:after="0"/>
        <w:rPr>
          <w:sz w:val="20"/>
          <w:szCs w:val="20"/>
          <w:color w:val="auto"/>
        </w:rPr>
      </w:pPr>
      <w:r>
        <w:rPr>
          <w:rFonts w:ascii="Arial" w:cs="Arial" w:eastAsia="Arial" w:hAnsi="Arial"/>
          <w:sz w:val="16"/>
          <w:szCs w:val="16"/>
          <w:color w:val="auto"/>
        </w:rPr>
        <w:t>the control of the issuer of the securities and were not acquired and are not held in connection with or as a participant</w:t>
      </w:r>
    </w:p>
    <w:p>
      <w:pPr>
        <w:spacing w:after="0" w:line="46"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February 10, 2023</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SENVEST MANAGEMENT, LLC</w:t>
      </w:r>
    </w:p>
    <w:p>
      <w:pPr>
        <w:spacing w:after="0" w:line="249" w:lineRule="exact"/>
        <w:rPr>
          <w:sz w:val="20"/>
          <w:szCs w:val="20"/>
          <w:color w:val="auto"/>
        </w:rPr>
      </w:pPr>
    </w:p>
    <w:tbl>
      <w:tblPr>
        <w:tblLayout w:type="fixed"/>
        <w:tblInd w:w="5400" w:type="dxa"/>
        <w:tblCellMar>
          <w:top w:w="0" w:type="dxa"/>
          <w:left w:w="0" w:type="dxa"/>
          <w:bottom w:w="0" w:type="dxa"/>
          <w:right w:w="0" w:type="dxa"/>
        </w:tblCellMar>
      </w:tblPr>
      <w:tr>
        <w:trPr>
          <w:trHeight w:val="253"/>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Bobby Trahanas</w:t>
            </w:r>
          </w:p>
        </w:tc>
      </w:tr>
      <w:tr>
        <w:trPr>
          <w:trHeight w:val="213"/>
        </w:trPr>
        <w:tc>
          <w:tcPr>
            <w:tcW w:w="800" w:type="dxa"/>
            <w:vAlign w:val="bottom"/>
          </w:tcPr>
          <w:p>
            <w:pPr>
              <w:spacing w:after="0" w:line="212" w:lineRule="exact"/>
              <w:rPr>
                <w:sz w:val="20"/>
                <w:szCs w:val="20"/>
                <w:color w:val="auto"/>
              </w:rPr>
            </w:pPr>
            <w:r>
              <w:rPr>
                <w:rFonts w:ascii="Arial" w:cs="Arial" w:eastAsia="Arial" w:hAnsi="Arial"/>
                <w:sz w:val="20"/>
                <w:szCs w:val="20"/>
                <w:color w:val="auto"/>
              </w:rPr>
              <w:t>Name:</w:t>
            </w:r>
          </w:p>
        </w:tc>
        <w:tc>
          <w:tcPr>
            <w:tcW w:w="5040" w:type="dxa"/>
            <w:vAlign w:val="bottom"/>
          </w:tcPr>
          <w:p>
            <w:pPr>
              <w:spacing w:after="0" w:line="212" w:lineRule="exact"/>
              <w:rPr>
                <w:sz w:val="20"/>
                <w:szCs w:val="20"/>
                <w:color w:val="auto"/>
              </w:rPr>
            </w:pPr>
            <w:r>
              <w:rPr>
                <w:rFonts w:ascii="Arial" w:cs="Arial" w:eastAsia="Arial" w:hAnsi="Arial"/>
                <w:sz w:val="20"/>
                <w:szCs w:val="20"/>
                <w:color w:val="auto"/>
              </w:rPr>
              <w:t>Bobby Trahanas</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5040" w:type="dxa"/>
            <w:vAlign w:val="bottom"/>
          </w:tcPr>
          <w:p>
            <w:pPr>
              <w:spacing w:after="0"/>
              <w:rPr>
                <w:sz w:val="20"/>
                <w:szCs w:val="20"/>
                <w:color w:val="auto"/>
              </w:rPr>
            </w:pPr>
            <w:r>
              <w:rPr>
                <w:rFonts w:ascii="Arial" w:cs="Arial" w:eastAsia="Arial" w:hAnsi="Arial"/>
                <w:sz w:val="20"/>
                <w:szCs w:val="20"/>
                <w:color w:val="auto"/>
              </w:rPr>
              <w:t>Chief Compliance Officer</w:t>
            </w:r>
          </w:p>
        </w:tc>
      </w:tr>
    </w:tbl>
    <w:p>
      <w:pPr>
        <w:spacing w:after="0" w:line="200" w:lineRule="exact"/>
        <w:rPr>
          <w:sz w:val="20"/>
          <w:szCs w:val="20"/>
          <w:color w:val="auto"/>
        </w:rPr>
      </w:pPr>
    </w:p>
    <w:p>
      <w:pPr>
        <w:spacing w:after="0" w:line="27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Richard Mashaal</w:t>
      </w:r>
    </w:p>
    <w:p>
      <w:pPr>
        <w:spacing w:after="0" w:line="27"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-143510</wp:posOffset>
            </wp:positionV>
            <wp:extent cx="3703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2023-02-10T15:21:33Z</dcterms:created>
  <dcterms:modified xsi:type="dcterms:W3CDTF">2023-02-10T15:21:33Z</dcterms:modified>
</cp:coreProperties>
</file>