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r>
      <w:tr>
        <w:trPr>
          <w:trHeight w:val="383"/>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r>
      <w:tr>
        <w:trPr>
          <w:trHeight w:val="30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17"/>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FORM 10-Q</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0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r>
      <w:tr>
        <w:trPr>
          <w:trHeight w:val="250"/>
        </w:trPr>
        <w:tc>
          <w:tcPr>
            <w:tcW w:w="900" w:type="dxa"/>
            <w:vAlign w:val="bottom"/>
          </w:tcPr>
          <w:p>
            <w:pPr>
              <w:spacing w:after="0"/>
              <w:rPr>
                <w:sz w:val="21"/>
                <w:szCs w:val="21"/>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tc>
      </w:tr>
      <w:tr>
        <w:trPr>
          <w:trHeight w:val="279"/>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402"/>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219"/>
        </w:trPr>
        <w:tc>
          <w:tcPr>
            <w:tcW w:w="900" w:type="dxa"/>
            <w:vAlign w:val="bottom"/>
          </w:tcPr>
          <w:p>
            <w:pPr>
              <w:spacing w:after="0"/>
              <w:rPr>
                <w:sz w:val="19"/>
                <w:szCs w:val="19"/>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tc>
      </w:tr>
      <w:tr>
        <w:trPr>
          <w:trHeight w:val="269"/>
        </w:trPr>
        <w:tc>
          <w:tcPr>
            <w:tcW w:w="900" w:type="dxa"/>
            <w:vAlign w:val="bottom"/>
          </w:tcPr>
          <w:p>
            <w:pPr>
              <w:spacing w:after="0"/>
              <w:rPr>
                <w:sz w:val="23"/>
                <w:szCs w:val="23"/>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90"/>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(844) 933-3627</w:t>
            </w:r>
          </w:p>
        </w:tc>
        <w:tc>
          <w:tcPr>
            <w:tcW w:w="3740" w:type="dxa"/>
            <w:vAlign w:val="bottom"/>
          </w:tcPr>
          <w:p>
            <w:pPr>
              <w:spacing w:after="0"/>
              <w:rPr>
                <w:sz w:val="24"/>
                <w:szCs w:val="24"/>
                <w:color w:val="auto"/>
              </w:rPr>
            </w:pPr>
          </w:p>
        </w:tc>
      </w:tr>
      <w:tr>
        <w:trPr>
          <w:trHeight w:val="188"/>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color w:val="auto"/>
              </w:rPr>
              <w:t>(Registrant’ telephone number, including area code)</w:t>
            </w:r>
          </w:p>
        </w:tc>
        <w:tc>
          <w:tcPr>
            <w:tcW w:w="3740" w:type="dxa"/>
            <w:vAlign w:val="bottom"/>
          </w:tcPr>
          <w:p>
            <w:pPr>
              <w:spacing w:after="0"/>
              <w:rPr>
                <w:sz w:val="16"/>
                <w:szCs w:val="16"/>
                <w:color w:val="auto"/>
              </w:rPr>
            </w:pPr>
          </w:p>
        </w:tc>
      </w:tr>
      <w:tr>
        <w:trPr>
          <w:trHeight w:val="283"/>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w w:val="99"/>
              </w:rPr>
              <w:t>MAPS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190"/>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 at</w:t>
            </w:r>
          </w:p>
        </w:tc>
        <w:tc>
          <w:tcPr>
            <w:tcW w:w="24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 exercise price of $11.50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MAPSW</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11"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5"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229" w:right="339" w:bottom="1440" w:gutter="0" w:footer="0" w:header="0"/>
          <w:type w:val="continuous"/>
        </w:sect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7"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1, 2025, there were 107,226,460 shares of the registrant’s Class A common stock outstanding and 49,319,542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WM TECHNOLOGY, INC.</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7120" w:type="dxa"/>
            <w:vAlign w:val="bottom"/>
            <w:gridSpan w:val="11"/>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2025 and December 31, 2024</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78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2025 and 2024</w:t>
            </w:r>
          </w:p>
        </w:tc>
        <w:tc>
          <w:tcPr>
            <w:tcW w:w="48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Six Months Ended June 30, 2025 and 2024</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2025 and 2024</w:t>
            </w:r>
          </w:p>
        </w:tc>
        <w:tc>
          <w:tcPr>
            <w:tcW w:w="40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380" w:type="dxa"/>
            <w:vAlign w:val="bottom"/>
            <w:gridSpan w:val="6"/>
          </w:tcPr>
          <w:p>
            <w:pPr>
              <w:spacing w:after="0"/>
              <w:rPr>
                <w:sz w:val="20"/>
                <w:szCs w:val="20"/>
                <w:color w:val="auto"/>
              </w:rPr>
            </w:pPr>
          </w:p>
        </w:tc>
        <w:tc>
          <w:tcPr>
            <w:tcW w:w="1860" w:type="dxa"/>
            <w:vAlign w:val="bottom"/>
            <w:gridSpan w:val="3"/>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30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0000EE"/>
          </w:tcPr>
          <w:p>
            <w:pPr>
              <w:spacing w:after="0" w:line="20" w:lineRule="exact"/>
              <w:rPr>
                <w:sz w:val="1"/>
                <w:szCs w:val="1"/>
                <w:color w:val="auto"/>
              </w:rPr>
            </w:pPr>
          </w:p>
        </w:tc>
        <w:tc>
          <w:tcPr>
            <w:tcW w:w="300" w:type="dxa"/>
            <w:vAlign w:val="bottom"/>
            <w:tcBorders>
              <w:top w:val="single" w:sz="8" w:color="0000EE"/>
            </w:tcBorders>
            <w:shd w:val="clear" w:color="auto" w:fill="0000EE"/>
          </w:tcPr>
          <w:p>
            <w:pPr>
              <w:spacing w:after="0" w:line="20" w:lineRule="exact"/>
              <w:rPr>
                <w:sz w:val="1"/>
                <w:szCs w:val="1"/>
                <w:color w:val="auto"/>
              </w:rPr>
            </w:pPr>
          </w:p>
        </w:tc>
        <w:tc>
          <w:tcPr>
            <w:tcW w:w="4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560" w:type="dxa"/>
            <w:vAlign w:val="bottom"/>
            <w:tcBorders>
              <w:top w:val="single" w:sz="8" w:color="0000EE"/>
            </w:tcBorders>
            <w:gridSpan w:val="2"/>
            <w:shd w:val="clear" w:color="auto" w:fill="0000EE"/>
          </w:tcPr>
          <w:p>
            <w:pPr>
              <w:spacing w:after="0" w:line="20" w:lineRule="exact"/>
              <w:rPr>
                <w:sz w:val="1"/>
                <w:szCs w:val="1"/>
                <w:color w:val="auto"/>
              </w:rPr>
            </w:pPr>
          </w:p>
        </w:tc>
        <w:tc>
          <w:tcPr>
            <w:tcW w:w="2020" w:type="dxa"/>
            <w:vAlign w:val="bottom"/>
            <w:tcBorders>
              <w:top w:val="single" w:sz="8" w:color="0000EE"/>
            </w:tcBorders>
            <w:gridSpan w:val="3"/>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2080" w:type="dxa"/>
            <w:vAlign w:val="bottom"/>
            <w:tcBorders>
              <w:top w:val="single" w:sz="8" w:color="0000EE"/>
            </w:tcBorders>
            <w:gridSpan w:val="2"/>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43</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18"/>
                <w:szCs w:val="18"/>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spacing w:after="0"/>
              <w:rPr>
                <w:sz w:val="18"/>
                <w:szCs w:val="18"/>
                <w:color w:val="auto"/>
              </w:rPr>
            </w:pPr>
          </w:p>
        </w:tc>
        <w:tc>
          <w:tcPr>
            <w:tcW w:w="180" w:type="dxa"/>
            <w:vAlign w:val="bottom"/>
            <w:tcBorders>
              <w:bottom w:val="single" w:sz="8" w:color="0000EE"/>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3"/>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5"/>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EE"/>
                <w:w w:val="99"/>
              </w:rPr>
              <w:t>43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8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Market LLC (“Nasdaq”);</w:t>
      </w:r>
    </w:p>
    <w:p>
      <w:pPr>
        <w:spacing w:after="0" w:line="103"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3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w:t>
      </w:r>
    </w:p>
    <w:p>
      <w:pPr>
        <w:spacing w:after="0" w:line="33"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and hemp industries;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2024, filed with the SEC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March 13, 2025.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WHERE YOU CAN FIND ADDITIONAL INFORMATION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Securities and Exchange Commission (“SEC”), the investor relations page on our website, which is located at ir.weedmaps.com,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we post through these channels is not a part of this Quarterly Report on Form 10-Q. Any updates to the list of disclosure channels through which we will announce information will be posted on the investor relations page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69,512</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liability, current</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30,433</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26,601</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non-current</w:t>
            </w:r>
          </w:p>
        </w:tc>
        <w:tc>
          <w:tcPr>
            <w:tcW w:w="2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61,799</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June 30, 2025 and December 31, 2024</w:t>
            </w:r>
          </w:p>
        </w:tc>
        <w:tc>
          <w:tcPr>
            <w:tcW w:w="28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107,226,460</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4"/>
        </w:trPr>
        <w:tc>
          <w:tcPr>
            <w:tcW w:w="7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June 30, 2025 and 99,033,110 shares issued and outstanding</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34"/>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December 31, 2024</w:t>
            </w: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49,319,542 shares</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June 30, 2025 and 54,319,542 shares issued and outstanding at</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92,941</w:t>
            </w:r>
          </w:p>
        </w:tc>
      </w:tr>
      <w:tr>
        <w:trPr>
          <w:trHeight w:val="230"/>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(56,879)</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w:t>
            </w: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83,990</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120,067</w:t>
            </w:r>
          </w:p>
        </w:tc>
      </w:tr>
      <w:tr>
        <w:trPr>
          <w:trHeight w:val="223"/>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4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r>
      <w:tr>
        <w:trPr>
          <w:trHeight w:val="257"/>
        </w:trPr>
        <w:tc>
          <w:tcPr>
            <w:tcW w:w="5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5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35,055</w:t>
            </w:r>
          </w:p>
        </w:tc>
      </w:tr>
      <w:tr>
        <w:trPr>
          <w:trHeight w:val="229"/>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2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4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30"/>
        </w:trPr>
        <w:tc>
          <w:tcPr>
            <w:tcW w:w="5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WM Technology,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0"/>
        </w:trPr>
        <w:tc>
          <w:tcPr>
            <w:tcW w:w="5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105,744,266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104,897,467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95,023,380</w:t>
            </w: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107,922,354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107,347,113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96,647,173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-4182745</wp:posOffset>
            </wp:positionV>
            <wp:extent cx="60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-4182745</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33655</wp:posOffset>
            </wp:positionV>
            <wp:extent cx="5829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right"/>
              <w:ind w:right="548"/>
              <w:spacing w:after="0" w:line="146" w:lineRule="exact"/>
              <w:rPr>
                <w:sz w:val="20"/>
                <w:szCs w:val="20"/>
                <w:color w:val="auto"/>
              </w:rPr>
            </w:pPr>
            <w:r>
              <w:rPr>
                <w:rFonts w:ascii="Times New Roman" w:cs="Times New Roman" w:eastAsia="Times New Roman" w:hAnsi="Times New Roman"/>
                <w:sz w:val="14"/>
                <w:szCs w:val="14"/>
                <w:b w:val="1"/>
                <w:bCs w:val="1"/>
                <w:color w:val="auto"/>
              </w:rPr>
              <w:t>Class V</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5"/>
            <w:vMerge w:val="restart"/>
          </w:tcPr>
          <w:p>
            <w:pPr>
              <w:jc w:val="center"/>
              <w:ind w:right="3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4"/>
                <w:szCs w:val="4"/>
                <w:color w:val="auto"/>
              </w:rPr>
            </w:pPr>
          </w:p>
        </w:tc>
        <w:tc>
          <w:tcPr>
            <w:tcW w:w="10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4"/>
                <w:szCs w:val="4"/>
                <w:color w:val="auto"/>
              </w:rPr>
            </w:pPr>
          </w:p>
        </w:tc>
        <w:tc>
          <w:tcPr>
            <w:tcW w:w="1160" w:type="dxa"/>
            <w:vAlign w:val="bottom"/>
            <w:gridSpan w:val="3"/>
            <w:vMerge w:val="restart"/>
          </w:tcPr>
          <w:p>
            <w:pPr>
              <w:jc w:val="center"/>
              <w:ind w:right="40"/>
              <w:spacing w:after="0" w:line="122"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99,033,110</w:t>
            </w: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54,319,542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92,941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(56,879)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36,077</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83,990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120,067</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2,457</w:t>
            </w:r>
          </w:p>
        </w:tc>
        <w:tc>
          <w:tcPr>
            <w:tcW w:w="0" w:type="dxa"/>
            <w:vAlign w:val="bottom"/>
          </w:tcPr>
          <w:p>
            <w:pPr>
              <w:spacing w:after="0"/>
              <w:rPr>
                <w:sz w:val="1"/>
                <w:szCs w:val="1"/>
                <w:color w:val="auto"/>
              </w:rPr>
            </w:pPr>
          </w:p>
        </w:tc>
      </w:tr>
      <w:tr>
        <w:trPr>
          <w:trHeight w:val="146"/>
        </w:trPr>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711,646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7"/>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8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Distributions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(1,301)</w:t>
            </w:r>
          </w:p>
        </w:tc>
        <w:tc>
          <w:tcPr>
            <w:tcW w:w="0" w:type="dxa"/>
            <w:vAlign w:val="bottom"/>
          </w:tcPr>
          <w:p>
            <w:pPr>
              <w:spacing w:after="0"/>
              <w:rPr>
                <w:sz w:val="1"/>
                <w:szCs w:val="1"/>
                <w:color w:val="auto"/>
              </w:rPr>
            </w:pPr>
          </w:p>
        </w:tc>
      </w:tr>
      <w:tr>
        <w:trPr>
          <w:trHeight w:val="146"/>
        </w:trPr>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 xml:space="preserve">7,825 </w:t>
            </w:r>
            <w:r>
              <w:rPr>
                <w:rFonts w:ascii="Times New Roman" w:cs="Times New Roman" w:eastAsia="Times New Roman" w:hAnsi="Times New Roman"/>
                <w:sz w:val="28"/>
                <w:szCs w:val="28"/>
                <w:color w:val="auto"/>
                <w:vertAlign w:val="superscript"/>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7,825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(7,825)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Class A Unit exchange</w:t>
            </w:r>
          </w:p>
        </w:tc>
        <w:tc>
          <w:tcPr>
            <w:tcW w:w="8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4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Issuance of common stock -</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309,010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Class P Unit exchange</w:t>
            </w: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189"/>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105,053,766</w:t>
            </w:r>
          </w:p>
        </w:tc>
        <w:tc>
          <w:tcPr>
            <w:tcW w:w="16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49,319,542</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103,682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(55,232)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48,465</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75,251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123,716</w:t>
            </w: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2,848</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4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Issuance of common stock -</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0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2,172,694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w w:val="97"/>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96"/>
        </w:trPr>
        <w:tc>
          <w:tcPr>
            <w:tcW w:w="8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1,427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1,427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107,226,460</w:t>
            </w: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49,319,542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106,529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(53,805)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52,740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75,265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128,005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15"/>
          </w:tcPr>
          <w:p>
            <w:pPr>
              <w:ind w:left="30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3"/>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Borders>
              <w:bottom w:val="single" w:sz="8" w:color="auto"/>
            </w:tcBorders>
            <w:gridSpan w:val="5"/>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1"/>
                <w:szCs w:val="11"/>
                <w:color w:val="auto"/>
              </w:rPr>
            </w:pPr>
          </w:p>
        </w:tc>
        <w:tc>
          <w:tcPr>
            <w:tcW w:w="1020" w:type="dxa"/>
            <w:vAlign w:val="bottom"/>
            <w:gridSpan w:val="4"/>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16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4"/>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9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94,383,053</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80,884</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w:t>
            </w: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628,941</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5"/>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2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5"/>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39,741</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5"/>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P Unit exchange</w:t>
            </w: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5"/>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95,051,735</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55,486,361</w:t>
            </w: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84,056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86,036</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2,950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w:t>
            </w: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1,896,515</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5"/>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2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5"/>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96,948,250</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55,486,361</w:t>
            </w:r>
          </w:p>
        </w:tc>
        <w:tc>
          <w:tcPr>
            <w:tcW w:w="68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87,005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(62,562)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84,728</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contingency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w:t>
            </w:r>
          </w:p>
        </w:tc>
      </w:tr>
      <w:tr>
        <w:trPr>
          <w:trHeight w:val="250"/>
        </w:trPr>
        <w:tc>
          <w:tcPr>
            <w:tcW w:w="8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50"/>
        </w:trPr>
        <w:tc>
          <w:tcPr>
            <w:tcW w:w="8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r>
      <w:tr>
        <w:trPr>
          <w:trHeight w:val="250"/>
        </w:trPr>
        <w:tc>
          <w:tcPr>
            <w:tcW w:w="8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41,292</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-5099685</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9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1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19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7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and Organization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base makes the Weedmaps marketplace highly valuable to its clients.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On the Closing Date, and in connection with the closing of the Business Combination (the “Closing”), Silver Spike was domesticated and continues as a Delaware corporation, changing its name to WM Technology, Inc.</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2024, filed with the SEC on March 13, 2025. The condensed consolidated financial statements of the Company include all adjustments of a normal recurring nature which, in the opinion of management, are necessary for a fair statement of the Company’s financial position as of June 30, 2025, and results of its operations and its cash flows for the interim periods presented. Certain prior period amounts have been reclassified to conform to the current period presentation. The results of operations for the three and six months ended June 30, 2025 are not necessarily indicative of the results to be expected for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entire year. There have been no significant changes in the Company’s accounting policies from those described in the Company’s audited consolidated financial statements and the related notes to those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2025 and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loss contingencies,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forty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condensed consolidated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follows the guidance in Accounting Standards Codification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6, “Fair Value Measurements” to these condensed consolidated financial statements for additional information.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Accounts receivable represents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$1.6 million and $1.2 million as of June 30, 2025 and December 31, 2024,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no customer accounted for more than 10% of the total gross accounts receivable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end of period</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0"/>
        </w:trPr>
        <w:tc>
          <w:tcPr>
            <w:tcW w:w="3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June 30, 2025 and December 31, 2024, the carrying value of the Company’s investments in equity securities without a readily determinable fair value were $0.0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asset impairment charges in the accompanying condensed consolidated statements of operations. No impairment to investments in equity securities were recorded for the three and six months ended June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motor vehicle,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condensed consolidated statements of operations.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consolidated balance sheets. The Company capitalizes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Company has $23.6 million and $23.1 million in capitalized software costs, net, respectively which are recorded within property and equipment, net on the Company’s condensed consolidated balance sheets. For the three months ended June 30, 2025 and 2024, the Company amortized $3.2 million and $2.8 million, respectively. For the six months ended June 30, 2025 and 2024, the Company amortized $6.2 million and $5.3 million, respectively. Amortization of internal-use software development costs is included in depreciation and amortization expense in the accompanying condensed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the impairment review. If the carrying value of the reporting unit exceeds its fair value, an impairment loss equal to the difference will be recorded. No goodwill impairment charges were recorded for the three and six months ended June 30, 2025 and 2024.</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See Note 7, “Goodwill and Intangible Assets,” to these condensed consolidated financial statements for additional information. No intangible assets impairment charges were recorded for the three and six months ended June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liability and the amortization of the right-of-use asset results in front-loaded expense over the lease term. Variable lease expenses are recorded when incurred.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provided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 an accounting policy election, and instead recognizes rent expense on a straight-line basis over the lease term.</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During the three and six months ended June 30, 2025 and 2024, the Company recognized no impairment charge related to ROU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rent expense for the three months ended June 30, 2025 and 2024 was $1.3 million and $2.0 million, respectively. Net rent expense for the six months ended June 30, 2025 and 2024 was $3.2 million and $4.2 million, respectively. Rent expense is included in general and administrative expense in the accompanying condensed consolidated statements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 paid $0.1 million to terminate a lease agreement for one of its offices. In conjunction with the early lease termination, the Company reported a gain of $0.1 million which is recognized as a reduction to the related lease expense. The Company also de-recognized a ROU asset of $0.2 million and a lease liability of $0.4 million on the condensed consolidated balance sheet related to early lease termination.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the Company recorded rent income related to subleases of $0.7 million and $0.5 million, respectively.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the Company recorded rent income related to subleases of $0.9 million and $1.1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June 30, 2025,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and concluded they do not meet the criteria to be classified in stockholders’ equity. Specifically, the exercise of the Warrants may be settled in cash upon the occurrence of a tender offer or exchange that involves 50% or more of the Company’s Class A equity holders. Because not all of the voting stockholders need to participate in such tender offer or exchange to trigger the potential cash settlement and the Company does not control the occurrence of such an event, the Company concluded that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 See Note 10, “Warrant Liability,” to these condensed consolidated financial statements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on the condensed consolidated statements of operations. As of June 30, 2025 and December 31, 2024, the TRA liability was $4.1 million and $4.4 million, respectively. For the three and six months ended June 30, 2025, the Company recognized a loss of $0.5 million and $1.1 million, respectively, related to the remeasurement of the TRA liability. For the three and six months ended June 30, 2024, the Company recognized a loss of $0.4 million and $0.9 million, respectively, related to the remeasurement of the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services. Transaction price adjustments are primarily related to the Company’s Together for Equity Access and Legislation program, through which the Company provides free software, advertising, educational materials and training programs to applicants or licenses under social equity licensing programs. The Company provides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the Company on the applicable state’s website. For the three months ended June 30, 2025 and 2024, total transaction price adjustments issued was $2.0 million and $1.3 million, respectively. For the six months ended June 30, 2025 and 2024, total transaction price adjustments issued was $3.8 million and $2.6 million, respectively. For clients that pay in advance for listing and other services, the Company records deferred revenue and recognizes revenue over the applicable subscription term.</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transaction price is needed, the Company recognizes revenue in proportion to the standalone selling prices of the underlying services at contract inception.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$1.7 million and $3.8 million for the three months ended June 30, 2025 and 2024, respectively, and $3.6 million and $6.3 million for the six months ended June 30, 2025 and 2024, respectively, and are included in sales and marketing expense in the accompanying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without market conditions is equal to the market price of the Company’s Class A common stock on the date of grant. The fair value of performance-based restricted stock units with market conditions is measured using a Monte Carlo simulation.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of the Company that impacts the vesting of the award, the Company records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such stock-based awards are recognized as they occur and the Company records compensation cost over the derived service period. See Note 12, “Stock-based Compensation,” to these condensed consolidated financial statements for additional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June 30, 2025 and 2024, the Company expensed $0.5 million and $0.5 million, respectively, and for the six months ended June 30, 2025 and 2024, the Company expensed $1.2 million and $0.9 million, respectively, related to employer contributions for the Company’s 401(k) saving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interest income and other tax related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those temporary differences are expected to be recovered or settled. The effect of a change in tax rates on deferred tax assets and liabilities is recognized in income in the period the rate change is enacted.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ending December 31, 2024 and for six months ended June 30, 2025, the Company conducted similar analyses, and determined that a full valuation allowance was still required. As of June 30, 2025 and December 31, 2024, the TRA liability was $4.1 million and $4.4 million, respectively.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income taxed to holders of noncontrolling interest, changes in flow-through income not subject to tax, the effect of state income tax, valuation allowances and tax law developments.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Company recorded less than $0.1 million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2025 budget reconciliation bill, officially known as the One Big Beautiful Bill Act of 2025 (the “Act”) was enacted into law. The Act includes changes to U.S. tax law which include modifications to limitations on deductions for interest expense and accelerated fixed asset depreciation that may impact the Company starting in 2025. The Company is still in the process of evaluating the impact of the Act to its consolidated financial statements and an estimate of the impact cannot be made at this time. See Note 15, “Subsequent Events” to the condensed consolidated financial statements included in this Quarterly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13, “Earnings Per Share,” for additional information on dilutive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June 30, 2025, the Company had cash balances that exceeded the deposit insurance limit with five financial institutions. The Company believes that the risk of loss is not significant and has not experienced any losses in such accounts.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“Segment Reporting (Topic 280): Improvements to Reportable Segment Disclosure”,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This ASU is effective for fiscal years beginning after December 15, 2023 and interim periods within fiscal years beginning after December 15, 2024. The Company adopted this ASU as of December 31, 2024. See Note 4, “Segment Reporting,” for additional reportable segment disclosure.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reviewed other accounting pronouncements that became effective for fiscal year 2025 and determined that either they were not applicable, or they did not have a material impact on the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annual reporting periods beginning after December 15, 2024 on a prospective basis and retrospective application is permitted. The Company is currently evaluating the impact of the adoption of this standard.</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condensed consolidated financial statements.</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73" w:lineRule="exact"/>
        <w:rPr>
          <w:sz w:val="20"/>
          <w:szCs w:val="20"/>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the Company’s clients’ businesses and maximize clients’ listings and deal presence.</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8"/>
          <w:szCs w:val="18"/>
          <w:color w:val="auto"/>
        </w:rPr>
      </w:pPr>
    </w:p>
    <w:p>
      <w:pPr>
        <w:jc w:val="both"/>
        <w:ind w:left="1300" w:right="20" w:hanging="320"/>
        <w:spacing w:after="0" w:line="281"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ads solutions: Includes banner ads and promotion tiles on the Company’s marketplace as well as banner ads that can be tied to keyword searches. These products provide clients with targeted ad solutions in highly visible slots across the Company’s digital surfaces.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revenues information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46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26,702</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54,262</w:t>
            </w: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56,581</w:t>
            </w:r>
          </w:p>
        </w:tc>
      </w:tr>
      <w:tr>
        <w:trPr>
          <w:trHeight w:val="223"/>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83,283</w:t>
            </w:r>
          </w:p>
        </w:tc>
      </w:tr>
      <w:tr>
        <w:trPr>
          <w:trHeight w:val="257"/>
        </w:trPr>
        <w:tc>
          <w:tcPr>
            <w:tcW w:w="4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 solutions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w:t>
            </w:r>
          </w:p>
        </w:tc>
      </w:tr>
      <w:tr>
        <w:trPr>
          <w:trHeight w:val="248"/>
        </w:trPr>
        <w:tc>
          <w:tcPr>
            <w:tcW w:w="4420" w:type="dxa"/>
            <w:vAlign w:val="bottom"/>
            <w:tcBorders>
              <w:bottom w:val="single" w:sz="8" w:color="CCEEFF"/>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Total revenues</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8" w:lineRule="exact"/>
        <w:rPr>
          <w:sz w:val="20"/>
          <w:szCs w:val="20"/>
          <w:color w:val="auto"/>
        </w:rPr>
      </w:pPr>
    </w:p>
    <w:p>
      <w:pPr>
        <w:ind w:firstLine="8"/>
        <w:spacing w:after="0" w:line="225" w:lineRule="auto"/>
        <w:tabs>
          <w:tab w:leader="none" w:pos="79"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Revenues include transaction price adjustments of $2.0 million and $1.3 million, respectively, for the three months ended June 30, 2025 and 2024 and $3.8 million and $2.6 million, respectively, for the six months ended June 30, 2025 and 2024.</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June 30, 2025 and December 31, 2024 were $5.2 million and $5.4 million, respectively, and the balance is expected to be fully recognized within the next twelve months. The Company generally invoices customers and receives payment on an upfront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basis and payments do not include significant financing components or variable consideration and there are generally no rights of return or refunds after the subscription period has passed.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and six months ended June 30, 2025 and 2024. For the three and six months ended June 30, 2025, approximately 56% of the Company’s revenues originated in California. For the three and six months ended June 30, 2024, approximately 53% of the Company’s revenues originated in California.</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its product offerings as similar, in close proximity, and have aggregated them into one reportable segment, which constitutes consolidated results. Revenue from customers is derived principally from monthly subscription packages and other add-on products. The Company’s chief operating decision maker (the “CODM”) is the Chief Executive Officer. The Company’s CODM reviews financial information on a consolidated basis for purposes of allocating resources and assessing financial performance, as well as for making strategic operational decisions and managing the organization. The accounting policies for the segment are the same as those described in Note 2, “Summary of Significant Accounting Policies.”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 The majority of the Company’s revenue and total assets are within the United States. The CODM evaluates company-wide performance based on multiple performance measures (both GAAP and Non-GAAP measures), including, but not limited net income.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the calculation of net income, which is the performance measure that is most consistent with GAAP, and the significant operating expenses included in this performance measure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(add):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35,055</w:t>
            </w: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30"/>
        </w:trPr>
        <w:tc>
          <w:tcPr>
            <w:tcW w:w="54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non-operating expense (income), net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-1508125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-1508125</wp:posOffset>
            </wp:positionV>
            <wp:extent cx="5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6"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change in fair value of warrant liability, change in the TRA liability and other non-operating income and expense.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reconciling items or adjustments between segment revenues, net income, total assets and consolidated revenues, net income, and total assets.</w:t>
      </w:r>
    </w:p>
    <w:p>
      <w:pPr>
        <w:spacing w:after="0" w:line="1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October 17, 2024, a putative shareholder class action complaint, captioned </w:t>
      </w:r>
      <w:r>
        <w:rPr>
          <w:rFonts w:ascii="Times New Roman" w:cs="Times New Roman" w:eastAsia="Times New Roman" w:hAnsi="Times New Roman"/>
          <w:sz w:val="18"/>
          <w:szCs w:val="18"/>
          <w:i w:val="1"/>
          <w:iCs w:val="1"/>
          <w:color w:val="auto"/>
        </w:rPr>
        <w:t>Seret Ishak v. WM Technology, Inc. et al</w:t>
      </w:r>
      <w:r>
        <w:rPr>
          <w:rFonts w:ascii="Times New Roman" w:cs="Times New Roman" w:eastAsia="Times New Roman" w:hAnsi="Times New Roman"/>
          <w:sz w:val="18"/>
          <w:szCs w:val="18"/>
          <w:color w:val="auto"/>
        </w:rPr>
        <w:t>., Case No. 2:24-cv-08959 (the “Securities Class Action”), was filed in the U.S. District Court for the Central District of California, naming the Company and certain former and current officers and/or directors of the Company and Silver Spike as defendants. The lawsuit alleges that the Company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the Company’s securities between May 25, 2021, and September 24, 2024, inclusive, and seeks unspecified monetary damages on behalf of the putative class and an award of costs and expenses, including attorneys’ fees. On May 12, 2025, the plaintiffs filed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amended class action complaint. On July 11, 2025, the Company moved to dismiss the plaintiffs’ amended class action complaint. A hearing on the motion to dismiss has been noticed for November 10, 2025. At this early stage of the proceedings, the Company is unable to make any prediction regarding the outcome of the litigation.</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November 8, 2024, a shareholder derivative action, captioned </w:t>
      </w:r>
      <w:r>
        <w:rPr>
          <w:rFonts w:ascii="Times New Roman" w:cs="Times New Roman" w:eastAsia="Times New Roman" w:hAnsi="Times New Roman"/>
          <w:sz w:val="18"/>
          <w:szCs w:val="18"/>
          <w:i w:val="1"/>
          <w:iCs w:val="1"/>
          <w:color w:val="auto"/>
        </w:rPr>
        <w:t>DeGennaro v. Francis, et. al</w:t>
      </w:r>
      <w:r>
        <w:rPr>
          <w:rFonts w:ascii="Times New Roman" w:cs="Times New Roman" w:eastAsia="Times New Roman" w:hAnsi="Times New Roman"/>
          <w:sz w:val="18"/>
          <w:szCs w:val="18"/>
          <w:color w:val="auto"/>
        </w:rPr>
        <w:t>, Case No. 8:24-cv-02454 (the “DeGennaro Action”), was filed in the U.S. District Court for the Central District of California against certain members of the Company’s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 restitution, corporate governance reforms, declaratory relief, and an award of costs and expenses to the derivative plaintiff, including attorneys’ fees.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Further, on November 18, 2024, a shareholder derivative action, captioned </w:t>
      </w:r>
      <w:r>
        <w:rPr>
          <w:rFonts w:ascii="Times New Roman" w:cs="Times New Roman" w:eastAsia="Times New Roman" w:hAnsi="Times New Roman"/>
          <w:sz w:val="18"/>
          <w:szCs w:val="18"/>
          <w:i w:val="1"/>
          <w:iCs w:val="1"/>
          <w:color w:val="auto"/>
        </w:rPr>
        <w:t>Pearson v. Francis, et. al</w:t>
      </w:r>
      <w:r>
        <w:rPr>
          <w:rFonts w:ascii="Times New Roman" w:cs="Times New Roman" w:eastAsia="Times New Roman" w:hAnsi="Times New Roman"/>
          <w:sz w:val="18"/>
          <w:szCs w:val="18"/>
          <w:color w:val="auto"/>
        </w:rPr>
        <w:t>, Case No. 8:24-cv-02525 (the “Pearson Action”), was filed in the U.S. District Court for the Central District of California against certain former and current members of the Company’s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 14(a) of the Exchange Act and Rule 14a-9 promulgated thereunder, as well as claims for breach of fiduciary duty, unjust enrichment, abuse of control, gross mismanagement, waste of corporate assets, and contribution under Sections 10(b) and 21D of the Exchange Act. The derivative complaint seeks unspecified damages on behalf of the Company, restitution, corporate governance reforms, declaratory relief, and an award of costs and expenses to the derivative plaintiff, including attorneys’ fees. On December 10, 2024, the U.S. District Court of the Central District of California issued an order consolidating the DeGennaro and Pearson shareholder derivative actions. On April 11, 2025, the court granted the parties’ joint stipulation to stay the consolidated action until October 10, 2025. At this early stage of the proceedings, the Company is unable to make any prediction regarding the outcome of the litigation.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approximately $4.3 million for the remaining six months in 2025 and $7.5 million in 2026, due under software license agreement, of which the majority relates to the Company’s remaining period of a three-year AWS Enterprise, (“AWS”), agreement. The Company has an obligation to pay the shortfall if it does not meet the specified minimum purchase obligations. In the second quarter 2025, the Company performed a review of its cloud infrastructure strategy prompted by a downward revision in forecasted server cost spend for the full fiscal year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lower spend identified was attributable to server management optimization and efficiencies implemented during 2024 and discounts received in 2025 on prepayments under the AWS agreement made in 2024. Due to the revised forecast, the Company identified a probable shortfall in the minimum purchase obligation of approximately $2.3 million.</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Under ASC 450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evaluated whether a loss contingency should be recognized for non-cancellable commitments that will not provide future economic benefits. The Company determined that the unused portion of the AWS minimum commitment obligation is not probable of being recovered through usage or other means, and as such recorded a loss contingency in the three months ended June 30, 2025 of $2.3 million, which is included in general and administrative expense in the condensed consolidated statement of operations. As of June 30, 2025, the Company recorded amounts due to AWS of $2.3 million of which $1.7 million is included in accounts payable and accrued expenses and $0.6 million is included in other long-term liabilities in the condensed consolidated balance sheet.</w:t>
      </w:r>
    </w:p>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5" w:lineRule="exact"/>
        <w:rPr>
          <w:sz w:val="20"/>
          <w:szCs w:val="20"/>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indicates the fair value hierarchy of the valuation inputs the Company utilized to determine such fair value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-624840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-624840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220" w:type="dxa"/>
            <w:vAlign w:val="bottom"/>
          </w:tcPr>
          <w:p>
            <w:pPr>
              <w:spacing w:after="0"/>
              <w:rPr>
                <w:sz w:val="14"/>
                <w:szCs w:val="14"/>
                <w:color w:val="auto"/>
              </w:rPr>
            </w:pPr>
          </w:p>
        </w:tc>
        <w:tc>
          <w:tcPr>
            <w:tcW w:w="11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Public</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4"/>
                <w:szCs w:val="14"/>
                <w:color w:val="auto"/>
              </w:rPr>
            </w:pPr>
          </w:p>
        </w:tc>
        <w:tc>
          <w:tcPr>
            <w:tcW w:w="1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0"/>
                <w:szCs w:val="20"/>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5"/>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375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375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6"/>
              </w:rPr>
              <w:t>585</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valuation inputs or other</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assumptions</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7"/>
              </w:rPr>
              <w:t>(390)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(250)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125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6"/>
              </w:rPr>
              <w:t>125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6"/>
              </w:rPr>
              <w:t>195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-1259205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-1259205</wp:posOffset>
            </wp:positionV>
            <wp:extent cx="59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200" w:type="dxa"/>
            <w:vAlign w:val="bottom"/>
          </w:tcPr>
          <w:p>
            <w:pPr>
              <w:spacing w:after="0"/>
              <w:rPr>
                <w:sz w:val="14"/>
                <w:szCs w:val="14"/>
                <w:color w:val="auto"/>
              </w:rPr>
            </w:pPr>
          </w:p>
        </w:tc>
        <w:tc>
          <w:tcPr>
            <w:tcW w:w="11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4"/>
                <w:szCs w:val="14"/>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875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valuation inputs or other</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assumptions</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625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-608330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-608330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-608330</wp:posOffset>
            </wp:positionV>
            <wp:extent cx="59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-608330</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$0.1 million and $0.4 million as of June 30, 2025 and December 31, 2024,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provides  quantitative  information  regarding  Level  3  fair</w:t>
            </w: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value  measurements  inputs</w:t>
            </w:r>
          </w:p>
        </w:tc>
        <w:tc>
          <w:tcPr>
            <w:tcW w:w="1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at  their  measurement  dates:</w:t>
            </w:r>
          </w:p>
        </w:tc>
      </w:tr>
      <w:tr>
        <w:trPr>
          <w:trHeight w:val="256"/>
        </w:trPr>
        <w:tc>
          <w:tcPr>
            <w:tcW w:w="17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2"/>
                <w:szCs w:val="22"/>
                <w:color w:val="auto"/>
              </w:rPr>
            </w:pP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Private Placement Warrants was $0.1 million and $0.2 million as of June 30, 2025 and December 31, 2024, respectively. There were no transfers in or out of Level 3 from other levels in the fair value hierarchy.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June 30, 2025 and December 31, 2024, respectively. No goodwill impairment charges were recorded for the three and six months ended June 30, 2025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2025 and December 31, 2024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14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5"/>
                <w:szCs w:val="15"/>
                <w:color w:val="auto"/>
              </w:rPr>
            </w:pPr>
          </w:p>
        </w:tc>
        <w:tc>
          <w:tcPr>
            <w:tcW w:w="14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Intangible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Net Intangible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3"/>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5"/>
                <w:szCs w:val="15"/>
                <w:color w:val="auto"/>
              </w:rPr>
            </w:pPr>
          </w:p>
        </w:tc>
        <w:tc>
          <w:tcPr>
            <w:tcW w:w="14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Intangible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$0.1 million, respectively, for the three months ended June 30, 2025 and 2024, respectively. Amortization expense for intangible assets was $0.3 million and $0.3 million, respectively, for the six months ended June 30, 2025 and 2024, respectively.</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June 30, 2025 is as follows (in thousands):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Remaining period in 2025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1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280"/>
            <w:col w:w="296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June 30, 2025 and December 31, 2024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marketing</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-779145</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-779145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impairment charges were recognized for the three and six months ended June 30, 2025 and 2024, related to capitalized implementation costs for a cloud computing arrangement.</w:t>
      </w:r>
    </w:p>
    <w:p>
      <w:pPr>
        <w:spacing w:after="0" w:line="50"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as of June 30, 2025 and December 31, 2024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r>
      <w:tr>
        <w:trPr>
          <w:trHeight w:val="229"/>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AWS loss contingency</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commissions and bonuses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employee expenses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-1071245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-1071245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4" w:lineRule="exact"/>
        <w:rPr>
          <w:sz w:val="20"/>
          <w:szCs w:val="20"/>
          <w:color w:val="auto"/>
        </w:rPr>
      </w:pPr>
    </w:p>
    <w:p>
      <w:pPr>
        <w:jc w:val="both"/>
        <w:ind w:left="80" w:hanging="72"/>
        <w:spacing w:after="0" w:line="246" w:lineRule="auto"/>
        <w:tabs>
          <w:tab w:leader="none" w:pos="7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Company identified a purchase obligation shortfall related to the AWS minimum commitment obligation that is not probable of being recovered through usage or other means, and as such recorded a loss contingency in the three months ended June 30, 2025 of $2.3 million which is included in general and administrative expense in the condensed consolidated statement of operations. As of June 30, 2025, the Company recorded amounts due to AWS of $2.3 million, of which $1.7 million is included in accounts payable and accrued expenses and $0.6 million is included in other long-term liabilities in the condensed consolidated balance sheet. See Note 5, “Commitments and Contingencies” to these condensed consolidated financial statements for additional information.</w:t>
      </w:r>
    </w:p>
    <w:p>
      <w:pPr>
        <w:spacing w:after="0" w:line="88"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there were 12,499,973 Public Warrants outstanding and 7,000,000 Private Placement Warrants outstanding.</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 described in Note 2) and are recorded as liabilities. Upon the Closing, the fair value of the Warrants was recorded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The fair value of the Warrants are remeasured as of each balance sheet date, which resulted in non-cash gain of $0.4 million and $0.4 million in the condensed consolidated statements of operations for the three and six months ended June 30, 2025, respectively, and non-cash gain of $0.5 million and non-cash loss of $0.4 million in the condensed consolidated statements of operations for the three and six months ended June 30, 2024, respectively. See Note 6, “Fair Value Measurements” to these condensed consolidated financial statements for additional information.</w:t>
      </w:r>
    </w:p>
    <w:p>
      <w:pPr>
        <w:spacing w:after="0" w:line="75"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the holders of Class V Common Stock are not entitled to receive any of the Company’s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2025, there were no shares of preferred stock issued or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June 30, 2025 and December 31, 2024, the noncontrolling interests owned 32.1% and 36.7% of the Units outstanding, respectively. The noncontrolling interests’ ownership percentage can fluctuate over time, including as the WMH LLC equity holders elect to exchange Units for Class A Common Stock. During the six months ended June 30, 2025, 5 million shares of Class V Common Stock were exchanged on a one-to-one basis to shares of Class A Common stock. The Company has consolidated the financial position and results of operations of WMH LLC and reflected the proportionate interest held by the WMH LLC Unit equity holders as noncontrolling interests. See condensed consolidated statement of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Class P Unit activity for the six months ended June 30, 2025 is as follows:</w:t>
            </w:r>
          </w:p>
        </w:tc>
        <w:tc>
          <w:tcPr>
            <w:tcW w:w="2240" w:type="dxa"/>
            <w:vAlign w:val="bottom"/>
          </w:tcPr>
          <w:p>
            <w:pPr>
              <w:spacing w:after="0"/>
              <w:rPr>
                <w:sz w:val="20"/>
                <w:szCs w:val="20"/>
                <w:color w:val="auto"/>
              </w:rPr>
            </w:pPr>
          </w:p>
        </w:tc>
      </w:tr>
      <w:tr>
        <w:trPr>
          <w:trHeight w:val="365"/>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Class P Units, December 31, 2024</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14,403,732</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Class P Units, June 30, 2025</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13,803,732</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June 30,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13,803,732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all the outstanding Class P Units have been vested and as such, there is no remaining unrecognized stock-based compensation expense for non-vested Class P Units. For the three months ended June 30, 2025 and 2024, the Company recorded stock-based compensation expense for the Class P Units of $0.0 million and $0.1 million, respectively. For the six months ended June 30, 2025 and 2024, the Company recorded stock-based compensation expense for the Class P Units of $0.0 million and $0.1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June 30, 2025, 48,307,514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June 30, 2025, 22,769,209 shares of Class A Common Stock are available for future issuance.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six months ended June 30, 2025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7,946,908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4,690,908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(2,885,382)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w w:val="99"/>
              </w:rPr>
              <w:t>(451,317)</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2240" w:type="dxa"/>
            <w:vAlign w:val="bottom"/>
            <w:tcBorders>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7"/>
              </w:rPr>
              <w:t>9,301,117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unrecognized stock-based compensation expense for non-vested RSUs was $10.0 million, which is expected to be recognized over a weighted-average period of 2.2 years. For the three months ended June 30, 2025 and 2024, the Company recorded stock-based compensation expense for the RSUs of $2.4 million and $2.7 million, respectively. For the six months ended June 30, 2025 and 2024, the Company recorded stock-based compensation expense for the RSUs of $4.4 million and $5.4 million, respectively.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For the awards with the Company’s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awards with market performance conditions, the vesting of the award is dependent upon the attainment of a target stock price. The Company recognizes stock-based compensation expense for awards with market conditions over the derived service period of the awards. The estimated fair value and derived service period for the awards with market conditions are calculated using a Monte Carlo simulation. Assumptions used in valuing awards with market conditions include the performance period, grant-date stock price, expected volatility, risk-free rate and cost of equity.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a PRSU market condition award of 4,342,391 units was granted to the Company’s Chief Executive Officer that will vest based upon achieving certain target prices for the Company’s common stock. Achievement of the target prices will be determined using the volume weighted average closing price of the Company’s Class A common stock over a 30 trading-day period. Any unvested PRSUs remaining after December 31, 2027 will be forfeited. If service is terminated prior to December 31, 2027, all unvested PRSUs will be forfeited.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assumptions used in estimating the value of the PRSUs granted in November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3200" w:type="dxa"/>
            <w:vAlign w:val="bottom"/>
            <w:tcBorders>
              <w:bottom w:val="single" w:sz="8" w:color="CCEEFF"/>
            </w:tcBorders>
          </w:tcPr>
          <w:p>
            <w:pPr>
              <w:spacing w:after="0"/>
              <w:rPr>
                <w:sz w:val="20"/>
                <w:szCs w:val="20"/>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November 07, 2024</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3200" w:type="dxa"/>
            <w:vAlign w:val="bottom"/>
            <w:shd w:val="clear" w:color="auto" w:fill="CCEEFF"/>
          </w:tcPr>
          <w:p>
            <w:pPr>
              <w:spacing w:after="0"/>
              <w:rPr>
                <w:sz w:val="19"/>
                <w:szCs w:val="19"/>
                <w:color w:val="auto"/>
              </w:rPr>
            </w:pP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07, 2024 - December 31, 2027</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Granted</w:t>
            </w:r>
          </w:p>
        </w:tc>
        <w:tc>
          <w:tcPr>
            <w:tcW w:w="7100" w:type="dxa"/>
            <w:vAlign w:val="bottom"/>
            <w:gridSpan w:val="2"/>
          </w:tcPr>
          <w:p>
            <w:pPr>
              <w:jc w:val="center"/>
              <w:ind w:left="3090"/>
              <w:spacing w:after="0"/>
              <w:rPr>
                <w:sz w:val="20"/>
                <w:szCs w:val="20"/>
                <w:color w:val="auto"/>
              </w:rPr>
            </w:pPr>
            <w:r>
              <w:rPr>
                <w:rFonts w:ascii="Times New Roman" w:cs="Times New Roman" w:eastAsia="Times New Roman" w:hAnsi="Times New Roman"/>
                <w:sz w:val="18"/>
                <w:szCs w:val="18"/>
                <w:color w:val="auto"/>
                <w:w w:val="99"/>
              </w:rPr>
              <w:t>4,342,391</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Stock Price</w:t>
            </w:r>
          </w:p>
        </w:tc>
        <w:tc>
          <w:tcPr>
            <w:tcW w:w="7100" w:type="dxa"/>
            <w:vAlign w:val="bottom"/>
            <w:gridSpan w:val="2"/>
            <w:shd w:val="clear" w:color="auto" w:fill="CCEEFF"/>
          </w:tcPr>
          <w:p>
            <w:pPr>
              <w:jc w:val="center"/>
              <w:ind w:left="3110"/>
              <w:spacing w:after="0"/>
              <w:rPr>
                <w:sz w:val="20"/>
                <w:szCs w:val="20"/>
                <w:color w:val="auto"/>
              </w:rPr>
            </w:pPr>
            <w:r>
              <w:rPr>
                <w:rFonts w:ascii="Times New Roman" w:cs="Times New Roman" w:eastAsia="Times New Roman" w:hAnsi="Times New Roman"/>
                <w:sz w:val="18"/>
                <w:szCs w:val="18"/>
                <w:color w:val="auto"/>
              </w:rPr>
              <w:t>$0.77</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at Valuation Date</w:t>
            </w:r>
          </w:p>
        </w:tc>
        <w:tc>
          <w:tcPr>
            <w:tcW w:w="7100" w:type="dxa"/>
            <w:vAlign w:val="bottom"/>
            <w:gridSpan w:val="2"/>
          </w:tcPr>
          <w:p>
            <w:pPr>
              <w:jc w:val="center"/>
              <w:ind w:left="3110"/>
              <w:spacing w:after="0"/>
              <w:rPr>
                <w:sz w:val="20"/>
                <w:szCs w:val="20"/>
                <w:color w:val="auto"/>
              </w:rPr>
            </w:pPr>
            <w:r>
              <w:rPr>
                <w:rFonts w:ascii="Times New Roman" w:cs="Times New Roman" w:eastAsia="Times New Roman" w:hAnsi="Times New Roman"/>
                <w:sz w:val="18"/>
                <w:szCs w:val="18"/>
                <w:color w:val="auto"/>
                <w:w w:val="98"/>
              </w:rPr>
              <w:t>4.05%</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7100" w:type="dxa"/>
            <w:vAlign w:val="bottom"/>
            <w:gridSpan w:val="2"/>
            <w:shd w:val="clear" w:color="auto" w:fill="CCEEFF"/>
          </w:tcPr>
          <w:p>
            <w:pPr>
              <w:jc w:val="center"/>
              <w:ind w:left="3110"/>
              <w:spacing w:after="0"/>
              <w:rPr>
                <w:sz w:val="20"/>
                <w:szCs w:val="20"/>
                <w:color w:val="auto"/>
              </w:rPr>
            </w:pPr>
            <w:r>
              <w:rPr>
                <w:rFonts w:ascii="Times New Roman" w:cs="Times New Roman" w:eastAsia="Times New Roman" w:hAnsi="Times New Roman"/>
                <w:sz w:val="18"/>
                <w:szCs w:val="18"/>
                <w:color w:val="auto"/>
                <w:w w:val="97"/>
              </w:rPr>
              <w:t>18.00%</w:t>
            </w: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Volatility at Valuation Date</w:t>
            </w:r>
          </w:p>
        </w:tc>
        <w:tc>
          <w:tcPr>
            <w:tcW w:w="7100" w:type="dxa"/>
            <w:vAlign w:val="bottom"/>
            <w:gridSpan w:val="2"/>
          </w:tcPr>
          <w:p>
            <w:pPr>
              <w:jc w:val="center"/>
              <w:ind w:left="3110"/>
              <w:spacing w:after="0"/>
              <w:rPr>
                <w:sz w:val="20"/>
                <w:szCs w:val="20"/>
                <w:color w:val="auto"/>
              </w:rPr>
            </w:pPr>
            <w:r>
              <w:rPr>
                <w:rFonts w:ascii="Times New Roman" w:cs="Times New Roman" w:eastAsia="Times New Roman" w:hAnsi="Times New Roman"/>
                <w:sz w:val="18"/>
                <w:szCs w:val="18"/>
                <w:color w:val="auto"/>
                <w:w w:val="97"/>
              </w:rPr>
              <w:t>85.61%</w:t>
            </w:r>
          </w:p>
        </w:tc>
      </w:tr>
      <w:tr>
        <w:trPr>
          <w:trHeight w:val="886"/>
        </w:trPr>
        <w:tc>
          <w:tcPr>
            <w:tcW w:w="4140" w:type="dxa"/>
            <w:vAlign w:val="bottom"/>
          </w:tcPr>
          <w:p>
            <w:pPr>
              <w:spacing w:after="0"/>
              <w:rPr>
                <w:sz w:val="24"/>
                <w:szCs w:val="24"/>
                <w:color w:val="auto"/>
              </w:rPr>
            </w:pPr>
          </w:p>
        </w:tc>
        <w:tc>
          <w:tcPr>
            <w:tcW w:w="320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26</w:t>
            </w:r>
          </w:p>
        </w:tc>
        <w:tc>
          <w:tcPr>
            <w:tcW w:w="390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PRSU activity for the six months ended June 30, 2025 is as follows:</w:t>
            </w: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tcPr>
          <w:p>
            <w:pPr>
              <w:spacing w:after="0"/>
              <w:rPr>
                <w:sz w:val="24"/>
                <w:szCs w:val="24"/>
                <w:color w:val="auto"/>
              </w:rPr>
            </w:pPr>
          </w:p>
        </w:tc>
        <w:tc>
          <w:tcPr>
            <w:tcW w:w="2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PRSUs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4,342,391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4,342,391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unrecognized stock-based compensation expense for non-vested PRSUs was $1.1 million, which is expected to be recognized over a weighted-average period of 1.2 years. For the three months ended June 30, 2025 and 2024, the Company recorded stock-based compensation expense for the PRSUs of $0.2 million and $0.04 million, respectively. For the six months ended June 30, 2025 and 2024, the Company recorded stock-based compensation expense for the PRSUs of $0.5 million and $0.1 million,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RSUs, PRSUs and Class P Units in the following expense categories on the accompanying condensed consolidated statements of operations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2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3"/>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r>
      <w:tr>
        <w:trPr>
          <w:trHeight w:val="21"/>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-933450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Earnings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computation of income per share attributable to WM Technology, Inc. and weighted-average shares of the Company’s Class A Common Stock outstanding are as follows for the three and six months ending June 30, 2025 and 2024 (amounts in thousands, except for share and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155"/>
        </w:trPr>
        <w:tc>
          <w:tcPr>
            <w:tcW w:w="51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attributable to WM Technology, Inc. Class A Common</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21"/>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 basic and diluted</w:t>
            </w:r>
          </w:p>
        </w:tc>
        <w:tc>
          <w:tcPr>
            <w:tcW w:w="2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of shares of Class A Common Stock outstanding –</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105,744,266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104,897,467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95,023,380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2,178,088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1,614,946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0" w:type="dxa"/>
            <w:vAlign w:val="bottom"/>
          </w:tcPr>
          <w:p>
            <w:pPr>
              <w:spacing w:after="0"/>
              <w:rPr>
                <w:sz w:val="1"/>
                <w:szCs w:val="1"/>
                <w:color w:val="auto"/>
              </w:rPr>
            </w:pPr>
          </w:p>
        </w:tc>
      </w:tr>
      <w:tr>
        <w:trPr>
          <w:trHeight w:val="155"/>
        </w:trPr>
        <w:tc>
          <w:tcPr>
            <w:tcW w:w="51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of shares of Class A Common Stock outstanding –</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107,922,354</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107,347,113</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96,647,173</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Class A Common Stock:</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of Class A Common Stock – 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per share of Class A Common Stock – 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¹ Calculated using the treasury stock method.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4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V Shares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49,319,542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49,319,542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13,803,732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14,679,507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13,803,732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14,679,507</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4,719,666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4,625,717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4,505,650</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outstanding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4,342,391</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4,342,391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r>
    </w:tbl>
    <w:p>
      <w:pPr>
        <w:spacing w:after="0" w:line="162"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amended lease term which expired on October 31, 2024. The monthly base rent, after the rent abatement period for the first four months, is $69,000. As of June 30, 2025 and December 31, 2024, there was no outstanding rent receivable. For the three and six months ended June 30, 2025, there was no income on the sublease with a related party. For the three and six months ended June 30, 2024, income on the sublease with a related party was $0.2 million and $0.4 million, respectively. The income on sublease is netted with rent expense and included in general and administrative expenses on the condensed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and maturing on December 31, 2025. In an event of default, the outstanding principal amount shall bear interest for the entire period during which the principal balance is unpaid at a rate which is equal to 10% per annum. As of June 30, 2025 and December 31, 2024, the remaining balance of the promissory note receivable was $0.3 million and $0.4 million, respectively, and included in prepaid expenses and other current assets on the condensed consolidated balance sheets. For the three and six months ended June 30, 2025 and 2024, interest income on the promissory note was less than $0.1 million, which is included in other income (expense), net on the condensed consolidated statements of operations.</w:t>
      </w:r>
    </w:p>
    <w:p>
      <w:pPr>
        <w:spacing w:after="0" w:line="76"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legislation formally titled “An Act to Provide for Reconciliation Pursuant to Title II of H. Con. Res. 14” (the “Act”), commonly referred to as the One Big Beautiful Bill Act. The Act includes significant tax law changes, primarily extending or modifying various provisions originally enacted under the 2017 Tax Cuts and Jobs Act.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Act includes business tax provisions that are relevant to the Company such as the restoration of immediate expensing of domestic research and experimental expenditures incurred in tax years beginning after 2024, accelerated deduction of certain capitalized domestic research and experimental expenditures incurred in prior tax years and the permanent reinstatement of 100% bonus depreciation for qualified property placed in service after January 19, 2025. The Act was enacted after the balance sheet date and therefore, the financial statements as of and for the period ended June 30, 2025, do not reflect the effects of the Act. The Company is currently evaluating the provisions of the Act and their potential impact on its financial statements.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the Company anticipates that the Act would result in a $1.6 million reduction of the TRA liability recorded as of June 30, 2025 and a corresponding $1.6 million increase in other income. The effects of the legislation will be reflected in the Company’s financial statements in the period of enactment, which will be the quarter ending September 30,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WM Technology, Inc. should be read in conjunction with the condensed consolidated financial statements and related notes included in this Quarterly Report on Form 10-Q as well as the discussion under “Item 1A. Risk Factors.”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herein and in our Annual Report on Form 10-K for the year ended December 31, 2024.</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discussion of our products and services, growth strategy, challenges in our end-markets and competitive strengths, see “Item 1. Business.” Unless stated otherwise, the comparisons presented in this discussion and analysis refer to the year-over-year comparison of changes in our financial condition and results of operations as of and for the three and six months ended June 30, 2025 and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Highlights</w:t>
      </w:r>
    </w:p>
    <w:p>
      <w:pPr>
        <w:spacing w:after="0" w:line="6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$44.8 million as compared to $45.9 million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5,241, as compared to 5,045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revenues per paying client was $2,852, as compared to $3,033 in the prior year.</w:t>
      </w:r>
    </w:p>
    <w:p>
      <w:pPr>
        <w:spacing w:after="0" w:line="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Net income was $2.2 million as compared to $1.2 million in the prior year.</w:t>
      </w:r>
    </w:p>
    <w:p>
      <w:pPr>
        <w:spacing w:after="0" w:line="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$11.7 million as compared to $10.1 million in the prior year.</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see “Net Income to EBITDA and Adjusted EBITDA” in Non-GAAP Financial Measurements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5,241 average monthly paying clients during the three months ended June 30, 2025 on the supply-side of our marketplace. These paying clients include retailers, brands and other client types (such as doctors). Further, these clients, who can choose to purchase multiple listings solutions for each business, had purchased approximately 8,600 listing pages as of June 30, 2025.</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June 30, 2025,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monetize new solutions to extend the functionality of our platform. These investments serve to deepen the consumer experience with our platform and continue to provide a high level of support to our business clients.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table summarize our financial performance for three and six months ended June 30, 2025 compared to our financial performance for the same periods in 2024. For a detailed discussion of our results of operations, see “Results of Operations”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2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8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80" w:type="dxa"/>
            <w:vAlign w:val="bottom"/>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revenues per paying client)</w:t>
            </w:r>
          </w:p>
        </w:tc>
        <w:tc>
          <w:tcPr>
            <w:tcW w:w="1160" w:type="dxa"/>
            <w:vAlign w:val="bottom"/>
          </w:tcPr>
          <w:p>
            <w:pPr>
              <w:spacing w:after="0"/>
              <w:rPr>
                <w:sz w:val="16"/>
                <w:szCs w:val="16"/>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6"/>
              </w:rPr>
              <w:t>44,847</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89,459</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2,159</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33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5,186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r>
      <w:tr>
        <w:trPr>
          <w:trHeight w:val="3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11,725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r>
      <w:tr>
        <w:trPr>
          <w:trHeight w:val="33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revenues per paying client</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r>
      <w:tr>
        <w:trPr>
          <w:trHeight w:val="42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(3)</w:t>
            </w:r>
          </w:p>
        </w:tc>
        <w:tc>
          <w:tcPr>
            <w:tcW w:w="94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5,241</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4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6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ind w:left="340" w:right="20" w:hanging="332"/>
        <w:spacing w:after="0" w:line="249"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information about how we calculate EBITDA and Adjusted EBITDA as well as limitations of its use and a reconciliation of EBITDA and Adjusted EBITDA to net income, see “Net income to EBITDA and Adjusted EBITDA” in Non-GAAP Financial Measurements below.</w:t>
      </w:r>
    </w:p>
    <w:p>
      <w:pPr>
        <w:jc w:val="both"/>
        <w:ind w:left="340" w:hanging="332"/>
        <w:spacing w:after="0" w:line="253"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revenues per paying client is defined as the average monthly revenues for any particular period divided by the average monthly paying clients in the same respective period. Average monthly revenues per paying client is calculated in the same manner as our previously-reported “Average monthly net revenue per paying client,” and the description of the metric is being updated solely because we changed the reporting line item from “Net revenues” to “Revenue”. For additional information, see “Basis of Presentation” and “Revenue Recognition” of Note 2. “Summary of Significant Accounting Policies,” of the consolidated financial statements included in our Annual Report on Form 10-K for the year ended December 31, 2024 filed with the SEC on March 13, 2025.</w:t>
      </w:r>
    </w:p>
    <w:p>
      <w:pPr>
        <w:spacing w:after="0" w:line="2" w:lineRule="exact"/>
        <w:rPr>
          <w:rFonts w:ascii="Times New Roman" w:cs="Times New Roman" w:eastAsia="Times New Roman" w:hAnsi="Times New Roman"/>
          <w:sz w:val="16"/>
          <w:szCs w:val="16"/>
          <w:color w:val="auto"/>
        </w:rPr>
      </w:pPr>
    </w:p>
    <w:p>
      <w:pPr>
        <w:ind w:left="340" w:hanging="332"/>
        <w:spacing w:after="0" w:line="275"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Revenues Per Paying Client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Average monthly revenues per paying client measures how much clients, for the period of measurement, are willing to pay us for our subscription and additional offerings and the efficiency of the bid-auction process for our featured listings placements (“Featured Listings”). We calculate this metric by dividing the average monthly revenues for any particular period by the average monthly number of paying clients in the same respective period. The decrease in our average monthly revenues per paying client for the three and six months ended June 30, 2025 compared to the same periods in 2024 was primarily due to spend declines in established markets driven by continued industry challenges, such as price deflation and ongoing consolidation. In addition, new clients acquired across certain markets had lower levels of average spend.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revenues per paying client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monthly paying clients for the three months ended June 30, 2025 increased 4% to 5,241 average monthly paying clients from 5,045 average monthly paying clients in the same period in 2024. Average monthly paying clients for the six months ended June 30, 2025 increased 4% to 5,210 average monthly paying clients from 4,991 average monthly paying clients in the same period in 2024. The increase in average monthly paying clients compared to the same period in 2024 was primarily due to new client acquisitions across certain developing markets, partially offset by a churn in more established markets.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860" w:type="dxa"/>
            <w:vAlign w:val="bottom"/>
          </w:tcPr>
          <w:p>
            <w:pPr>
              <w:spacing w:after="0"/>
              <w:rPr>
                <w:sz w:val="23"/>
                <w:szCs w:val="23"/>
                <w:color w:val="auto"/>
              </w:rPr>
            </w:pPr>
          </w:p>
        </w:tc>
        <w:tc>
          <w:tcPr>
            <w:tcW w:w="32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to EBITDA and Adjusted EBITDA</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are prepared in accordance with GAAP. For more information regarding the components within our net income, see “Components of Our Results of Operations” below.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June 30, 2025 and 2024 was $2.2 million and $1.2 million, respectively. The increase in net income was primarily due to a decrease in total costs and expenses of $1.8 million and a decrease in other expense, net of $0.4 million, partially offset by a decrease in revenue of $1.1 million, change in tax receivable agreement (“TRA”) liability of $0.2 million and change in fair value of warrant liability of $0.1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six months ended June 30, 2025 was $4.7 million compared with a net income for the six months ended June 30, 2024 of $3.2 million. The increase in net income was primarily due to a decrease in total costs and expenses of $0.5 million, change in fair value of warrant liability of $0.8 million and a decrease in other expense, net of $1.2 million, partially offset by a decrease in revenue of $0.8 million and change in TRA liability of $0.2 million.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asset impairment charges, change in the TRA liability and other non-cash, unusual and/or infrequent costs in the case of Adjusted EBITDA. Below we have provided a reconciliation of net income (the most directly comparable GAAP financial measure) to EBITDA; and from EBITDA to Adjusted EBITDA.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and our other GAAP results.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to non-GAAP EBITDA and Adjusted EBITDA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860" w:type="dxa"/>
            <w:vAlign w:val="bottom"/>
          </w:tcPr>
          <w:p>
            <w:pPr>
              <w:spacing w:after="0"/>
              <w:rPr>
                <w:sz w:val="23"/>
                <w:szCs w:val="23"/>
                <w:color w:val="auto"/>
              </w:rPr>
            </w:pPr>
          </w:p>
        </w:tc>
        <w:tc>
          <w:tcPr>
            <w:tcW w:w="32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Pr>
          <w:p>
            <w:pPr>
              <w:spacing w:after="0"/>
              <w:rPr>
                <w:sz w:val="23"/>
                <w:szCs w:val="23"/>
                <w:color w:val="auto"/>
              </w:rPr>
            </w:pPr>
          </w:p>
        </w:tc>
        <w:tc>
          <w:tcPr>
            <w:tcW w:w="26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48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29"/>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48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Legal settlements and other legal costs</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29"/>
        </w:trPr>
        <w:tc>
          <w:tcPr>
            <w:tcW w:w="48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Reduction in force (recovery) expense</w:t>
            </w:r>
            <w:r>
              <w:rPr>
                <w:rFonts w:ascii="Times New Roman" w:cs="Times New Roman" w:eastAsia="Times New Roman" w:hAnsi="Times New Roman"/>
                <w:sz w:val="23"/>
                <w:szCs w:val="23"/>
                <w:color w:val="auto"/>
                <w:vertAlign w:val="superscript"/>
              </w:rPr>
              <w:t>(2)</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Loss contingency</w:t>
            </w:r>
            <w:r>
              <w:rPr>
                <w:rFonts w:ascii="Times New Roman" w:cs="Times New Roman" w:eastAsia="Times New Roman" w:hAnsi="Times New Roman"/>
                <w:sz w:val="23"/>
                <w:szCs w:val="23"/>
                <w:color w:val="auto"/>
                <w:vertAlign w:val="superscript"/>
              </w:rPr>
              <w:t>(3)</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11,725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w:t>
            </w:r>
          </w:p>
        </w:tc>
      </w:tr>
      <w:tr>
        <w:trPr>
          <w:trHeight w:val="20"/>
        </w:trPr>
        <w:tc>
          <w:tcPr>
            <w:tcW w:w="4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80" w:hanging="80"/>
        <w:spacing w:after="0" w:line="236"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As of June 30, 2025, represents legal and advisory fees related to ongoing litigation related to shareholder derivative actions, and as of June 30, 2024, represents legal and advisory fees related to the SEC enforcement matter and SEC settlement. See Note 5, “Commitments and Contingencies” to the condensed consolidated financial statements included in this Quarterly Report for additional information.</w:t>
      </w:r>
    </w:p>
    <w:p>
      <w:pPr>
        <w:spacing w:after="0" w:line="46" w:lineRule="exact"/>
        <w:rPr>
          <w:sz w:val="20"/>
          <w:szCs w:val="20"/>
          <w:color w:val="auto"/>
        </w:rPr>
      </w:pPr>
    </w:p>
    <w:p>
      <w:pPr>
        <w:jc w:val="both"/>
        <w:ind w:left="80" w:hanging="72"/>
        <w:spacing w:after="0" w:line="256" w:lineRule="auto"/>
        <w:tabs>
          <w:tab w:leader="none" w:pos="78"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the first quarter of 2025, we incurred severance charges included in general and administrative expense in the condensed consolidated statement of operations, related to certain reduction in force actions taken by our management. These reduction in force actions are designed to enhance operational efficiency and align resources with strategic priorities in its corporate technology and marketing divisions.</w:t>
      </w:r>
    </w:p>
    <w:p>
      <w:pPr>
        <w:spacing w:after="0" w:line="8" w:lineRule="exact"/>
        <w:rPr>
          <w:sz w:val="20"/>
          <w:szCs w:val="20"/>
          <w:color w:val="auto"/>
        </w:rPr>
      </w:pPr>
    </w:p>
    <w:p>
      <w:pPr>
        <w:jc w:val="both"/>
        <w:ind w:left="80" w:hanging="72"/>
        <w:spacing w:after="0" w:line="246" w:lineRule="auto"/>
        <w:tabs>
          <w:tab w:leader="none" w:pos="78"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identified a purchase obligation shortfall related to the AWS Enterprise (“AWS”), minimum commitment obligation that is not probable of being recovered through usage or other means, and as such recorded a loss contingency in the three months ended June 30, 2025 of $2.3 million which is included in general and administrative expense in the condensed consolidated statement of operations. As of June 30, 2025, we recorded amounts due to AWS of $2.3 million, of which $1.7 million is included in accounts payable and accrued expenses and $0.6 million is included in other long-term liabilities in the condensed consolidated balance sheet. See Note 5, “Commitments and Contingencies” to the condensed consolidated financial statements included in this Quarterly Report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current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Currently,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We intend to explore new expansion opportunities as additional jurisdictions legalize cannabis for medical or adult use and leverage our business model informed by our 16-year operating history to enter new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delivery companies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administrative expenses also include provision (recovery) for credit losses, loss contingency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political contributions, interest income, interest expense, financing fees and other tax related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the condensed consolidated financial statements included in this Quarterly Report for further information.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three and six months ended June 30, 2025 compared with the same periods in 2024 is presented below.</w:t>
      </w:r>
    </w:p>
    <w:p>
      <w:pPr>
        <w:spacing w:after="0" w:line="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revenues for those periods. The period-to-period comparison of financial results is not necessarily indicative of future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3"/>
                <w:szCs w:val="23"/>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5"/>
        </w:trPr>
        <w:tc>
          <w:tcPr>
            <w:tcW w:w="5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35,055</w:t>
            </w:r>
          </w:p>
        </w:tc>
      </w:tr>
      <w:tr>
        <w:trPr>
          <w:trHeight w:val="22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w:t>
            </w: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48"/>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WM Technology,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1"/>
        </w:trPr>
        <w:tc>
          <w:tcPr>
            <w:tcW w:w="1280" w:type="dxa"/>
            <w:vAlign w:val="bottom"/>
            <w:tcBorders>
              <w:top w:val="single" w:sz="8" w:color="0000FF"/>
            </w:tcBorders>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4"/>
                <w:szCs w:val="24"/>
                <w:color w:val="auto"/>
              </w:rPr>
            </w:pPr>
          </w:p>
        </w:tc>
        <w:tc>
          <w:tcPr>
            <w:tcW w:w="28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shown separately below)</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3"/>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WM Technology, Inc.</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2025 and 2024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4"/>
                <w:szCs w:val="24"/>
                <w:color w:val="auto"/>
              </w:rPr>
            </w:pPr>
          </w:p>
        </w:tc>
        <w:tc>
          <w:tcPr>
            <w:tcW w:w="17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decreased by $1.1 million or 2% for the three months ended June 30, 2025 compared to the same period in 2024. The decrease was primarily due to decreases in revenues from our Featured Listing and WM Deal products of $1.4 million and our Weedmaps for Business and other SaaS solutions of $0.1 million, partially offset by an increase in revenues from our other ad solutions of $0.4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Featured Listing and WM Deal products, Weedmaps for Business and other SaaS solution, and other ad solutions represented approximately 60%, 30% and 10% of our total revenues,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3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4"/>
                <w:szCs w:val="24"/>
                <w:color w:val="auto"/>
              </w:rPr>
            </w:pPr>
          </w:p>
        </w:tc>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51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5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5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(1,794)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revenues for the three months ended June 30, 2025 was flat compared to the same period in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sales and marketing expenses for the three months ended June 30, 2025 compared to the same period in 2024 was primarily related to decreases in advertising expense of $2.1 million and stock-based compensation expense of $0.2 million, partially offset by an increase in outside service expense of $0.2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product development expenses for the three months ended June 30, 2025 compared to the same period in 2024 was primarily due to a decrease in personnel-related costs of $1.9 million and a decrease in outside service expense of $0.2 million. The decrease in personnel-related costs was primarily related to decreases in salaries and wages of $1.1 million, bonus expense of $0.3 million, payroll tax expense of $0.1 million and stock-based compensation expense of $0.4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June 30, 2025 compared to the same period in 2024 was primarily due to increases in salaries and wages of $0.5 million, bonus expense of $0.2 million and employee benefits of $0.2 million, vacation expense of $0.1 million, stock-based compensation expense of $0.4 million, provision (recovery) for credit losses of $0.8 million, software expense of $0.3 million and other expense of $2.6 million, partially offset by decreases in rent expense of $0.6 million, outside service expense of $0.7 million and SEC settlement of $1.5 million. The increase in other expense was primarily due to $2.3 million in loss contingency related to the shortfall under the AWS minimum commitment obligation. See Note 5, “Commitments and Contingencies” to the condensed consolidated financial statements included in this Quarterly Report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for the three months ended June 30, 2025 compared to the same period in 2024 was primarily due to an increase in depreciation of $0.3 million related to capitalized software development.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4900" w:type="dxa"/>
            <w:vAlign w:val="bottom"/>
          </w:tcPr>
          <w:p>
            <w:pPr>
              <w:spacing w:after="0"/>
              <w:rPr>
                <w:sz w:val="24"/>
                <w:szCs w:val="24"/>
                <w:color w:val="auto"/>
              </w:rPr>
            </w:pPr>
          </w:p>
        </w:tc>
        <w:tc>
          <w:tcPr>
            <w:tcW w:w="31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20" w:type="dxa"/>
            <w:vAlign w:val="bottom"/>
          </w:tcPr>
          <w:p>
            <w:pPr>
              <w:spacing w:after="0"/>
              <w:rPr>
                <w:sz w:val="24"/>
                <w:szCs w:val="24"/>
                <w:color w:val="auto"/>
              </w:rPr>
            </w:pPr>
          </w:p>
        </w:tc>
        <w:tc>
          <w:tcPr>
            <w:tcW w:w="11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9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(545)</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345</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20" w:type="dxa"/>
            <w:vAlign w:val="bottom"/>
          </w:tcPr>
          <w:p>
            <w:pPr>
              <w:spacing w:after="0"/>
              <w:rPr>
                <w:sz w:val="19"/>
                <w:szCs w:val="19"/>
                <w:color w:val="auto"/>
              </w:rPr>
            </w:pPr>
          </w:p>
        </w:tc>
      </w:tr>
      <w:tr>
        <w:trPr>
          <w:trHeight w:val="228"/>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190</w:t>
            </w:r>
          </w:p>
        </w:tc>
        <w:tc>
          <w:tcPr>
            <w:tcW w:w="8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3700 %</w:t>
            </w:r>
          </w:p>
        </w:tc>
        <w:tc>
          <w:tcPr>
            <w:tcW w:w="20" w:type="dxa"/>
            <w:vAlign w:val="bottom"/>
          </w:tcPr>
          <w:p>
            <w:pPr>
              <w:spacing w:after="0"/>
              <w:rPr>
                <w:sz w:val="19"/>
                <w:szCs w:val="19"/>
                <w:color w:val="auto"/>
              </w:rPr>
            </w:pPr>
          </w:p>
        </w:tc>
      </w:tr>
      <w:tr>
        <w:trPr>
          <w:trHeight w:val="886"/>
        </w:trPr>
        <w:tc>
          <w:tcPr>
            <w:tcW w:w="490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income (expense), net for the three months ended June 30, 2025 compared to the same period in 2024 was primarily due to an increase in interest income of $0.4 million and a decrease in property and other taxes expense of $0.1 million, partially offset by changes in fair value of warrant liability of $0.1 million and TRA liability of $0.2 million.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7"/>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50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6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2025 and 2024, we recorded less than $0.1 million in income tax provisions due to the impact of the full valuation allowance on its net deferred assets. See Note 2, “Summary of Significant Accounting Policies—Income Taxes,” to the condensed consolidated financial statements included in this Quarterly Report for further information.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2025 and 2024</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5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89,459</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90,292</w:t>
            </w:r>
          </w:p>
        </w:tc>
        <w:tc>
          <w:tcPr>
            <w:tcW w:w="10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(833)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deceased by $0.8 million, or 1%, for the six months ended June 30, 2025 compared to the same period in 2024. The decrease was primarily due to a decrease in revenues from our Featured Listing and WM Deal products of $2.3 million, partially offset by increases in revenues from our Weedmaps for Business and other SaaS solutions of $0.3 million and other ad solutions of $1.2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six months ended June 30, 2025, Featured Listing and WM Deal products, Weedmaps for Business and other SaaS solution, and other ad solutions represented approximately 61%, 30% and 9% of our total revenues,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60" w:type="dxa"/>
            <w:vAlign w:val="bottom"/>
          </w:tcPr>
          <w:p>
            <w:pPr>
              <w:spacing w:after="0"/>
              <w:rPr>
                <w:sz w:val="24"/>
                <w:szCs w:val="24"/>
                <w:color w:val="auto"/>
              </w:rPr>
            </w:pPr>
          </w:p>
        </w:tc>
        <w:tc>
          <w:tcPr>
            <w:tcW w:w="11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5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75"/>
        </w:trPr>
        <w:tc>
          <w:tcPr>
            <w:tcW w:w="51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revenues for the six months ended June 30, 2025 was flat compared to the same period in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sales and marketing expenses for the six months ended June 30, 2025 compared to the same period in 2024 was primarily related to decreases in advertising expense of $2.7 million and personnel-related costs of $0.2 million, partially offset by an increase in outside service expense of $0.1 million. The decrease in personnel-related costs was primarily related to decreases in salaries and wages of $0.1 million, payroll tax expense of $0.2 million and stock-based compensation expense of $0.3 million, partially offset by increases in bonus expense of $0.3 million and vacation expense of $0.1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product development expenses for the six months ended June 30, 2025 compared to the same period in 2024 was primarily due to a decrease in personnel-related costs of $3.2 million and a decrease in other expense of $0.1 million. The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decrease in personnel-related costs was primarily related to decreases in salaries and wages of $1.8 million, bonus expense of $0.6 million, payroll tax expense of $0.3 million and stock-based compensation expense of $0.5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six months ended June 30, 2025 compared to the same period in 2024 was primarily due to increases in salaries and wages of $0.8 million, bonus expense of $0.3 million and employee benefits of $0.6 million, severance expense of $0.4 million, stock-based compensation expense of $0.1 million, provision (recovery) for credit losses of $1.7 million, software expense of $0.7 million, outside service expense of $0.5 million and other expense of $2.3 million, partially offset by decreases in SEC settlement of $1.5 million and rent expense of $0.8 million. The increase in other expense was primarily due to $2.3 million in loss contingency related to the shortfall under the AWS minimum commitment obligation. See Note 5, “Commitments and Contingencies” to the condensed consolidated financial statements included in this Quarterly Report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for the six months ended June 30, 2025 compared to the same period in 2024 was primarily due to an increase in depreciation of $0.7 million related to capitalized software development.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20" w:type="dxa"/>
            <w:vAlign w:val="bottom"/>
          </w:tcPr>
          <w:p>
            <w:pPr>
              <w:spacing w:after="0"/>
              <w:rPr>
                <w:sz w:val="24"/>
                <w:szCs w:val="24"/>
                <w:color w:val="auto"/>
              </w:rPr>
            </w:pPr>
          </w:p>
        </w:tc>
        <w:tc>
          <w:tcPr>
            <w:tcW w:w="11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income (expense) net was primarily due to an increase in interest income of $0.7 million, a decrease in property and other taxes of $0.5 million, favorable changes in fair value of warrant liability of $0.8 million, partially offset by change in TRA liability of $0.2 million.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7"/>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50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4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2025 and 2024, we recorded less than $0.1 million in income tax provisions due to the impact of the full valuation allowance on its net deferred assets. See Note 2, “Summary of Significant Accounting Policies—Income Taxes,” to the condensed consolidated financial statements included in this Quarterly Report for further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April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(420), and the 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3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12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128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2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58,951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r>
      <w:tr>
        <w:trPr>
          <w:trHeight w:val="22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39,079</w:t>
            </w: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2025 and December 31, 2024, we had cash of $59.0 million and $52.0 million, respectively. Our funds are being used for funding our current operations and potential strategic acquisitions in the future. We also intend to increase our capital expenditures to support the organic growth in our business and operations. We expect to fund our short-term and long-term liquidity requirements from cash and working capital on hand at June 30, 2025,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4"/>
        </w:trPr>
        <w:tc>
          <w:tcPr>
            <w:tcW w:w="8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8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9"/>
                <w:szCs w:val="19"/>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16,725</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20,054</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(6,493)</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(7,140)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(3,247)</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(5,972)</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adjusted for certain non-cash items, including depreciation and amortization, change in fair value of warrant liability, change in TRA liability, amortization of right-of-use lease assets, stock-based compensation, provision (recovery) for credit losses and the effect of changes in working capital.</w:t>
      </w:r>
    </w:p>
    <w:p>
      <w:pPr>
        <w:spacing w:after="0" w:line="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Net cash provided by operating activities is affected by changes in operating assets, such as accounts receivable which, is impacted by the timing of customer billings and related collections from our customers. In 2024, operating cash flow increased due to a focused effort on collecting significant outstanding accounts receivable. At the end of 2023, we had significant past due accounts, and we were successful with collecting the majority of them in 2024. This resulted in a higher-than-normal cash influx that is not expected to recur in 2025. Net cash provided by operating activities is also impacted by effects of changes in operating liabilities such as accounts payable and accrued expenses due to timing of payments; accrued personnel costs which are impacted by employee performance targets and the timing of payments related to employee bonus incentives.</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2025 was $16.7 million, which resulted from a net income of $4.7 million, together with net cash outflows of $4.9 million from changes in operating assets and liabilities, and non-cash items of $17.0 million, consisting of depreciation and amortization of $6.8 million, change in TRA liability of $1.1 million, amortization of right-of-use lease assets of $1.3 million, stock-based compensation of $4.8 million, loss contingency of $2.3 million and provision for credit losses, net of recoveries of $1.1 million, partially offset by fair value of warrant liability of $0.4 million. Net cash outflows from changes in operating assets and liabilities was primarily due to an increase in accounts receivable of $2.6 million, a decrease in accounts payable and accrued expenses of $1.4 million, a decrease in deferred revenue of $0.2 million and a decrease in operating lease liabilities of $1.8 million, partially offset by a decrease in</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of $0.6 million and a decrease in other assets of $0.5 million. The changes in operating assets and liabilities are mostly due to fluctuations in timing of cash receipts and payments.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$20.1 million, which resulted from net income of $3.2 million, together with net cash inflows of $2.2 million from changes in operating assets and liabilities, and non-cash items of $14.7 million, consisting of depreciation and amortization of $6.1 million, fair value of warrant liability of $0.4 million, change in TRA liability of $0.9 million, amortization of right-of-use lease assets of $2.4 million and stock-based compensation of $5.6 million, partially offset by gain on lease termination of $0.1 million and provision for credit losses, net of recoveries of $0.6 million. Net cash inflows from changes in operating assets and liabilities were primarily due to a decrease in accounts receivables of $4.8 million, a decrease in prepaid expenses and other current assets of $0.3 million, a decrease in other assets of $0.1 million and an increase in accounts payables and accrued expenses of $0.6 million, partially offset by a decrease in deferred revenue of $0.1 million, a decrease in operating lease liabilities of $3.5 million. The changes in operating assets and liabilities are mostly due to fluctuations in timing of cash receipts and payments.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$6.5 million, which resulted from $6.5 million cash paid for capital expenditures which includes purchases of property and equipment, including certain capitalized software development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$7.1 million, which resulted from $7.1 million cash paid for capital expenditures which includes purchases of property and equipment, including certain capitalized software development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six months ended June 30, 2025 was $3.2 million, which primarily consists of $1.9 million in distributions payments to members of WMH LLC, $1.4 million in TRA payments and $0.1 million in proceeds from collection of related party note receivable.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outflows from financing activities for six months ended June 30, 2024 was $6.0 million, which primarily consists $6.0 million in distributions payments to members of WMH LLC, $0.1 million in TRA payments and $0.1 million in proceeds from collection of related party note receivable.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significant changes to our critical accounting policies and estimates from those disclosed in “Part I. Item 7. Management’s Discussion and Analysis of Financial Condition and Results of Operations” in our Annual Report on Form 10-K for the year ended December 31, 2024 that was filed with the SEC on March 13,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reviewed all recently issued standards and have determined that, other than as disclosed in Note 2, “Summary of Significant Accounting Policies,” such standards will not have a material impact on our condensed consolidated financial statements or do not otherwise apply to our current operations.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Item 305 of Regulation S-K.</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chief executive officer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assumptions about the likelihood of future events, and there can be no assurance that any design will succeed in achieving its stated goals under all potential future conditions.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foregoing in mind, our chief executive officer and chief financial officer (“Certifying Officers”) evaluated the effectiveness of our disclosure controls and procedures as of June 30, 2025, pursuant to Rule 13a-15(b) under the Exchange Act. Based on the evaluation, our chief executive officer and chief financial officer have concluded that as of June 30, 2025, our disclosure controls and procedures were not effective due to the ongoing material weaknesses in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continue to implement design enhancements to our internal control procedures, we believe that, other than the changes described below regarding the ongoing remediation efforts,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June 30, 2025, using the criteria set forth by the Committee of Sponsoring Organizations of the Treadway Commission (COSO) in Internal Control — Integrated Framework (2013). Based on the evaluation, our chief executive officer and chief financial officer have concluded that as of June 30, 2025, our internal control over financial reporting was not effective due to the ongoing material weaknesses in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have an ongoing entity-level material weakness that was identified in the years ended December 31, 2024, 2023 and 2022, and for which remediation efforts continue through June 30, 2025 as further described below.</w:t>
      </w:r>
    </w:p>
    <w:p>
      <w:pPr>
        <w:spacing w:after="0" w:line="54" w:lineRule="exact"/>
        <w:rPr>
          <w:sz w:val="20"/>
          <w:szCs w:val="20"/>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entity-level material weakness contributed to material weaknesses within our system of internal control over financial reporting as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Unremediated material weaknesses identified in the years ended December 31, 2024, 2023 and 2022</w:t>
      </w:r>
    </w:p>
    <w:p>
      <w:pPr>
        <w:spacing w:after="0" w:line="119" w:lineRule="exact"/>
        <w:rPr>
          <w:sz w:val="20"/>
          <w:szCs w:val="20"/>
          <w:color w:val="auto"/>
        </w:rPr>
      </w:pPr>
    </w:p>
    <w:p>
      <w:pPr>
        <w:jc w:val="both"/>
        <w:ind w:left="660" w:hanging="328"/>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including for our enterprise resource planning (ERP) system and for 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72" w:lineRule="exact"/>
        <w:rPr>
          <w:sz w:val="20"/>
          <w:szCs w:val="20"/>
          <w:color w:val="auto"/>
        </w:rPr>
      </w:pPr>
    </w:p>
    <w:p>
      <w:pPr>
        <w:jc w:val="both"/>
        <w:ind w:left="660" w:hanging="328"/>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 This material weakness could result in a misstatement of any account balances or disclosures that would result in a material misstatement to the annual or interim consolidated financial statements that would not be prevented or detected.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Moss Adams, LLP, has issued an audit report on the our internal control over financial reporting, which appears in Part IV, Item 15 of our Annual Report on Form 10-K for the year ended December 31, 2024, filed with the SEC on March 13,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oversight of management and the audit committee of our board of directors, we continue to actively take the appropriate steps toward the remediation of the underlying causes of the material weaknesses described above. We are committed to maintaining a strong internal control environment and implementing measures designed to ensure that the material weaknesses are remediated as soon as possible. We believe progress has been made toward remediation and we continue to implement our remediation plan. Until the remediation plan is fully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 to Address Ongoing Material Weaknesses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remediation efforts for material weaknesses identified in both the current and prior years are still ongoing. To date, we have taken the following actions to remediate certain aspects of the material weaknesses described above that, as of December 31, 2024, had not yet been fully implemented or had not been in place for a sufficient period of time to demonstrate that they were having their desired effect:</w:t>
      </w:r>
    </w:p>
    <w:p>
      <w:pPr>
        <w:spacing w:after="0" w:line="68"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design and operation of controls related to revenue recognition including the identification of performance obligations and establishment of policies over the order-to-cash cycle, including policies over our treatment of cash basis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Segregating access in our ERP system and certain on-premise applications.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certain key positions in our finance and technology organizations with individuals possessing public company knowledge and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configuration of our new ERP system, which will replace our legacy ERP system in year ended December 31, 2025.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developers’ administrative access from production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ability for certain users, including developers, to access other users’ accounts.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audit trails to log and monitor system configuration and data changes made by users to detect erroneous or unauthorized changes.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5, "Commitments and Contingencies—Litigation" to the condensed consolidated financial statements included herein is incorporated by reference into this Item 1.</w:t>
      </w:r>
    </w:p>
    <w:p>
      <w:pPr>
        <w:spacing w:after="0" w:line="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in our securities involves risk. An investor or potential investor should consider the risks summarized under the caption “Risk Factors” in Part I, Item 1A of our Annual Report on Form 10-K for the year ended December 31, 2024 (our “2024 Form 10-K”) when making investment decisions regarding our securities. The risk factors that were disclosed in our 2024 Form 10-K have not materially changed since the date of our 2024 Form 10-K was filed.</w:t>
      </w:r>
    </w:p>
    <w:p>
      <w:pPr>
        <w:spacing w:after="0" w:line="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40" w:type="dxa"/>
            <w:vAlign w:val="bottom"/>
            <w:gridSpan w:val="19"/>
          </w:tcPr>
          <w:p>
            <w:pPr>
              <w:ind w:left="6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120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File no.</w:t>
            </w: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89"/>
        </w:trPr>
        <w:tc>
          <w:tcPr>
            <w:tcW w:w="660" w:type="dxa"/>
            <w:vAlign w:val="bottom"/>
            <w:gridSpan w:val="4"/>
            <w:shd w:val="clear" w:color="auto" w:fill="CCEEFF"/>
          </w:tcPr>
          <w:p>
            <w:pPr>
              <w:jc w:val="center"/>
              <w:ind w:left="350"/>
              <w:spacing w:after="0" w:line="189" w:lineRule="exact"/>
              <w:rPr>
                <w:rFonts w:ascii="Times New Roman" w:cs="Times New Roman" w:eastAsia="Times New Roman" w:hAnsi="Times New Roman"/>
                <w:sz w:val="18"/>
                <w:szCs w:val="18"/>
                <w:color w:val="0000FF"/>
                <w:w w:val="97"/>
              </w:rPr>
            </w:pPr>
            <w:hyperlink r:id="rId8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16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Certificate of Incorporation of the Company</w:t>
              </w:r>
            </w:hyperlink>
          </w:p>
        </w:tc>
        <w:tc>
          <w:tcPr>
            <w:tcW w:w="9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shd w:val="clear" w:color="auto" w:fill="CCEEFF"/>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7"/>
              </w:rPr>
              <w:t>001-39021</w:t>
            </w:r>
          </w:p>
        </w:tc>
        <w:tc>
          <w:tcPr>
            <w:tcW w:w="1000" w:type="dxa"/>
            <w:vAlign w:val="bottom"/>
            <w:shd w:val="clear" w:color="auto" w:fill="CCEEFF"/>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June 22, 2021</w:t>
            </w:r>
          </w:p>
        </w:tc>
      </w:tr>
      <w:tr>
        <w:trPr>
          <w:trHeight w:val="48"/>
        </w:trPr>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6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189"/>
        </w:trPr>
        <w:tc>
          <w:tcPr>
            <w:tcW w:w="660" w:type="dxa"/>
            <w:vAlign w:val="bottom"/>
            <w:gridSpan w:val="4"/>
          </w:tcPr>
          <w:p>
            <w:pPr>
              <w:jc w:val="center"/>
              <w:ind w:left="350"/>
              <w:spacing w:after="0" w:line="189" w:lineRule="exact"/>
              <w:rPr>
                <w:rFonts w:ascii="Times New Roman" w:cs="Times New Roman" w:eastAsia="Times New Roman" w:hAnsi="Times New Roman"/>
                <w:sz w:val="18"/>
                <w:szCs w:val="18"/>
                <w:color w:val="0000FF"/>
                <w:w w:val="97"/>
              </w:rPr>
            </w:pPr>
            <w:hyperlink r:id="rId8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60" w:type="dxa"/>
            <w:vAlign w:val="bottom"/>
            <w:gridSpan w:val="12"/>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Amended and Restated Bylaws of the Company</w:t>
              </w:r>
            </w:hyperlink>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7"/>
              </w:rPr>
              <w:t>001-39021</w:t>
            </w:r>
          </w:p>
        </w:tc>
        <w:tc>
          <w:tcPr>
            <w:tcW w:w="100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June 22, 2021</w:t>
            </w:r>
          </w:p>
        </w:tc>
      </w:tr>
      <w:tr>
        <w:trPr>
          <w:trHeight w:val="48"/>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189"/>
        </w:trPr>
        <w:tc>
          <w:tcPr>
            <w:tcW w:w="760" w:type="dxa"/>
            <w:vAlign w:val="bottom"/>
            <w:gridSpan w:val="6"/>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shd w:val="clear" w:color="auto" w:fill="CCEEFF"/>
          </w:tcPr>
          <w:p>
            <w:pPr>
              <w:spacing w:after="0"/>
              <w:rPr>
                <w:sz w:val="16"/>
                <w:szCs w:val="16"/>
                <w:color w:val="auto"/>
              </w:rPr>
            </w:pPr>
          </w:p>
        </w:tc>
        <w:tc>
          <w:tcPr>
            <w:tcW w:w="51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Rules</w:t>
            </w: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3"/>
        </w:trPr>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940" w:type="dxa"/>
            <w:vAlign w:val="bottom"/>
            <w:tcBorders>
              <w:top w:val="single" w:sz="8" w:color="0000FF"/>
              <w:bottom w:val="single" w:sz="8" w:color="0000FF"/>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20" w:type="dxa"/>
            <w:vAlign w:val="bottom"/>
            <w:gridSpan w:val="1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3"/>
        </w:trPr>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920" w:type="dxa"/>
            <w:vAlign w:val="bottom"/>
            <w:tcBorders>
              <w:top w:val="single" w:sz="8" w:color="0000FF"/>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r>
      <w:tr>
        <w:trPr>
          <w:trHeight w:val="48"/>
        </w:trPr>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gridSpan w:val="6"/>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16"/>
                <w:szCs w:val="16"/>
                <w:color w:val="auto"/>
              </w:rPr>
            </w:pPr>
          </w:p>
        </w:tc>
        <w:tc>
          <w:tcPr>
            <w:tcW w:w="51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Rules</w:t>
            </w: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3"/>
        </w:trPr>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2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92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48"/>
        </w:trPr>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189"/>
        </w:trPr>
        <w:tc>
          <w:tcPr>
            <w:tcW w:w="1200" w:type="dxa"/>
            <w:vAlign w:val="bottom"/>
            <w:gridSpan w:val="7"/>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1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the Principal Executive Officer and Principal</w:t>
            </w: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3"/>
        </w:trPr>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980" w:type="dxa"/>
            <w:vAlign w:val="bottom"/>
            <w:tcBorders>
              <w:top w:val="single" w:sz="8" w:color="0000FF"/>
            </w:tcBorders>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Financial Officer pursuant to 18 U.S.C. Section 1350, as adopted</w:t>
            </w:r>
          </w:p>
        </w:tc>
        <w:tc>
          <w:tcPr>
            <w:tcW w:w="16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r>
      <w:tr>
        <w:trPr>
          <w:trHeight w:val="183"/>
        </w:trPr>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940" w:type="dxa"/>
            <w:vAlign w:val="bottom"/>
            <w:tcBorders>
              <w:top w:val="single" w:sz="8" w:color="0000FF"/>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220" w:type="dxa"/>
            <w:vAlign w:val="bottom"/>
            <w:tcBorders>
              <w:top w:val="single" w:sz="8" w:color="CCEEFF"/>
            </w:tcBorders>
            <w:gridSpan w:val="5"/>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r>
      <w:tr>
        <w:trPr>
          <w:trHeight w:val="48"/>
        </w:trPr>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6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r>
      <w:tr>
        <w:trPr>
          <w:trHeight w:val="175"/>
        </w:trPr>
        <w:tc>
          <w:tcPr>
            <w:tcW w:w="1200" w:type="dxa"/>
            <w:vAlign w:val="bottom"/>
            <w:gridSpan w:val="7"/>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w:t>
            </w: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6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75"/>
        </w:trPr>
        <w:tc>
          <w:tcPr>
            <w:tcW w:w="1200" w:type="dxa"/>
            <w:vAlign w:val="bottom"/>
            <w:gridSpan w:val="7"/>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101.SCH</w:t>
            </w:r>
          </w:p>
        </w:tc>
        <w:tc>
          <w:tcPr>
            <w:tcW w:w="516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Schema  Document  With</w:t>
            </w: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1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bl>
    <w:p>
      <w:pPr>
        <w:ind w:left="1200" w:right="5120" w:hanging="787"/>
        <w:spacing w:after="0" w:line="234" w:lineRule="auto"/>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0" w:lineRule="exact"/>
        <w:rPr>
          <w:sz w:val="20"/>
          <w:szCs w:val="20"/>
          <w:color w:val="auto"/>
        </w:rPr>
      </w:pPr>
    </w:p>
    <w:p>
      <w:pPr>
        <w:jc w:val="both"/>
        <w:ind w:left="1220" w:right="20" w:hanging="217"/>
        <w:spacing w:after="0" w:line="254" w:lineRule="auto"/>
        <w:tabs>
          <w:tab w:leader="none" w:pos="12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38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WM TECHNOLOGY, INC.</w:t>
            </w:r>
          </w:p>
        </w:tc>
      </w:tr>
      <w:tr>
        <w:trPr>
          <w:trHeight w:val="7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7, 2025</w:t>
            </w:r>
          </w:p>
        </w:tc>
        <w:tc>
          <w:tcPr>
            <w:tcW w:w="208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Douglas Francis</w:t>
            </w:r>
          </w:p>
        </w:tc>
      </w:tr>
      <w:tr>
        <w:trPr>
          <w:trHeight w:val="218"/>
        </w:trPr>
        <w:tc>
          <w:tcPr>
            <w:tcW w:w="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Douglas Francis</w:t>
            </w:r>
          </w:p>
        </w:tc>
      </w:tr>
      <w:tr>
        <w:trPr>
          <w:trHeight w:val="228"/>
        </w:trPr>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9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7, 2025</w:t>
            </w:r>
          </w:p>
        </w:tc>
        <w:tc>
          <w:tcPr>
            <w:tcW w:w="208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Susan Echard</w:t>
            </w:r>
          </w:p>
        </w:tc>
      </w:tr>
      <w:tr>
        <w:trPr>
          <w:trHeight w:val="218"/>
        </w:trPr>
        <w:tc>
          <w:tcPr>
            <w:tcW w:w="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Susan Echard</w:t>
            </w:r>
          </w:p>
        </w:tc>
      </w:tr>
      <w:tr>
        <w:trPr>
          <w:trHeight w:val="228"/>
        </w:trPr>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2"/>
        </w:trPr>
        <w:tc>
          <w:tcPr>
            <w:tcW w:w="4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4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r>
      <w:tr>
        <w:trPr>
          <w:trHeight w:val="236"/>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r>
        <w:trPr>
          <w:trHeight w:val="911"/>
        </w:trPr>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48</w:t>
            </w:r>
          </w:p>
        </w:tc>
        <w:tc>
          <w:tcPr>
            <w:tcW w:w="3640" w:type="dxa"/>
            <w:vAlign w:val="bottom"/>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Francis, certify that: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122" w:lineRule="exact"/>
        <w:rPr>
          <w:sz w:val="20"/>
          <w:szCs w:val="20"/>
          <w:color w:val="auto"/>
        </w:rPr>
      </w:pPr>
    </w:p>
    <w:p>
      <w:pPr>
        <w:jc w:val="both"/>
        <w:ind w:left="340" w:hanging="332"/>
        <w:spacing w:after="0" w:line="266" w:lineRule="auto"/>
        <w:tabs>
          <w:tab w:leader="none" w:pos="3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340" w:hanging="332"/>
        <w:spacing w:after="0" w:line="282" w:lineRule="auto"/>
        <w:tabs>
          <w:tab w:leader="none" w:pos="4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13" w:right="33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Echard, certify that: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122" w:lineRule="exact"/>
        <w:rPr>
          <w:sz w:val="20"/>
          <w:szCs w:val="20"/>
          <w:color w:val="auto"/>
        </w:rPr>
      </w:pPr>
    </w:p>
    <w:p>
      <w:pPr>
        <w:jc w:val="both"/>
        <w:ind w:left="340" w:hanging="332"/>
        <w:spacing w:after="0" w:line="266" w:lineRule="auto"/>
        <w:tabs>
          <w:tab w:leader="none" w:pos="3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340" w:hanging="332"/>
        <w:spacing w:after="0" w:line="282" w:lineRule="auto"/>
        <w:tabs>
          <w:tab w:leader="none" w:pos="4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Susan Echard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ectPr>
          <w:pgSz w:w="11900" w:h="16838" w:orient="portrait"/>
          <w:cols w:equalWidth="0" w:num="1">
            <w:col w:w="11240"/>
          </w:cols>
          <w:pgMar w:left="320" w:top="1413" w:right="33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EXECUTIVE CHAIR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Douglas Francis, the Chief Executive Officer of WM Technology, Inc., certify, pursuant to 18 U.S.C. Section 1350, as adopted pursuant to Section 906 of the Sarbanes-Oxley Act of 2002, that the Quarterly Report on Form 10-Q of WM Technology, Inc. for the quarterly period ended June 30, 2025,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820" w:val="left"/>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68580</wp:posOffset>
            </wp:positionV>
            <wp:extent cx="23317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9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Susan Echard, the Chief Financial Officer of WM Technology, Inc., certify, pursuant to 18 U.S.C. Section 1350, as adopted pursuant to Section 906 of the Sarbanes-Oxley Act of 2002, that the Quarterly Report on Form 10-Q of WM Technology, Inc. for the quarterly period ended June 30, 2025,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spacing w:after="0" w:line="261" w:lineRule="exact"/>
        <w:rPr>
          <w:sz w:val="20"/>
          <w:szCs w:val="20"/>
          <w:color w:val="auto"/>
        </w:rPr>
      </w:pPr>
    </w:p>
    <w:p>
      <w:pPr>
        <w:ind w:left="60"/>
        <w:spacing w:after="0"/>
        <w:tabs>
          <w:tab w:leader="none" w:pos="820" w:val="left"/>
          <w:tab w:leader="none" w:pos="6860" w:val="left"/>
          <w:tab w:leader="none" w:pos="7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68580</wp:posOffset>
            </wp:positionV>
            <wp:extent cx="234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1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Susan Echard</w:t>
      </w:r>
    </w:p>
    <w:p>
      <w:pPr>
        <w:spacing w:after="0" w:line="10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0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lvl w:ilvl="1">
      <w:lvlJc w:val="left"/>
      <w:lvlText w:val="◦"/>
      <w:numFmt w:val="bullet"/>
      <w:start w:val="1"/>
    </w:lvl>
  </w:abstractNum>
  <w:abstractNum w:abstractNumId="4">
    <w:nsid w:val="519B500D"/>
    <w:multiLevelType w:val="hybridMultilevel"/>
    <w:lvl w:ilvl="0">
      <w:lvlJc w:val="left"/>
      <w:lvlText w:val="1"/>
      <w:numFmt w:val="bullet"/>
      <w:start w:val="1"/>
    </w:lvl>
  </w:abstractNum>
  <w:abstractNum w:abstractNumId="5">
    <w:nsid w:val="431BD7B7"/>
    <w:multiLevelType w:val="hybridMultilevel"/>
    <w:lvl w:ilvl="0">
      <w:lvlJc w:val="left"/>
      <w:lvlText w:val="1"/>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bullet"/>
      <w:start w:val="1"/>
    </w:lvl>
  </w:abstractNum>
  <w:abstractNum w:abstractNumId="10">
    <w:nsid w:val="436C6125"/>
    <w:multiLevelType w:val="hybridMultilevel"/>
    <w:lvl w:ilvl="0">
      <w:lvlJc w:val="left"/>
      <w:lvlText w:val="%1."/>
      <w:numFmt w:val="decimal"/>
      <w:start w:val="10"/>
    </w:lvl>
  </w:abstractNum>
  <w:abstractNum w:abstractNumId="11">
    <w:nsid w:val="628C895D"/>
    <w:multiLevelType w:val="hybridMultilevel"/>
    <w:lvl w:ilvl="0">
      <w:lvlJc w:val="left"/>
      <w:lvlText w:val="%1."/>
      <w:numFmt w:val="decimal"/>
      <w:start w:val="11"/>
    </w:lvl>
  </w:abstractNum>
  <w:abstractNum w:abstractNumId="12">
    <w:nsid w:val="333AB105"/>
    <w:multiLevelType w:val="hybridMultilevel"/>
    <w:lvl w:ilvl="0">
      <w:lvlJc w:val="left"/>
      <w:lvlText w:val="%1."/>
      <w:numFmt w:val="decimal"/>
      <w:start w:val="12"/>
    </w:lvl>
  </w:abstractNum>
  <w:abstractNum w:abstractNumId="13">
    <w:nsid w:val="721DA317"/>
    <w:multiLevelType w:val="hybridMultilevel"/>
    <w:lvl w:ilvl="0">
      <w:lvlJc w:val="left"/>
      <w:lvlText w:val="%1."/>
      <w:numFmt w:val="decimal"/>
      <w:start w:val="14"/>
    </w:lvl>
  </w:abstractNum>
  <w:abstractNum w:abstractNumId="14">
    <w:nsid w:val="2443A858"/>
    <w:multiLevelType w:val="hybridMultilevel"/>
    <w:lvl w:ilvl="0">
      <w:lvlJc w:val="left"/>
      <w:lvlText w:val="%1."/>
      <w:numFmt w:val="decimal"/>
      <w:start w:val="15"/>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2"/>
      <w:numFmt w:val="bullet"/>
      <w:start w:val="1"/>
    </w:lvl>
  </w:abstractNum>
  <w:abstractNum w:abstractNumId="19">
    <w:nsid w:val="79838CB2"/>
    <w:multiLevelType w:val="hybridMultilevel"/>
    <w:lvl w:ilvl="0">
      <w:lvlJc w:val="left"/>
      <w:lvlText w:val="3"/>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2"/>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04"/>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86" Type="http://schemas.openxmlformats.org/officeDocument/2006/relationships/hyperlink" Target="https://www.sec.gov/Archives/edgar/data/1779474/000114036121021785/brhc10025756_ex3-1.htm" TargetMode="External"/><Relationship Id="rId87" Type="http://schemas.openxmlformats.org/officeDocument/2006/relationships/hyperlink" Target="https://www.sec.gov/Archives/edgar/data/1779474/000114036121021785/brhc1002575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2025-08-07T15:53:06Z</dcterms:created>
  <dcterms:modified xsi:type="dcterms:W3CDTF">2025-08-07T15:53:06Z</dcterms:modified>
</cp:coreProperties>
</file>