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207010</wp:posOffset>
            </wp:positionH>
            <wp:positionV relativeFrom="page">
              <wp:posOffset>601980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484505</wp:posOffset>
            </wp:positionV>
            <wp:extent cx="7134860" cy="33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33655"/>
                    </a:xfrm>
                    <a:prstGeom prst="rect">
                      <a:avLst/>
                    </a:prstGeom>
                    <a:noFill/>
                  </pic:spPr>
                </pic:pic>
              </a:graphicData>
            </a:graphic>
          </wp:anchor>
        </w:drawing>
        <w:t>As filed with the Securities and Exchange Commission on March 17, 2023</w:t>
      </w:r>
    </w:p>
    <w:p>
      <w:pPr>
        <w:spacing w:after="0" w:line="1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S-8</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270"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WM Technology, Inc.</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79" w:lineRule="exact"/>
        <w:rPr>
          <w:sz w:val="24"/>
          <w:szCs w:val="24"/>
          <w:color w:val="auto"/>
        </w:rPr>
      </w:pPr>
    </w:p>
    <w:tbl>
      <w:tblPr>
        <w:tblLayout w:type="fixed"/>
        <w:tblInd w:w="680" w:type="dxa"/>
        <w:tblCellMar>
          <w:top w:w="0" w:type="dxa"/>
          <w:left w:w="0" w:type="dxa"/>
          <w:bottom w:w="0" w:type="dxa"/>
          <w:right w:w="0" w:type="dxa"/>
        </w:tblCellMar>
      </w:tblPr>
      <w:tr>
        <w:trPr>
          <w:trHeight w:val="229"/>
        </w:trPr>
        <w:tc>
          <w:tcPr>
            <w:tcW w:w="49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Delaware</w:t>
            </w:r>
          </w:p>
        </w:tc>
        <w:tc>
          <w:tcPr>
            <w:tcW w:w="4920" w:type="dxa"/>
            <w:vAlign w:val="bottom"/>
          </w:tcPr>
          <w:p>
            <w:pPr>
              <w:jc w:val="right"/>
              <w:ind w:right="1952"/>
              <w:spacing w:after="0"/>
              <w:rPr>
                <w:sz w:val="20"/>
                <w:szCs w:val="20"/>
                <w:color w:val="auto"/>
              </w:rPr>
            </w:pPr>
            <w:r>
              <w:rPr>
                <w:rFonts w:ascii="Arial" w:cs="Arial" w:eastAsia="Arial" w:hAnsi="Arial"/>
                <w:sz w:val="18"/>
                <w:szCs w:val="18"/>
                <w:b w:val="1"/>
                <w:bCs w:val="1"/>
                <w:color w:val="auto"/>
              </w:rPr>
              <w:t>98-1605615</w:t>
            </w:r>
          </w:p>
        </w:tc>
      </w:tr>
      <w:tr>
        <w:trPr>
          <w:trHeight w:val="28"/>
        </w:trPr>
        <w:tc>
          <w:tcPr>
            <w:tcW w:w="4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r>
      <w:tr>
        <w:trPr>
          <w:trHeight w:val="231"/>
        </w:trPr>
        <w:tc>
          <w:tcPr>
            <w:tcW w:w="49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(State or other jurisdiction of incorporation or organization)</w:t>
            </w:r>
          </w:p>
        </w:tc>
        <w:tc>
          <w:tcPr>
            <w:tcW w:w="4920" w:type="dxa"/>
            <w:vAlign w:val="bottom"/>
          </w:tcPr>
          <w:p>
            <w:pPr>
              <w:jc w:val="center"/>
              <w:spacing w:after="0"/>
              <w:rPr>
                <w:sz w:val="20"/>
                <w:szCs w:val="20"/>
                <w:color w:val="auto"/>
              </w:rPr>
            </w:pPr>
            <w:r>
              <w:rPr>
                <w:rFonts w:ascii="Arial" w:cs="Arial" w:eastAsia="Arial" w:hAnsi="Arial"/>
                <w:sz w:val="18"/>
                <w:szCs w:val="18"/>
                <w:color w:val="auto"/>
                <w:w w:val="92"/>
              </w:rPr>
              <w:t>(I.R.S Employer Identification No.)</w:t>
            </w:r>
          </w:p>
        </w:tc>
      </w:tr>
      <w:tr>
        <w:trPr>
          <w:trHeight w:val="437"/>
        </w:trPr>
        <w:tc>
          <w:tcPr>
            <w:tcW w:w="4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41 Discovery</w:t>
            </w:r>
          </w:p>
        </w:tc>
        <w:tc>
          <w:tcPr>
            <w:tcW w:w="4920" w:type="dxa"/>
            <w:vAlign w:val="bottom"/>
          </w:tcPr>
          <w:p>
            <w:pPr>
              <w:spacing w:after="0"/>
              <w:rPr>
                <w:sz w:val="24"/>
                <w:szCs w:val="24"/>
                <w:color w:val="auto"/>
              </w:rPr>
            </w:pPr>
          </w:p>
        </w:tc>
      </w:tr>
      <w:tr>
        <w:trPr>
          <w:trHeight w:val="292"/>
        </w:trPr>
        <w:tc>
          <w:tcPr>
            <w:tcW w:w="4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Irvine, California</w:t>
            </w:r>
          </w:p>
        </w:tc>
        <w:tc>
          <w:tcPr>
            <w:tcW w:w="4920" w:type="dxa"/>
            <w:vAlign w:val="bottom"/>
          </w:tcPr>
          <w:p>
            <w:pPr>
              <w:jc w:val="right"/>
              <w:ind w:right="2152"/>
              <w:spacing w:after="0"/>
              <w:rPr>
                <w:sz w:val="20"/>
                <w:szCs w:val="20"/>
                <w:color w:val="auto"/>
              </w:rPr>
            </w:pPr>
            <w:r>
              <w:rPr>
                <w:rFonts w:ascii="Arial" w:cs="Arial" w:eastAsia="Arial" w:hAnsi="Arial"/>
                <w:sz w:val="18"/>
                <w:szCs w:val="18"/>
                <w:b w:val="1"/>
                <w:bCs w:val="1"/>
                <w:color w:val="auto"/>
              </w:rPr>
              <w:t>92618</w:t>
            </w:r>
          </w:p>
        </w:tc>
      </w:tr>
      <w:tr>
        <w:trPr>
          <w:trHeight w:val="28"/>
        </w:trPr>
        <w:tc>
          <w:tcPr>
            <w:tcW w:w="4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r>
      <w:tr>
        <w:trPr>
          <w:trHeight w:val="231"/>
        </w:trPr>
        <w:tc>
          <w:tcPr>
            <w:tcW w:w="49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(Address of Principal Executive Offices)</w:t>
            </w:r>
          </w:p>
        </w:tc>
        <w:tc>
          <w:tcPr>
            <w:tcW w:w="4920" w:type="dxa"/>
            <w:vAlign w:val="bottom"/>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WM Technology, Inc. 2021 Equity Incentive Plan</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WM Technology, Inc. 2021 Employee Stock Purchase Plan</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Brian Camire</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Counsel</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WM Technology, Inc.</w:t>
      </w:r>
    </w:p>
    <w:p>
      <w:pPr>
        <w:spacing w:after="0" w:line="58" w:lineRule="exact"/>
        <w:rPr>
          <w:sz w:val="24"/>
          <w:szCs w:val="24"/>
          <w:color w:val="auto"/>
        </w:rPr>
      </w:pPr>
    </w:p>
    <w:p>
      <w:pPr>
        <w:ind w:left="5360" w:hanging="219"/>
        <w:spacing w:after="0"/>
        <w:tabs>
          <w:tab w:leader="none" w:pos="53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Discovery</w:t>
      </w:r>
    </w:p>
    <w:p>
      <w:pPr>
        <w:spacing w:after="0" w:line="58" w:lineRule="exact"/>
        <w:rPr>
          <w:rFonts w:ascii="Arial" w:cs="Arial" w:eastAsia="Arial" w:hAnsi="Arial"/>
          <w:sz w:val="18"/>
          <w:szCs w:val="18"/>
          <w:b w:val="1"/>
          <w:bCs w:val="1"/>
          <w:color w:val="auto"/>
        </w:rPr>
      </w:pPr>
    </w:p>
    <w:p>
      <w:pPr>
        <w:ind w:left="47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Irvine, California 92618</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address of agent for service)</w:t>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(844) 933-3627</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2637155</wp:posOffset>
            </wp:positionH>
            <wp:positionV relativeFrom="paragraph">
              <wp:posOffset>154305</wp:posOffset>
            </wp:positionV>
            <wp:extent cx="18764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6425" cy="8255"/>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Copies to:</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Dave Peinsipp</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Kristin VanderPas</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Peter Byrne</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Cooley LLP</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 Embarcadero Center, 20th Floor</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Francisco, California 94111</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(415) 693-2000</w:t>
      </w:r>
    </w:p>
    <w:p>
      <w:pPr>
        <w:spacing w:after="0" w:line="236" w:lineRule="exact"/>
        <w:rPr>
          <w:sz w:val="24"/>
          <w:szCs w:val="24"/>
          <w:color w:val="auto"/>
        </w:rPr>
      </w:pPr>
    </w:p>
    <w:p>
      <w:pPr>
        <w:ind w:right="12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265"/>
        </w:trPr>
        <w:tc>
          <w:tcPr>
            <w:tcW w:w="21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2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46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65"/>
        </w:trPr>
        <w:tc>
          <w:tcPr>
            <w:tcW w:w="2180" w:type="dxa"/>
            <w:vAlign w:val="bottom"/>
          </w:tcPr>
          <w:p>
            <w:pPr>
              <w:spacing w:after="0"/>
              <w:rPr>
                <w:sz w:val="20"/>
                <w:szCs w:val="20"/>
                <w:color w:val="auto"/>
              </w:rPr>
            </w:pPr>
            <w:r>
              <w:rPr>
                <w:rFonts w:ascii="Arial" w:cs="Arial" w:eastAsia="Arial" w:hAnsi="Arial"/>
                <w:sz w:val="18"/>
                <w:szCs w:val="18"/>
                <w:color w:val="auto"/>
              </w:rPr>
              <w:t>Non-accelerated filer</w:t>
            </w:r>
          </w:p>
        </w:tc>
        <w:tc>
          <w:tcPr>
            <w:tcW w:w="322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46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8"/>
        </w:trPr>
        <w:tc>
          <w:tcPr>
            <w:tcW w:w="21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820" w:type="dxa"/>
            <w:vAlign w:val="bottom"/>
          </w:tcPr>
          <w:p>
            <w:pPr>
              <w:ind w:left="246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13" w:lineRule="exact"/>
        <w:rPr>
          <w:sz w:val="24"/>
          <w:szCs w:val="24"/>
          <w:color w:val="auto"/>
        </w:rPr>
      </w:pPr>
    </w:p>
    <w:p>
      <w:pPr>
        <w:spacing w:after="0" w:line="22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ectPr>
          <w:pgSz w:w="11900" w:h="16838" w:orient="portrait"/>
          <w:cols w:equalWidth="0" w:num="1">
            <w:col w:w="11240"/>
          </w:cols>
          <w:pgMar w:left="320" w:top="111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00" w:lineRule="exact"/>
        <w:rPr>
          <w:sz w:val="20"/>
          <w:szCs w:val="20"/>
          <w:color w:val="auto"/>
        </w:rPr>
      </w:pPr>
    </w:p>
    <w:p>
      <w:pPr>
        <w:spacing w:after="0" w:line="262" w:lineRule="exact"/>
        <w:rPr>
          <w:sz w:val="20"/>
          <w:szCs w:val="20"/>
          <w:color w:val="auto"/>
        </w:rPr>
      </w:pPr>
    </w:p>
    <w:p>
      <w:pPr>
        <w:jc w:val="both"/>
        <w:ind w:firstLine="636"/>
        <w:spacing w:after="0" w:line="322" w:lineRule="auto"/>
        <w:rPr>
          <w:sz w:val="20"/>
          <w:szCs w:val="20"/>
          <w:color w:val="auto"/>
        </w:rPr>
      </w:pPr>
      <w:r>
        <w:rPr>
          <w:rFonts w:ascii="Arial" w:cs="Arial" w:eastAsia="Arial" w:hAnsi="Arial"/>
          <w:sz w:val="15"/>
          <w:szCs w:val="15"/>
          <w:color w:val="auto"/>
        </w:rPr>
        <w:t>WM Technology, Inc. (the “Registrant”) is filing this registration statement on Form S-8 (the “Registration Statement”) with the Securities and Exchange Commission (the “Commission”) to register the offering of an additional 8,852,929 shares of Class A Common Stock, par value $0.0001 per share</w:t>
      </w:r>
    </w:p>
    <w:p>
      <w:pPr>
        <w:spacing w:after="0" w:line="1"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(“Class A Common Stock”), of the Registrant. The 8,852,929 shares of Class A Common Stock being registered herein include (i) 7,377,441 shares of Class A Common Stock issuable pursuant to the WM Technology, Inc. 2021 Equity Incentive Plan (the “2021 EIP”) and (ii) 1,475,488 shares of Class A Common Stock issuable pursuant to the WM Technology, Inc. 2021 Employee Stock Purchase Plan (the “2021 ESPP”). These additional shares of Class A Common Stock are securities of the same class as other securities for which earlier registration statements were filed with the Commission on August 26, 2021 on Form S-8 (File No. 333-259072) and on October 5, 2022 on Form S-8 (File No. 333-267744) (collectively, the “Prior Registration Statements”). Accordingly, the contents of the Prior Registration Statements are incorporated by reference into this Registration Statement pursuant to General Instruction E of Form S-8. These additional shares of Class A Common Stock have become reserved for issuance as a result of the operation of the “evergreen” provisions in each of the 2021 EIP and 2021 ESPP, which provide that the total number of shares subject to such plan may be increased each year pursuant to a specified formula.</w:t>
      </w:r>
    </w:p>
    <w:p>
      <w:pPr>
        <w:sectPr>
          <w:pgSz w:w="11900" w:h="16838" w:orient="portrait"/>
          <w:cols w:equalWidth="0" w:num="1">
            <w:col w:w="11240"/>
          </w:cols>
          <w:pgMar w:left="320" w:top="996"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II</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documents filed by the registrant with the Commission are hereby incorporated by reference in this registration statement:</w:t>
      </w:r>
    </w:p>
    <w:p>
      <w:pPr>
        <w:spacing w:after="0" w:line="202" w:lineRule="exact"/>
        <w:rPr>
          <w:sz w:val="20"/>
          <w:szCs w:val="20"/>
          <w:color w:val="auto"/>
        </w:rPr>
      </w:pPr>
    </w:p>
    <w:p>
      <w:pPr>
        <w:ind w:left="1020" w:hanging="378"/>
        <w:spacing w:after="0"/>
        <w:tabs>
          <w:tab w:leader="none" w:pos="10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registrant’s annual report on Form 10-K for the fiscal year ended December 31, 2022 filed with the Commission on March 16, 2023;</w:t>
      </w:r>
    </w:p>
    <w:p>
      <w:pPr>
        <w:spacing w:after="0" w:line="188" w:lineRule="exact"/>
        <w:rPr>
          <w:rFonts w:ascii="Arial" w:cs="Arial" w:eastAsia="Arial" w:hAnsi="Arial"/>
          <w:sz w:val="17"/>
          <w:szCs w:val="17"/>
          <w:color w:val="auto"/>
        </w:rPr>
      </w:pPr>
    </w:p>
    <w:p>
      <w:pPr>
        <w:ind w:left="960" w:hanging="318"/>
        <w:spacing w:after="0" w:line="264" w:lineRule="auto"/>
        <w:tabs>
          <w:tab w:leader="none" w:pos="1043"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current reports on Form 8-K filed with the Commission on January 5, 2023, January 12, 2023 and March 16, 2023 to the extent the information in such reports is filed and not furnished; and</w:t>
      </w:r>
    </w:p>
    <w:p>
      <w:pPr>
        <w:spacing w:after="0" w:line="140" w:lineRule="exact"/>
        <w:rPr>
          <w:rFonts w:ascii="Arial" w:cs="Arial" w:eastAsia="Arial" w:hAnsi="Arial"/>
          <w:sz w:val="18"/>
          <w:szCs w:val="18"/>
          <w:color w:val="auto"/>
        </w:rPr>
      </w:pPr>
    </w:p>
    <w:p>
      <w:pPr>
        <w:jc w:val="both"/>
        <w:ind w:left="960" w:hanging="318"/>
        <w:spacing w:after="0" w:line="255" w:lineRule="auto"/>
        <w:tabs>
          <w:tab w:leader="none" w:pos="1041"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Class A Common Stock contained in Exhibit 4.5 to the registrant’s annual report on Form 10-K for the fiscal year ended December 31, 2022, filed with the Commission on March 16, 2023, including any amendment or report filed for the purpose of updating such description.</w:t>
      </w:r>
    </w:p>
    <w:p>
      <w:pPr>
        <w:spacing w:after="0" w:line="162" w:lineRule="exact"/>
        <w:rPr>
          <w:sz w:val="20"/>
          <w:szCs w:val="20"/>
          <w:color w:val="auto"/>
        </w:rPr>
      </w:pPr>
    </w:p>
    <w:p>
      <w:pPr>
        <w:jc w:val="both"/>
        <w:ind w:firstLine="636"/>
        <w:spacing w:after="0" w:line="305" w:lineRule="auto"/>
        <w:rPr>
          <w:sz w:val="20"/>
          <w:szCs w:val="20"/>
          <w:color w:val="auto"/>
        </w:rPr>
      </w:pPr>
      <w:r>
        <w:rPr>
          <w:rFonts w:ascii="Arial" w:cs="Arial" w:eastAsia="Arial" w:hAnsi="Arial"/>
          <w:sz w:val="15"/>
          <w:szCs w:val="15"/>
          <w:color w:val="auto"/>
        </w:rPr>
        <w:t>All reports and other documents filed by the registrant pursuant to Section 13(a), 13(c), 14 or 15(d) of the Securities Exchange Act of 1934, as amended, other than current reports furnished under Item 2.02 and Item 7.01 of Form 8-K and any exhibits furnished on such form that relate to such items, after the date of this registration statement, and prior to the filing of a post-effective amendment that indicates that all securities offered hereby have been sold or that deregisters all securities then remaining unsold, shall be deemed to be incorporated by reference herein and to be a part of this registration statement from the date of filing of such reports and documents. Any statement contained in a document incorporated or deemed to be incorporated herein by reference shall be deemed to be modified or superseded for purposes of this registration statement to the extent that a statement herein or in any other subsequently filed document that also is or is deemed to be incorporated by reference herein modifies or supersedes such statement. Any such statement so modified or superseded shall not constitute a part of this registration statement, except as so modified or superseded.</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97" w:lineRule="exact"/>
        <w:rPr>
          <w:sz w:val="20"/>
          <w:szCs w:val="20"/>
          <w:color w:val="auto"/>
        </w:rPr>
      </w:pPr>
    </w:p>
    <w:p>
      <w:pPr>
        <w:jc w:val="both"/>
        <w:ind w:firstLine="636"/>
        <w:spacing w:after="0" w:line="306" w:lineRule="auto"/>
        <w:rPr>
          <w:sz w:val="20"/>
          <w:szCs w:val="20"/>
          <w:color w:val="auto"/>
        </w:rPr>
      </w:pPr>
      <w:r>
        <w:rPr>
          <w:rFonts w:ascii="Arial" w:cs="Arial" w:eastAsia="Arial" w:hAnsi="Arial"/>
          <w:sz w:val="15"/>
          <w:szCs w:val="15"/>
          <w:color w:val="auto"/>
        </w:rPr>
        <w:t>Section 145(a) of the Delaware General Corporation Law (the “DGCL”) provides, in general, that a corporation may indemnify any person who was or is a party to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17" w:lineRule="exact"/>
        <w:rPr>
          <w:sz w:val="20"/>
          <w:szCs w:val="20"/>
          <w:color w:val="auto"/>
        </w:rPr>
      </w:pPr>
    </w:p>
    <w:p>
      <w:pPr>
        <w:jc w:val="both"/>
        <w:ind w:firstLine="636"/>
        <w:spacing w:after="0" w:line="303" w:lineRule="auto"/>
        <w:rPr>
          <w:sz w:val="20"/>
          <w:szCs w:val="20"/>
          <w:color w:val="auto"/>
        </w:rPr>
      </w:pPr>
      <w:r>
        <w:rPr>
          <w:rFonts w:ascii="Arial" w:cs="Arial" w:eastAsia="Arial" w:hAnsi="Arial"/>
          <w:sz w:val="15"/>
          <w:szCs w:val="15"/>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w:t>
      </w:r>
    </w:p>
    <w:p>
      <w:pPr>
        <w:sectPr>
          <w:pgSz w:w="11900" w:h="16838" w:orient="portrait"/>
          <w:cols w:equalWidth="0" w:num="1">
            <w:col w:w="11240"/>
          </w:cols>
          <w:pgMar w:left="320" w:top="1102" w:right="339" w:bottom="1440" w:gutter="0" w:footer="0" w:header="0"/>
        </w:sectPr>
      </w:pPr>
    </w:p>
    <w:bookmarkStart w:id="3" w:name="page4"/>
    <w:bookmarkEnd w:id="3"/>
    <w:p>
      <w:pPr>
        <w:jc w:val="both"/>
        <w:ind w:firstLine="636"/>
        <w:spacing w:after="0" w:line="250" w:lineRule="auto"/>
        <w:rPr>
          <w:sz w:val="20"/>
          <w:szCs w:val="20"/>
          <w:color w:val="auto"/>
        </w:rPr>
      </w:pPr>
      <w:r>
        <w:rPr>
          <w:rFonts w:ascii="Arial" w:cs="Arial" w:eastAsia="Arial" w:hAnsi="Arial"/>
          <w:sz w:val="18"/>
          <w:szCs w:val="18"/>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154" w:lineRule="exact"/>
        <w:rPr>
          <w:sz w:val="20"/>
          <w:szCs w:val="20"/>
          <w:color w:val="auto"/>
        </w:rPr>
      </w:pPr>
    </w:p>
    <w:p>
      <w:pPr>
        <w:jc w:val="both"/>
        <w:ind w:firstLine="636"/>
        <w:spacing w:after="0" w:line="365" w:lineRule="auto"/>
        <w:rPr>
          <w:sz w:val="20"/>
          <w:szCs w:val="20"/>
          <w:color w:val="auto"/>
        </w:rPr>
      </w:pPr>
      <w:r>
        <w:rPr>
          <w:rFonts w:ascii="Arial" w:cs="Arial" w:eastAsia="Arial" w:hAnsi="Arial"/>
          <w:sz w:val="15"/>
          <w:szCs w:val="15"/>
          <w:color w:val="auto"/>
        </w:rPr>
        <w:t>Additionally, our Certificate of Incorporation eliminates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85" w:lineRule="exact"/>
        <w:rPr>
          <w:sz w:val="20"/>
          <w:szCs w:val="20"/>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any act or omission not in good faith or that involves intentional misconduct or a knowing violation of law;</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any unlawful payment of dividends or redemption of shares; or</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any breach of a director’s duty of loyalty to the corporation or its stockholders.</w:t>
      </w:r>
    </w:p>
    <w:p>
      <w:pPr>
        <w:spacing w:after="0" w:line="177"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If the DGCL is amended to authorize corporate action further eliminating or limiting the personal liability of directors, then the liability of the Company’s directors will be eliminated or limited to the fullest extent permitted by the DGCL, as so amended.</w:t>
      </w:r>
    </w:p>
    <w:p>
      <w:pPr>
        <w:spacing w:after="0" w:line="141"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We entered into indemnification agreements with substantially all of our directors and executive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164" w:lineRule="exact"/>
        <w:rPr>
          <w:sz w:val="20"/>
          <w:szCs w:val="20"/>
          <w:color w:val="auto"/>
        </w:rPr>
      </w:pPr>
    </w:p>
    <w:p>
      <w:pPr>
        <w:jc w:val="both"/>
        <w:ind w:right="20" w:firstLine="636"/>
        <w:spacing w:after="0" w:line="264" w:lineRule="auto"/>
        <w:rPr>
          <w:sz w:val="20"/>
          <w:szCs w:val="20"/>
          <w:color w:val="auto"/>
        </w:rPr>
      </w:pPr>
      <w:r>
        <w:rPr>
          <w:rFonts w:ascii="Arial" w:cs="Arial" w:eastAsia="Arial" w:hAnsi="Arial"/>
          <w:sz w:val="18"/>
          <w:szCs w:val="18"/>
          <w:color w:val="auto"/>
        </w:rPr>
        <w:t>We maintain a directors’ and officers’ insurance policy pursuant to which our directors and officers are insured against liability for actions taken in their capacities as directors and officers.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40"/>
          </w:cols>
          <w:pgMar w:left="320" w:top="76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9"/>
        </w:trPr>
        <w:tc>
          <w:tcPr>
            <w:tcW w:w="1420" w:type="dxa"/>
            <w:vAlign w:val="bottom"/>
            <w:gridSpan w:val="6"/>
          </w:tcPr>
          <w:p>
            <w:pPr>
              <w:spacing w:after="0"/>
              <w:rPr>
                <w:sz w:val="20"/>
                <w:szCs w:val="20"/>
                <w:color w:val="auto"/>
              </w:rPr>
            </w:pPr>
            <w:r>
              <w:rPr>
                <w:rFonts w:ascii="Arial" w:cs="Arial" w:eastAsia="Arial" w:hAnsi="Arial"/>
                <w:sz w:val="18"/>
                <w:szCs w:val="18"/>
                <w:b w:val="1"/>
                <w:bCs w:val="1"/>
                <w:color w:val="auto"/>
              </w:rPr>
              <w:t>Item 8. Exhibits.</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42"/>
        </w:trPr>
        <w:tc>
          <w:tcPr>
            <w:tcW w:w="300" w:type="dxa"/>
            <w:vAlign w:val="bottom"/>
          </w:tcPr>
          <w:p>
            <w:pPr>
              <w:spacing w:after="0"/>
              <w:rPr>
                <w:sz w:val="24"/>
                <w:szCs w:val="24"/>
                <w:color w:val="auto"/>
              </w:rPr>
            </w:pPr>
          </w:p>
        </w:tc>
        <w:tc>
          <w:tcPr>
            <w:tcW w:w="1120" w:type="dxa"/>
            <w:vAlign w:val="bottom"/>
            <w:gridSpan w:val="5"/>
          </w:tcPr>
          <w:p>
            <w:pPr>
              <w:ind w:left="8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580" w:type="dxa"/>
            <w:vAlign w:val="bottom"/>
            <w:gridSpan w:val="7"/>
          </w:tcPr>
          <w:p>
            <w:pPr>
              <w:ind w:left="138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8"/>
        </w:trPr>
        <w:tc>
          <w:tcPr>
            <w:tcW w:w="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300" w:type="dxa"/>
            <w:vAlign w:val="bottom"/>
          </w:tcPr>
          <w:p>
            <w:pPr>
              <w:spacing w:after="0"/>
              <w:rPr>
                <w:sz w:val="15"/>
                <w:szCs w:val="15"/>
                <w:color w:val="auto"/>
              </w:rPr>
            </w:pPr>
          </w:p>
        </w:tc>
        <w:tc>
          <w:tcPr>
            <w:tcW w:w="280" w:type="dxa"/>
            <w:vAlign w:val="bottom"/>
            <w:gridSpan w:val="2"/>
            <w:vMerge w:val="restart"/>
            <w:shd w:val="clear" w:color="auto" w:fill="CCEEFF"/>
          </w:tcPr>
          <w:p>
            <w:pPr>
              <w:spacing w:after="0"/>
              <w:rPr>
                <w:rFonts w:ascii="Arial" w:cs="Arial" w:eastAsia="Arial" w:hAnsi="Arial"/>
                <w:sz w:val="18"/>
                <w:szCs w:val="18"/>
                <w:color w:val="0000FF"/>
              </w:rPr>
            </w:pPr>
            <w:r>
              <w:rPr>
                <w:rFonts w:ascii="Arial" w:cs="Arial" w:eastAsia="Arial" w:hAnsi="Arial"/>
                <w:sz w:val="18"/>
                <w:szCs w:val="18"/>
                <w:color w:val="0000FF"/>
              </w:rPr>
              <w:t>3.</w:t>
            </w:r>
            <w:hyperlink r:id="rId11">
              <w:r>
                <w:rPr>
                  <w:rFonts w:ascii="Arial" w:cs="Arial" w:eastAsia="Arial" w:hAnsi="Arial"/>
                  <w:sz w:val="18"/>
                  <w:szCs w:val="18"/>
                  <w:u w:val="single" w:color="auto"/>
                  <w:color w:val="0000FF"/>
                </w:rPr>
                <w:t>1</w:t>
              </w:r>
            </w:hyperlink>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520" w:type="dxa"/>
            <w:vAlign w:val="bottom"/>
            <w:gridSpan w:val="19"/>
            <w:shd w:val="clear" w:color="auto" w:fill="CCEEFF"/>
          </w:tcPr>
          <w:p>
            <w:pPr>
              <w:spacing w:after="0" w:line="179" w:lineRule="exact"/>
              <w:rPr>
                <w:rFonts w:ascii="Arial" w:cs="Arial" w:eastAsia="Arial" w:hAnsi="Arial"/>
                <w:sz w:val="18"/>
                <w:szCs w:val="18"/>
                <w:color w:val="0000FF"/>
                <w:w w:val="91"/>
              </w:rPr>
            </w:pPr>
            <w:hyperlink r:id="rId11">
              <w:r>
                <w:rPr>
                  <w:rFonts w:ascii="Arial" w:cs="Arial" w:eastAsia="Arial" w:hAnsi="Arial"/>
                  <w:sz w:val="18"/>
                  <w:szCs w:val="18"/>
                  <w:color w:val="0000FF"/>
                  <w:w w:val="91"/>
                </w:rPr>
                <w:t>Certificate of Incorporation of the Company, dated June 15, 2021 (incorporated by reference to Exhibit 3.1 to the Current Report on</w:t>
              </w:r>
            </w:hyperlink>
          </w:p>
        </w:tc>
        <w:tc>
          <w:tcPr>
            <w:tcW w:w="0" w:type="dxa"/>
            <w:vAlign w:val="bottom"/>
          </w:tcPr>
          <w:p>
            <w:pPr>
              <w:spacing w:after="0"/>
              <w:rPr>
                <w:sz w:val="1"/>
                <w:szCs w:val="1"/>
                <w:color w:val="auto"/>
              </w:rPr>
            </w:pPr>
          </w:p>
        </w:tc>
      </w:tr>
      <w:tr>
        <w:trPr>
          <w:trHeight w:val="179"/>
        </w:trPr>
        <w:tc>
          <w:tcPr>
            <w:tcW w:w="300" w:type="dxa"/>
            <w:vAlign w:val="bottom"/>
          </w:tcPr>
          <w:p>
            <w:pPr>
              <w:spacing w:after="0"/>
              <w:rPr>
                <w:sz w:val="15"/>
                <w:szCs w:val="15"/>
                <w:color w:val="auto"/>
              </w:rPr>
            </w:pPr>
          </w:p>
        </w:tc>
        <w:tc>
          <w:tcPr>
            <w:tcW w:w="280" w:type="dxa"/>
            <w:vAlign w:val="bottom"/>
            <w:tcBorders>
              <w:top w:val="single" w:sz="8" w:color="CCEEFF"/>
            </w:tcBorders>
            <w:gridSpan w:val="2"/>
            <w:vMerge w:val="continue"/>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300" w:type="dxa"/>
            <w:vAlign w:val="bottom"/>
            <w:tcBorders>
              <w:top w:val="single" w:sz="8" w:color="0000FF"/>
            </w:tcBorders>
            <w:gridSpan w:val="14"/>
            <w:shd w:val="clear" w:color="auto" w:fill="CCEEFF"/>
          </w:tcPr>
          <w:p>
            <w:pPr>
              <w:spacing w:after="0" w:line="179" w:lineRule="exact"/>
              <w:rPr>
                <w:rFonts w:ascii="Arial" w:cs="Arial" w:eastAsia="Arial" w:hAnsi="Arial"/>
                <w:sz w:val="18"/>
                <w:szCs w:val="18"/>
                <w:color w:val="0000FF"/>
              </w:rPr>
            </w:pPr>
            <w:hyperlink r:id="rId11">
              <w:r>
                <w:rPr>
                  <w:rFonts w:ascii="Arial" w:cs="Arial" w:eastAsia="Arial" w:hAnsi="Arial"/>
                  <w:sz w:val="18"/>
                  <w:szCs w:val="18"/>
                  <w:color w:val="0000FF"/>
                </w:rPr>
                <w:t>Form 8-K filed on June 22, 2021).</w:t>
              </w:r>
            </w:hyperlink>
          </w:p>
        </w:tc>
        <w:tc>
          <w:tcPr>
            <w:tcW w:w="220" w:type="dxa"/>
            <w:vAlign w:val="bottom"/>
            <w:tcBorders>
              <w:top w:val="single" w:sz="8" w:color="CCEEFF"/>
            </w:tcBorders>
            <w:gridSpan w:val="5"/>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300" w:type="dxa"/>
            <w:vAlign w:val="bottom"/>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00" w:type="dxa"/>
            <w:vAlign w:val="bottom"/>
            <w:vMerge w:val="restart"/>
          </w:tcPr>
          <w:p>
            <w:pPr>
              <w:spacing w:after="0"/>
              <w:rPr>
                <w:sz w:val="16"/>
                <w:szCs w:val="16"/>
                <w:color w:val="auto"/>
              </w:rPr>
            </w:pPr>
          </w:p>
        </w:tc>
        <w:tc>
          <w:tcPr>
            <w:tcW w:w="280" w:type="dxa"/>
            <w:vAlign w:val="bottom"/>
            <w:gridSpan w:val="2"/>
            <w:vMerge w:val="restart"/>
          </w:tcPr>
          <w:p>
            <w:pPr>
              <w:spacing w:after="0"/>
              <w:rPr>
                <w:rFonts w:ascii="Arial" w:cs="Arial" w:eastAsia="Arial" w:hAnsi="Arial"/>
                <w:sz w:val="18"/>
                <w:szCs w:val="18"/>
                <w:color w:val="0000FF"/>
              </w:rPr>
            </w:pPr>
            <w:r>
              <w:rPr>
                <w:rFonts w:ascii="Arial" w:cs="Arial" w:eastAsia="Arial" w:hAnsi="Arial"/>
                <w:sz w:val="18"/>
                <w:szCs w:val="18"/>
                <w:color w:val="0000FF"/>
              </w:rPr>
              <w:t>3.</w:t>
            </w:r>
            <w:hyperlink r:id="rId12">
              <w:r>
                <w:rPr>
                  <w:rFonts w:ascii="Arial" w:cs="Arial" w:eastAsia="Arial" w:hAnsi="Arial"/>
                  <w:sz w:val="18"/>
                  <w:szCs w:val="18"/>
                  <w:u w:val="single" w:color="auto"/>
                  <w:color w:val="0000FF"/>
                </w:rPr>
                <w:t>2</w:t>
              </w:r>
            </w:hyperlink>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360" w:type="dxa"/>
            <w:vAlign w:val="bottom"/>
            <w:tcBorders>
              <w:bottom w:val="single" w:sz="8" w:color="0000FF"/>
            </w:tcBorders>
            <w:gridSpan w:val="15"/>
          </w:tcPr>
          <w:p>
            <w:pPr>
              <w:spacing w:after="0" w:line="186" w:lineRule="exact"/>
              <w:rPr>
                <w:rFonts w:ascii="Arial" w:cs="Arial" w:eastAsia="Arial" w:hAnsi="Arial"/>
                <w:sz w:val="18"/>
                <w:szCs w:val="18"/>
                <w:color w:val="0000FF"/>
                <w:w w:val="88"/>
              </w:rPr>
            </w:pPr>
            <w:hyperlink r:id="rId12">
              <w:r>
                <w:rPr>
                  <w:rFonts w:ascii="Arial" w:cs="Arial" w:eastAsia="Arial" w:hAnsi="Arial"/>
                  <w:sz w:val="18"/>
                  <w:szCs w:val="18"/>
                  <w:color w:val="0000FF"/>
                  <w:w w:val="88"/>
                </w:rPr>
                <w:t>Amended and Restated Bylaws of the Company, dated June 16, 2021 (incorporated by reference to Exhibit 3.2 to the Current Report</w:t>
              </w:r>
            </w:hyperlink>
          </w:p>
        </w:tc>
        <w:tc>
          <w:tcPr>
            <w:tcW w:w="16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0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20" w:type="dxa"/>
            <w:vAlign w:val="bottom"/>
            <w:gridSpan w:val="19"/>
          </w:tcPr>
          <w:p>
            <w:pPr>
              <w:spacing w:after="0" w:line="179" w:lineRule="exact"/>
              <w:rPr>
                <w:rFonts w:ascii="Arial" w:cs="Arial" w:eastAsia="Arial" w:hAnsi="Arial"/>
                <w:sz w:val="18"/>
                <w:szCs w:val="18"/>
                <w:color w:val="0000FF"/>
              </w:rPr>
            </w:pPr>
            <w:hyperlink r:id="rId12">
              <w:r>
                <w:rPr>
                  <w:rFonts w:ascii="Arial" w:cs="Arial" w:eastAsia="Arial" w:hAnsi="Arial"/>
                  <w:sz w:val="18"/>
                  <w:szCs w:val="18"/>
                  <w:color w:val="0000FF"/>
                </w:rPr>
                <w:t>on Form 8-K filed on June 22, 2021).</w:t>
              </w:r>
            </w:hyperlink>
          </w:p>
        </w:tc>
        <w:tc>
          <w:tcPr>
            <w:tcW w:w="0" w:type="dxa"/>
            <w:vAlign w:val="bottom"/>
          </w:tcPr>
          <w:p>
            <w:pPr>
              <w:spacing w:after="0"/>
              <w:rPr>
                <w:sz w:val="1"/>
                <w:szCs w:val="1"/>
                <w:color w:val="auto"/>
              </w:rPr>
            </w:pPr>
          </w:p>
        </w:tc>
      </w:tr>
      <w:tr>
        <w:trPr>
          <w:trHeight w:val="46"/>
        </w:trPr>
        <w:tc>
          <w:tcPr>
            <w:tcW w:w="30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28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4.1</w:t>
            </w: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520" w:type="dxa"/>
            <w:vAlign w:val="bottom"/>
            <w:gridSpan w:val="19"/>
            <w:shd w:val="clear" w:color="auto" w:fill="CCEEFF"/>
          </w:tcPr>
          <w:p>
            <w:pPr>
              <w:spacing w:after="0" w:line="199" w:lineRule="exact"/>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11">
              <w:r>
                <w:rPr>
                  <w:rFonts w:ascii="Arial" w:cs="Arial" w:eastAsia="Arial" w:hAnsi="Arial"/>
                  <w:sz w:val="18"/>
                  <w:szCs w:val="18"/>
                  <w:color w:val="0000FF"/>
                </w:rPr>
                <w:t>3.1</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r:id="rId12">
              <w:r>
                <w:rPr>
                  <w:rFonts w:ascii="Arial" w:cs="Arial" w:eastAsia="Arial" w:hAnsi="Arial"/>
                  <w:sz w:val="18"/>
                  <w:szCs w:val="18"/>
                  <w:color w:val="0000FF"/>
                </w:rPr>
                <w:t>3.2</w:t>
              </w:r>
            </w:hyperlink>
          </w:p>
        </w:tc>
        <w:tc>
          <w:tcPr>
            <w:tcW w:w="0" w:type="dxa"/>
            <w:vAlign w:val="bottom"/>
          </w:tcPr>
          <w:p>
            <w:pPr>
              <w:spacing w:after="0"/>
              <w:rPr>
                <w:sz w:val="1"/>
                <w:szCs w:val="1"/>
                <w:color w:val="auto"/>
              </w:rPr>
            </w:pPr>
          </w:p>
        </w:tc>
      </w:tr>
      <w:tr>
        <w:trPr>
          <w:trHeight w:val="46"/>
        </w:trPr>
        <w:tc>
          <w:tcPr>
            <w:tcW w:w="300" w:type="dxa"/>
            <w:vAlign w:val="bottom"/>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6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00" w:type="dxa"/>
            <w:vAlign w:val="bottom"/>
            <w:vMerge w:val="restart"/>
          </w:tcPr>
          <w:p>
            <w:pPr>
              <w:spacing w:after="0"/>
              <w:rPr>
                <w:sz w:val="16"/>
                <w:szCs w:val="16"/>
                <w:color w:val="auto"/>
              </w:rPr>
            </w:pPr>
          </w:p>
        </w:tc>
        <w:tc>
          <w:tcPr>
            <w:tcW w:w="280" w:type="dxa"/>
            <w:vAlign w:val="bottom"/>
            <w:gridSpan w:val="2"/>
            <w:vMerge w:val="restart"/>
          </w:tcPr>
          <w:p>
            <w:pPr>
              <w:spacing w:after="0"/>
              <w:rPr>
                <w:rFonts w:ascii="Arial" w:cs="Arial" w:eastAsia="Arial" w:hAnsi="Arial"/>
                <w:sz w:val="18"/>
                <w:szCs w:val="18"/>
                <w:color w:val="0000FF"/>
              </w:rPr>
            </w:pPr>
            <w:hyperlink r:id="rId13">
              <w:r>
                <w:rPr>
                  <w:rFonts w:ascii="Arial" w:cs="Arial" w:eastAsia="Arial" w:hAnsi="Arial"/>
                  <w:sz w:val="18"/>
                  <w:szCs w:val="18"/>
                  <w:color w:val="0000FF"/>
                </w:rPr>
                <w:t>4.</w:t>
              </w:r>
              <w:r>
                <w:rPr>
                  <w:rFonts w:ascii="Arial" w:cs="Arial" w:eastAsia="Arial" w:hAnsi="Arial"/>
                  <w:sz w:val="18"/>
                  <w:szCs w:val="18"/>
                  <w:u w:val="single" w:color="auto"/>
                  <w:color w:val="0000FF"/>
                </w:rPr>
                <w:t>2</w:t>
              </w:r>
            </w:hyperlink>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80" w:type="dxa"/>
            <w:vAlign w:val="bottom"/>
            <w:tcBorders>
              <w:bottom w:val="single" w:sz="8" w:color="0000FF"/>
            </w:tcBorders>
            <w:gridSpan w:val="13"/>
          </w:tcPr>
          <w:p>
            <w:pPr>
              <w:spacing w:after="0" w:line="186" w:lineRule="exact"/>
              <w:rPr>
                <w:rFonts w:ascii="Arial" w:cs="Arial" w:eastAsia="Arial" w:hAnsi="Arial"/>
                <w:sz w:val="18"/>
                <w:szCs w:val="18"/>
                <w:color w:val="0000FF"/>
                <w:w w:val="90"/>
              </w:rPr>
            </w:pPr>
            <w:hyperlink r:id="rId13">
              <w:r>
                <w:rPr>
                  <w:rFonts w:ascii="Arial" w:cs="Arial" w:eastAsia="Arial" w:hAnsi="Arial"/>
                  <w:sz w:val="18"/>
                  <w:szCs w:val="18"/>
                  <w:color w:val="0000FF"/>
                  <w:w w:val="90"/>
                </w:rPr>
                <w:t>Form of Common Stock Certificate (incorporated by reference to Exhibit 4.1 to the Current Report on Form 8-K filed on June 22,</w:t>
              </w:r>
            </w:hyperlink>
          </w:p>
        </w:tc>
        <w:tc>
          <w:tcPr>
            <w:tcW w:w="34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0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ind w:left="20"/>
              <w:spacing w:after="0" w:line="179" w:lineRule="exact"/>
              <w:rPr>
                <w:rFonts w:ascii="Arial" w:cs="Arial" w:eastAsia="Arial" w:hAnsi="Arial"/>
                <w:sz w:val="18"/>
                <w:szCs w:val="18"/>
                <w:color w:val="0000FF"/>
                <w:w w:val="86"/>
              </w:rPr>
            </w:pPr>
            <w:hyperlink r:id="rId13">
              <w:r>
                <w:rPr>
                  <w:rFonts w:ascii="Arial" w:cs="Arial" w:eastAsia="Arial" w:hAnsi="Arial"/>
                  <w:sz w:val="18"/>
                  <w:szCs w:val="18"/>
                  <w:color w:val="0000FF"/>
                  <w:w w:val="86"/>
                </w:rPr>
                <w:t>2021).</w:t>
              </w:r>
            </w:hyperlink>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30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28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0000FF"/>
              </w:rPr>
              <w:t>5.</w:t>
            </w:r>
            <w:r>
              <w:rPr>
                <w:rFonts w:ascii="Arial" w:cs="Arial" w:eastAsia="Arial" w:hAnsi="Arial"/>
                <w:sz w:val="18"/>
                <w:szCs w:val="18"/>
                <w:u w:val="single" w:color="auto"/>
                <w:color w:val="0000FF"/>
              </w:rPr>
              <w:t>1</w:t>
            </w: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520" w:type="dxa"/>
            <w:vAlign w:val="bottom"/>
            <w:gridSpan w:val="19"/>
            <w:shd w:val="clear" w:color="auto" w:fill="CCEEFF"/>
          </w:tcPr>
          <w:p>
            <w:pPr>
              <w:spacing w:after="0" w:line="199" w:lineRule="exact"/>
              <w:rPr>
                <w:sz w:val="20"/>
                <w:szCs w:val="20"/>
                <w:color w:val="auto"/>
              </w:rPr>
            </w:pPr>
            <w:r>
              <w:rPr>
                <w:rFonts w:ascii="Arial" w:cs="Arial" w:eastAsia="Arial" w:hAnsi="Arial"/>
                <w:sz w:val="18"/>
                <w:szCs w:val="18"/>
                <w:color w:val="0000FF"/>
              </w:rPr>
              <w:t>Opinion of Cooley LLP.</w:t>
            </w:r>
          </w:p>
        </w:tc>
        <w:tc>
          <w:tcPr>
            <w:tcW w:w="0" w:type="dxa"/>
            <w:vAlign w:val="bottom"/>
          </w:tcPr>
          <w:p>
            <w:pPr>
              <w:spacing w:after="0"/>
              <w:rPr>
                <w:sz w:val="1"/>
                <w:szCs w:val="1"/>
                <w:color w:val="auto"/>
              </w:rPr>
            </w:pPr>
          </w:p>
        </w:tc>
      </w:tr>
      <w:tr>
        <w:trPr>
          <w:trHeight w:val="46"/>
        </w:trPr>
        <w:tc>
          <w:tcPr>
            <w:tcW w:w="300" w:type="dxa"/>
            <w:vAlign w:val="bottom"/>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1040" w:type="dxa"/>
            <w:vAlign w:val="bottom"/>
            <w:gridSpan w:val="4"/>
          </w:tcPr>
          <w:p>
            <w:pPr>
              <w:spacing w:after="0" w:line="199" w:lineRule="exact"/>
              <w:rPr>
                <w:sz w:val="20"/>
                <w:szCs w:val="20"/>
                <w:color w:val="auto"/>
              </w:rPr>
            </w:pPr>
            <w:r>
              <w:rPr>
                <w:rFonts w:ascii="Arial" w:cs="Arial" w:eastAsia="Arial" w:hAnsi="Arial"/>
                <w:sz w:val="18"/>
                <w:szCs w:val="18"/>
                <w:color w:val="0000FF"/>
              </w:rPr>
              <w:t>23.</w:t>
            </w:r>
            <w:r>
              <w:rPr>
                <w:rFonts w:ascii="Arial" w:cs="Arial" w:eastAsia="Arial" w:hAnsi="Arial"/>
                <w:sz w:val="18"/>
                <w:szCs w:val="18"/>
                <w:u w:val="single" w:color="auto"/>
                <w:color w:val="0000FF"/>
              </w:rPr>
              <w:t>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20" w:type="dxa"/>
            <w:vAlign w:val="bottom"/>
            <w:gridSpan w:val="19"/>
          </w:tcPr>
          <w:p>
            <w:pPr>
              <w:spacing w:after="0" w:line="199" w:lineRule="exact"/>
              <w:rPr>
                <w:sz w:val="20"/>
                <w:szCs w:val="20"/>
                <w:color w:val="auto"/>
              </w:rPr>
            </w:pPr>
            <w:r>
              <w:rPr>
                <w:rFonts w:ascii="Arial" w:cs="Arial" w:eastAsia="Arial" w:hAnsi="Arial"/>
                <w:sz w:val="18"/>
                <w:szCs w:val="18"/>
                <w:color w:val="0000FF"/>
              </w:rPr>
              <w:t>Consent of Baker Tilly US, LLP</w:t>
            </w:r>
          </w:p>
        </w:tc>
        <w:tc>
          <w:tcPr>
            <w:tcW w:w="0" w:type="dxa"/>
            <w:vAlign w:val="bottom"/>
          </w:tcPr>
          <w:p>
            <w:pPr>
              <w:spacing w:after="0"/>
              <w:rPr>
                <w:sz w:val="1"/>
                <w:szCs w:val="1"/>
                <w:color w:val="auto"/>
              </w:rPr>
            </w:pPr>
          </w:p>
        </w:tc>
      </w:tr>
      <w:tr>
        <w:trPr>
          <w:trHeight w:val="46"/>
        </w:trPr>
        <w:tc>
          <w:tcPr>
            <w:tcW w:w="30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300" w:type="dxa"/>
            <w:vAlign w:val="bottom"/>
          </w:tcPr>
          <w:p>
            <w:pPr>
              <w:spacing w:after="0"/>
              <w:rPr>
                <w:sz w:val="21"/>
                <w:szCs w:val="21"/>
                <w:color w:val="auto"/>
              </w:rPr>
            </w:pPr>
          </w:p>
        </w:tc>
        <w:tc>
          <w:tcPr>
            <w:tcW w:w="10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23.3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520" w:type="dxa"/>
            <w:vAlign w:val="bottom"/>
            <w:tcBorders>
              <w:bottom w:val="single" w:sz="8" w:color="CCEEFF"/>
            </w:tcBorders>
            <w:gridSpan w:val="19"/>
            <w:shd w:val="clear" w:color="auto" w:fill="CCEEFF"/>
          </w:tcPr>
          <w:p>
            <w:pPr>
              <w:spacing w:after="0"/>
              <w:rPr>
                <w:sz w:val="20"/>
                <w:szCs w:val="20"/>
                <w:color w:val="auto"/>
              </w:rPr>
            </w:pPr>
            <w:r>
              <w:rPr>
                <w:rFonts w:ascii="Arial" w:cs="Arial" w:eastAsia="Arial" w:hAnsi="Arial"/>
                <w:sz w:val="18"/>
                <w:szCs w:val="18"/>
                <w:color w:val="auto"/>
              </w:rPr>
              <w:t>Consent of Cooley LLP (included in Exhibit 5.1).</w:t>
            </w:r>
          </w:p>
        </w:tc>
        <w:tc>
          <w:tcPr>
            <w:tcW w:w="0" w:type="dxa"/>
            <w:vAlign w:val="bottom"/>
          </w:tcPr>
          <w:p>
            <w:pPr>
              <w:spacing w:after="0"/>
              <w:rPr>
                <w:sz w:val="1"/>
                <w:szCs w:val="1"/>
                <w:color w:val="auto"/>
              </w:rPr>
            </w:pPr>
          </w:p>
        </w:tc>
      </w:tr>
      <w:tr>
        <w:trPr>
          <w:trHeight w:val="238"/>
        </w:trPr>
        <w:tc>
          <w:tcPr>
            <w:tcW w:w="1340" w:type="dxa"/>
            <w:vAlign w:val="bottom"/>
            <w:gridSpan w:val="5"/>
          </w:tcPr>
          <w:p>
            <w:pPr>
              <w:ind w:left="300"/>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20" w:type="dxa"/>
            <w:vAlign w:val="bottom"/>
            <w:gridSpan w:val="19"/>
          </w:tcPr>
          <w:p>
            <w:pPr>
              <w:spacing w:after="0"/>
              <w:rPr>
                <w:sz w:val="20"/>
                <w:szCs w:val="20"/>
                <w:color w:val="auto"/>
              </w:rPr>
            </w:pPr>
            <w:r>
              <w:rPr>
                <w:rFonts w:ascii="Arial" w:cs="Arial" w:eastAsia="Arial" w:hAnsi="Arial"/>
                <w:sz w:val="18"/>
                <w:szCs w:val="18"/>
                <w:color w:val="auto"/>
              </w:rPr>
              <w:t>Power of Attorney (contained on the signature page hereto).</w:t>
            </w:r>
          </w:p>
        </w:tc>
        <w:tc>
          <w:tcPr>
            <w:tcW w:w="0" w:type="dxa"/>
            <w:vAlign w:val="bottom"/>
          </w:tcPr>
          <w:p>
            <w:pPr>
              <w:spacing w:after="0"/>
              <w:rPr>
                <w:sz w:val="1"/>
                <w:szCs w:val="1"/>
                <w:color w:val="auto"/>
              </w:rPr>
            </w:pPr>
          </w:p>
        </w:tc>
      </w:tr>
      <w:tr>
        <w:trPr>
          <w:trHeight w:val="28"/>
        </w:trPr>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0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520" w:type="dxa"/>
            <w:vAlign w:val="bottom"/>
            <w:gridSpan w:val="19"/>
            <w:shd w:val="clear" w:color="auto" w:fill="CCEEFF"/>
          </w:tcPr>
          <w:p>
            <w:pPr>
              <w:spacing w:after="0" w:line="199" w:lineRule="exact"/>
              <w:rPr>
                <w:rFonts w:ascii="Arial" w:cs="Arial" w:eastAsia="Arial" w:hAnsi="Arial"/>
                <w:sz w:val="18"/>
                <w:szCs w:val="18"/>
                <w:color w:val="0000FF"/>
                <w:w w:val="90"/>
              </w:rPr>
            </w:pPr>
            <w:hyperlink r:id="rId14">
              <w:r>
                <w:rPr>
                  <w:rFonts w:ascii="Arial" w:cs="Arial" w:eastAsia="Arial" w:hAnsi="Arial"/>
                  <w:sz w:val="18"/>
                  <w:szCs w:val="18"/>
                  <w:color w:val="0000FF"/>
                  <w:w w:val="90"/>
                </w:rPr>
                <w:t>WM Technology, Inc. 2021 Equity Incentive Plan (incorporated by reference to Exhibit 99.1 to the Registration Statement on Form S-</w:t>
              </w:r>
            </w:hyperlink>
          </w:p>
        </w:tc>
        <w:tc>
          <w:tcPr>
            <w:tcW w:w="0" w:type="dxa"/>
            <w:vAlign w:val="bottom"/>
          </w:tcPr>
          <w:p>
            <w:pPr>
              <w:spacing w:after="0"/>
              <w:rPr>
                <w:sz w:val="1"/>
                <w:szCs w:val="1"/>
                <w:color w:val="auto"/>
              </w:rPr>
            </w:pPr>
          </w:p>
        </w:tc>
      </w:tr>
      <w:tr>
        <w:trPr>
          <w:trHeight w:val="238"/>
        </w:trPr>
        <w:tc>
          <w:tcPr>
            <w:tcW w:w="300" w:type="dxa"/>
            <w:vAlign w:val="bottom"/>
          </w:tcPr>
          <w:p>
            <w:pPr>
              <w:spacing w:after="0"/>
              <w:rPr>
                <w:sz w:val="20"/>
                <w:szCs w:val="20"/>
                <w:color w:val="auto"/>
              </w:rPr>
            </w:pPr>
          </w:p>
        </w:tc>
        <w:tc>
          <w:tcPr>
            <w:tcW w:w="320" w:type="dxa"/>
            <w:vAlign w:val="bottom"/>
            <w:tcBorders>
              <w:top w:val="single" w:sz="8" w:color="CCEEFF"/>
              <w:bottom w:val="single" w:sz="8" w:color="0000FF"/>
            </w:tcBorders>
            <w:gridSpan w:val="3"/>
            <w:shd w:val="clear" w:color="auto" w:fill="CCEEFF"/>
          </w:tcPr>
          <w:p>
            <w:pPr>
              <w:spacing w:after="0" w:line="192" w:lineRule="exact"/>
              <w:rPr>
                <w:rFonts w:ascii="Arial" w:cs="Arial" w:eastAsia="Arial" w:hAnsi="Arial"/>
                <w:sz w:val="18"/>
                <w:szCs w:val="18"/>
                <w:color w:val="0000FF"/>
                <w:w w:val="85"/>
              </w:rPr>
            </w:pPr>
            <w:hyperlink r:id="rId14">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7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0" w:type="dxa"/>
            <w:vAlign w:val="bottom"/>
            <w:tcBorders>
              <w:top w:val="single" w:sz="8" w:color="0000FF"/>
              <w:bottom w:val="single" w:sz="8" w:color="0000FF"/>
            </w:tcBorders>
            <w:gridSpan w:val="5"/>
            <w:shd w:val="clear" w:color="auto" w:fill="CCEEFF"/>
          </w:tcPr>
          <w:p>
            <w:pPr>
              <w:spacing w:after="0" w:line="192" w:lineRule="exact"/>
              <w:rPr>
                <w:rFonts w:ascii="Arial" w:cs="Arial" w:eastAsia="Arial" w:hAnsi="Arial"/>
                <w:sz w:val="18"/>
                <w:szCs w:val="18"/>
                <w:color w:val="0000FF"/>
                <w:w w:val="89"/>
              </w:rPr>
            </w:pPr>
            <w:hyperlink r:id="rId14">
              <w:r>
                <w:rPr>
                  <w:rFonts w:ascii="Arial" w:cs="Arial" w:eastAsia="Arial" w:hAnsi="Arial"/>
                  <w:sz w:val="18"/>
                  <w:szCs w:val="18"/>
                  <w:color w:val="0000FF"/>
                  <w:w w:val="89"/>
                </w:rPr>
                <w:t>8 filed on August 26, 2021).</w:t>
              </w:r>
            </w:hyperlink>
          </w:p>
        </w:tc>
        <w:tc>
          <w:tcPr>
            <w:tcW w:w="7480" w:type="dxa"/>
            <w:vAlign w:val="bottom"/>
            <w:tcBorders>
              <w:top w:val="single" w:sz="8" w:color="0000FF"/>
              <w:bottom w:val="single" w:sz="8" w:color="CCEEFF"/>
            </w:tcBorders>
            <w:gridSpan w:val="12"/>
            <w:shd w:val="clear" w:color="auto" w:fill="CCEEFF"/>
          </w:tcPr>
          <w:p>
            <w:pPr>
              <w:spacing w:after="0"/>
              <w:rPr>
                <w:sz w:val="20"/>
                <w:szCs w:val="20"/>
                <w:color w:val="auto"/>
              </w:rPr>
            </w:pPr>
          </w:p>
        </w:tc>
        <w:tc>
          <w:tcPr>
            <w:tcW w:w="4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20" w:type="dxa"/>
            <w:vAlign w:val="bottom"/>
            <w:gridSpan w:val="19"/>
          </w:tcPr>
          <w:p>
            <w:pPr>
              <w:spacing w:after="0" w:line="199" w:lineRule="exact"/>
              <w:rPr>
                <w:rFonts w:ascii="Arial" w:cs="Arial" w:eastAsia="Arial" w:hAnsi="Arial"/>
                <w:sz w:val="18"/>
                <w:szCs w:val="18"/>
                <w:color w:val="0000FF"/>
                <w:w w:val="90"/>
              </w:rPr>
            </w:pPr>
            <w:hyperlink r:id="rId15">
              <w:r>
                <w:rPr>
                  <w:rFonts w:ascii="Arial" w:cs="Arial" w:eastAsia="Arial" w:hAnsi="Arial"/>
                  <w:sz w:val="18"/>
                  <w:szCs w:val="18"/>
                  <w:color w:val="0000FF"/>
                  <w:w w:val="90"/>
                </w:rPr>
                <w:t>WM Technology, Inc. 2021 Employee Stock Purchase Plan (incorporated by reference to Exhibit 10.8 to the Current Report on Form</w:t>
              </w:r>
            </w:hyperlink>
          </w:p>
        </w:tc>
        <w:tc>
          <w:tcPr>
            <w:tcW w:w="0" w:type="dxa"/>
            <w:vAlign w:val="bottom"/>
          </w:tcPr>
          <w:p>
            <w:pPr>
              <w:spacing w:after="0"/>
              <w:rPr>
                <w:sz w:val="1"/>
                <w:szCs w:val="1"/>
                <w:color w:val="auto"/>
              </w:rPr>
            </w:pPr>
          </w:p>
        </w:tc>
      </w:tr>
      <w:tr>
        <w:trPr>
          <w:trHeight w:val="192"/>
        </w:trPr>
        <w:tc>
          <w:tcPr>
            <w:tcW w:w="1340" w:type="dxa"/>
            <w:vAlign w:val="bottom"/>
            <w:gridSpan w:val="5"/>
          </w:tcPr>
          <w:p>
            <w:pPr>
              <w:ind w:left="300"/>
              <w:spacing w:after="0" w:line="192" w:lineRule="exact"/>
              <w:rPr>
                <w:rFonts w:ascii="Arial" w:cs="Arial" w:eastAsia="Arial" w:hAnsi="Arial"/>
                <w:sz w:val="18"/>
                <w:szCs w:val="18"/>
                <w:color w:val="0000FF"/>
              </w:rPr>
            </w:pPr>
            <w:hyperlink r:id="rId15">
              <w:r>
                <w:rPr>
                  <w:rFonts w:ascii="Arial" w:cs="Arial" w:eastAsia="Arial" w:hAnsi="Arial"/>
                  <w:sz w:val="18"/>
                  <w:szCs w:val="18"/>
                  <w:color w:val="0000FF"/>
                </w:rPr>
                <w:t>99.</w:t>
              </w:r>
              <w:r>
                <w:rPr>
                  <w:rFonts w:ascii="Arial" w:cs="Arial" w:eastAsia="Arial" w:hAnsi="Arial"/>
                  <w:sz w:val="18"/>
                  <w:szCs w:val="18"/>
                  <w:u w:val="single" w:color="auto"/>
                  <w:color w:val="0000FF"/>
                </w:rPr>
                <w:t>2</w:t>
              </w:r>
            </w:hyperlink>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80" w:type="dxa"/>
            <w:vAlign w:val="bottom"/>
            <w:tcBorders>
              <w:top w:val="single" w:sz="8" w:color="0000FF"/>
            </w:tcBorders>
            <w:gridSpan w:val="17"/>
          </w:tcPr>
          <w:p>
            <w:pPr>
              <w:spacing w:after="0" w:line="192" w:lineRule="exact"/>
              <w:rPr>
                <w:rFonts w:ascii="Arial" w:cs="Arial" w:eastAsia="Arial" w:hAnsi="Arial"/>
                <w:sz w:val="18"/>
                <w:szCs w:val="18"/>
                <w:color w:val="0000FF"/>
              </w:rPr>
            </w:pPr>
            <w:hyperlink r:id="rId15">
              <w:r>
                <w:rPr>
                  <w:rFonts w:ascii="Arial" w:cs="Arial" w:eastAsia="Arial" w:hAnsi="Arial"/>
                  <w:sz w:val="18"/>
                  <w:szCs w:val="18"/>
                  <w:color w:val="0000FF"/>
                </w:rPr>
                <w:t>8-K filed on June 22, 2021).</w:t>
              </w:r>
            </w:hyperlink>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46"/>
        </w:trPr>
        <w:tc>
          <w:tcPr>
            <w:tcW w:w="30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00" w:type="dxa"/>
            <w:vAlign w:val="bottom"/>
          </w:tcPr>
          <w:p>
            <w:pPr>
              <w:spacing w:after="0"/>
              <w:rPr>
                <w:sz w:val="16"/>
                <w:szCs w:val="16"/>
                <w:color w:val="auto"/>
              </w:rPr>
            </w:pPr>
          </w:p>
        </w:tc>
        <w:tc>
          <w:tcPr>
            <w:tcW w:w="320" w:type="dxa"/>
            <w:vAlign w:val="bottom"/>
            <w:tcBorders>
              <w:bottom w:val="single" w:sz="8" w:color="CCEEFF"/>
            </w:tcBorders>
            <w:gridSpan w:val="3"/>
            <w:vMerge w:val="restart"/>
            <w:shd w:val="clear" w:color="auto" w:fill="CCEEFF"/>
          </w:tcPr>
          <w:p>
            <w:pPr>
              <w:spacing w:after="0"/>
              <w:rPr>
                <w:rFonts w:ascii="Arial" w:cs="Arial" w:eastAsia="Arial" w:hAnsi="Arial"/>
                <w:sz w:val="18"/>
                <w:szCs w:val="18"/>
                <w:color w:val="0000FF"/>
                <w:w w:val="85"/>
              </w:rPr>
            </w:pPr>
            <w:hyperlink r:id="rId16">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3</w:t>
              </w:r>
            </w:hyperlink>
          </w:p>
        </w:tc>
        <w:tc>
          <w:tcPr>
            <w:tcW w:w="720" w:type="dxa"/>
            <w:vAlign w:val="bottom"/>
            <w:tcBorders>
              <w:bottom w:val="single" w:sz="8" w:color="CCEEFF"/>
            </w:tcBorders>
            <w:vMerge w:val="restart"/>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9460" w:type="dxa"/>
            <w:vAlign w:val="bottom"/>
            <w:tcBorders>
              <w:bottom w:val="single" w:sz="8" w:color="0000FF"/>
            </w:tcBorders>
            <w:gridSpan w:val="16"/>
            <w:shd w:val="clear" w:color="auto" w:fill="CCEEFF"/>
          </w:tcPr>
          <w:p>
            <w:pPr>
              <w:spacing w:after="0" w:line="186" w:lineRule="exact"/>
              <w:rPr>
                <w:rFonts w:ascii="Arial" w:cs="Arial" w:eastAsia="Arial" w:hAnsi="Arial"/>
                <w:sz w:val="18"/>
                <w:szCs w:val="18"/>
                <w:color w:val="0000FF"/>
                <w:w w:val="89"/>
              </w:rPr>
            </w:pPr>
            <w:hyperlink r:id="rId16">
              <w:r>
                <w:rPr>
                  <w:rFonts w:ascii="Arial" w:cs="Arial" w:eastAsia="Arial" w:hAnsi="Arial"/>
                  <w:sz w:val="18"/>
                  <w:szCs w:val="18"/>
                  <w:color w:val="0000FF"/>
                  <w:w w:val="89"/>
                </w:rPr>
                <w:t>Form of Stock Option Grant Notice (incorporated by reference to Exhibit 10.7(a) to the Current Report on Form 8-K filed on June 22,</w:t>
              </w:r>
            </w:hyperlink>
          </w:p>
        </w:tc>
        <w:tc>
          <w:tcPr>
            <w:tcW w:w="60" w:type="dxa"/>
            <w:vAlign w:val="bottom"/>
            <w:tcBorders>
              <w:bottom w:val="single" w:sz="8" w:color="CCEEFF"/>
            </w:tcBorders>
            <w:gridSpan w:val="3"/>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00" w:type="dxa"/>
            <w:vAlign w:val="bottom"/>
          </w:tcPr>
          <w:p>
            <w:pPr>
              <w:spacing w:after="0"/>
              <w:rPr>
                <w:sz w:val="15"/>
                <w:szCs w:val="15"/>
                <w:color w:val="auto"/>
              </w:rPr>
            </w:pPr>
          </w:p>
        </w:tc>
        <w:tc>
          <w:tcPr>
            <w:tcW w:w="320" w:type="dxa"/>
            <w:vAlign w:val="bottom"/>
            <w:gridSpan w:val="3"/>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20"/>
              <w:spacing w:after="0" w:line="179" w:lineRule="exact"/>
              <w:rPr>
                <w:rFonts w:ascii="Arial" w:cs="Arial" w:eastAsia="Arial" w:hAnsi="Arial"/>
                <w:sz w:val="18"/>
                <w:szCs w:val="18"/>
                <w:color w:val="0000FF"/>
                <w:w w:val="86"/>
              </w:rPr>
            </w:pPr>
            <w:hyperlink r:id="rId16">
              <w:r>
                <w:rPr>
                  <w:rFonts w:ascii="Arial" w:cs="Arial" w:eastAsia="Arial" w:hAnsi="Arial"/>
                  <w:sz w:val="18"/>
                  <w:szCs w:val="18"/>
                  <w:color w:val="0000FF"/>
                  <w:w w:val="86"/>
                </w:rPr>
                <w:t>2021).</w:t>
              </w:r>
            </w:hyperlink>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300" w:type="dxa"/>
            <w:vAlign w:val="bottom"/>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00" w:type="dxa"/>
            <w:vAlign w:val="bottom"/>
            <w:vMerge w:val="restart"/>
          </w:tcPr>
          <w:p>
            <w:pPr>
              <w:spacing w:after="0"/>
              <w:rPr>
                <w:sz w:val="16"/>
                <w:szCs w:val="16"/>
                <w:color w:val="auto"/>
              </w:rPr>
            </w:pPr>
          </w:p>
        </w:tc>
        <w:tc>
          <w:tcPr>
            <w:tcW w:w="320" w:type="dxa"/>
            <w:vAlign w:val="bottom"/>
            <w:gridSpan w:val="3"/>
            <w:vMerge w:val="restart"/>
          </w:tcPr>
          <w:p>
            <w:pPr>
              <w:spacing w:after="0"/>
              <w:rPr>
                <w:rFonts w:ascii="Arial" w:cs="Arial" w:eastAsia="Arial" w:hAnsi="Arial"/>
                <w:sz w:val="18"/>
                <w:szCs w:val="18"/>
                <w:color w:val="0000FF"/>
                <w:w w:val="85"/>
              </w:rPr>
            </w:pPr>
            <w:hyperlink r:id="rId17">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4</w:t>
              </w:r>
            </w:hyperlink>
          </w:p>
        </w:tc>
        <w:tc>
          <w:tcPr>
            <w:tcW w:w="720" w:type="dxa"/>
            <w:vAlign w:val="bottom"/>
            <w:vMerge w:val="restart"/>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500" w:type="dxa"/>
            <w:vAlign w:val="bottom"/>
            <w:tcBorders>
              <w:bottom w:val="single" w:sz="8" w:color="0000FF"/>
            </w:tcBorders>
            <w:gridSpan w:val="18"/>
          </w:tcPr>
          <w:p>
            <w:pPr>
              <w:spacing w:after="0" w:line="186" w:lineRule="exact"/>
              <w:rPr>
                <w:rFonts w:ascii="Arial" w:cs="Arial" w:eastAsia="Arial" w:hAnsi="Arial"/>
                <w:sz w:val="18"/>
                <w:szCs w:val="18"/>
                <w:color w:val="0000FF"/>
                <w:w w:val="94"/>
              </w:rPr>
            </w:pPr>
            <w:hyperlink r:id="rId17">
              <w:r>
                <w:rPr>
                  <w:rFonts w:ascii="Arial" w:cs="Arial" w:eastAsia="Arial" w:hAnsi="Arial"/>
                  <w:sz w:val="18"/>
                  <w:szCs w:val="18"/>
                  <w:color w:val="0000FF"/>
                  <w:w w:val="94"/>
                </w:rPr>
                <w:t>Form of RSU Award Grant Notice (incorporated by reference to Exhibit 99.4 to the Registration Statement on Form S-8 filed on</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00" w:type="dxa"/>
            <w:vAlign w:val="bottom"/>
            <w:vMerge w:val="continue"/>
          </w:tcPr>
          <w:p>
            <w:pPr>
              <w:spacing w:after="0"/>
              <w:rPr>
                <w:sz w:val="15"/>
                <w:szCs w:val="15"/>
                <w:color w:val="auto"/>
              </w:rPr>
            </w:pPr>
          </w:p>
        </w:tc>
        <w:tc>
          <w:tcPr>
            <w:tcW w:w="320" w:type="dxa"/>
            <w:vAlign w:val="bottom"/>
            <w:gridSpan w:val="3"/>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20" w:type="dxa"/>
            <w:vAlign w:val="bottom"/>
            <w:gridSpan w:val="19"/>
          </w:tcPr>
          <w:p>
            <w:pPr>
              <w:spacing w:after="0" w:line="179" w:lineRule="exact"/>
              <w:rPr>
                <w:rFonts w:ascii="Arial" w:cs="Arial" w:eastAsia="Arial" w:hAnsi="Arial"/>
                <w:sz w:val="18"/>
                <w:szCs w:val="18"/>
                <w:color w:val="0000FF"/>
              </w:rPr>
            </w:pPr>
            <w:hyperlink r:id="rId17">
              <w:r>
                <w:rPr>
                  <w:rFonts w:ascii="Arial" w:cs="Arial" w:eastAsia="Arial" w:hAnsi="Arial"/>
                  <w:sz w:val="18"/>
                  <w:szCs w:val="18"/>
                  <w:color w:val="0000FF"/>
                </w:rPr>
                <w:t>August 26, 2021).</w:t>
              </w:r>
            </w:hyperlink>
          </w:p>
        </w:tc>
        <w:tc>
          <w:tcPr>
            <w:tcW w:w="0" w:type="dxa"/>
            <w:vAlign w:val="bottom"/>
          </w:tcPr>
          <w:p>
            <w:pPr>
              <w:spacing w:after="0"/>
              <w:rPr>
                <w:sz w:val="1"/>
                <w:szCs w:val="1"/>
                <w:color w:val="auto"/>
              </w:rPr>
            </w:pPr>
          </w:p>
        </w:tc>
      </w:tr>
      <w:tr>
        <w:trPr>
          <w:trHeight w:val="46"/>
        </w:trPr>
        <w:tc>
          <w:tcPr>
            <w:tcW w:w="30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320" w:type="dxa"/>
            <w:vAlign w:val="bottom"/>
            <w:gridSpan w:val="3"/>
            <w:shd w:val="clear" w:color="auto" w:fill="CCEEFF"/>
          </w:tcPr>
          <w:p>
            <w:pPr>
              <w:spacing w:after="0" w:line="199" w:lineRule="exact"/>
              <w:rPr>
                <w:sz w:val="20"/>
                <w:szCs w:val="20"/>
                <w:color w:val="auto"/>
              </w:rPr>
            </w:pPr>
            <w:r>
              <w:rPr>
                <w:rFonts w:ascii="Arial" w:cs="Arial" w:eastAsia="Arial" w:hAnsi="Arial"/>
                <w:sz w:val="18"/>
                <w:szCs w:val="18"/>
                <w:color w:val="0000FF"/>
                <w:w w:val="99"/>
              </w:rPr>
              <w:t>107</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520" w:type="dxa"/>
            <w:vAlign w:val="bottom"/>
            <w:gridSpan w:val="19"/>
            <w:shd w:val="clear" w:color="auto" w:fill="CCEEFF"/>
          </w:tcPr>
          <w:p>
            <w:pPr>
              <w:spacing w:after="0" w:line="199" w:lineRule="exact"/>
              <w:rPr>
                <w:sz w:val="20"/>
                <w:szCs w:val="20"/>
                <w:color w:val="auto"/>
              </w:rPr>
            </w:pPr>
            <w:r>
              <w:rPr>
                <w:rFonts w:ascii="Arial" w:cs="Arial" w:eastAsia="Arial" w:hAnsi="Arial"/>
                <w:sz w:val="18"/>
                <w:szCs w:val="18"/>
                <w:color w:val="0000FF"/>
              </w:rPr>
              <w:t>Filing Fee Table</w:t>
            </w:r>
          </w:p>
        </w:tc>
        <w:tc>
          <w:tcPr>
            <w:tcW w:w="0" w:type="dxa"/>
            <w:vAlign w:val="bottom"/>
          </w:tcPr>
          <w:p>
            <w:pPr>
              <w:spacing w:after="0"/>
              <w:rPr>
                <w:sz w:val="1"/>
                <w:szCs w:val="1"/>
                <w:color w:val="auto"/>
              </w:rPr>
            </w:pPr>
          </w:p>
        </w:tc>
      </w:tr>
      <w:tr>
        <w:trPr>
          <w:trHeight w:val="46"/>
        </w:trPr>
        <w:tc>
          <w:tcPr>
            <w:tcW w:w="300" w:type="dxa"/>
            <w:vAlign w:val="bottom"/>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50" w:lineRule="exact"/>
        <w:rPr>
          <w:sz w:val="20"/>
          <w:szCs w:val="20"/>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77" w:lineRule="exact"/>
        <w:rPr>
          <w:rFonts w:ascii="Arial" w:cs="Arial" w:eastAsia="Arial" w:hAnsi="Arial"/>
          <w:sz w:val="18"/>
          <w:szCs w:val="18"/>
          <w:color w:val="auto"/>
        </w:rPr>
      </w:pPr>
    </w:p>
    <w:p>
      <w:pPr>
        <w:ind w:left="1900" w:hanging="304"/>
        <w:spacing w:after="0"/>
        <w:tabs>
          <w:tab w:leader="none" w:pos="1900" w:val="left"/>
        </w:tabs>
        <w:numPr>
          <w:ilvl w:val="1"/>
          <w:numId w:val="4"/>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88" w:lineRule="exact"/>
        <w:rPr>
          <w:rFonts w:ascii="Arial" w:cs="Arial" w:eastAsia="Arial" w:hAnsi="Arial"/>
          <w:sz w:val="17"/>
          <w:szCs w:val="17"/>
          <w:color w:val="auto"/>
        </w:rPr>
      </w:pPr>
    </w:p>
    <w:p>
      <w:pPr>
        <w:ind w:left="2220" w:hanging="306"/>
        <w:spacing w:after="0"/>
        <w:tabs>
          <w:tab w:leader="none" w:pos="222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77" w:lineRule="exact"/>
        <w:rPr>
          <w:rFonts w:ascii="Arial" w:cs="Arial" w:eastAsia="Arial" w:hAnsi="Arial"/>
          <w:sz w:val="18"/>
          <w:szCs w:val="18"/>
          <w:color w:val="auto"/>
        </w:rPr>
      </w:pPr>
    </w:p>
    <w:p>
      <w:pPr>
        <w:jc w:val="both"/>
        <w:ind w:left="2240" w:hanging="326"/>
        <w:spacing w:after="0" w:line="248" w:lineRule="auto"/>
        <w:tabs>
          <w:tab w:leader="none" w:pos="223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this registration statement (or the most recent post-effective amendment 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70" w:lineRule="exact"/>
        <w:rPr>
          <w:rFonts w:ascii="Arial" w:cs="Arial" w:eastAsia="Arial" w:hAnsi="Arial"/>
          <w:sz w:val="18"/>
          <w:szCs w:val="18"/>
          <w:color w:val="auto"/>
        </w:rPr>
      </w:pPr>
    </w:p>
    <w:p>
      <w:pPr>
        <w:ind w:left="2240" w:hanging="326"/>
        <w:spacing w:after="0" w:line="264" w:lineRule="auto"/>
        <w:tabs>
          <w:tab w:leader="none" w:pos="224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41" w:lineRule="exact"/>
        <w:rPr>
          <w:sz w:val="20"/>
          <w:szCs w:val="20"/>
          <w:color w:val="auto"/>
        </w:rPr>
      </w:pPr>
    </w:p>
    <w:p>
      <w:pPr>
        <w:jc w:val="both"/>
        <w:ind w:left="1920"/>
        <w:spacing w:after="0" w:line="252" w:lineRule="auto"/>
        <w:rPr>
          <w:sz w:val="20"/>
          <w:szCs w:val="20"/>
          <w:color w:val="auto"/>
        </w:rPr>
      </w:pPr>
      <w:r>
        <w:rPr>
          <w:rFonts w:ascii="Arial" w:cs="Arial" w:eastAsia="Arial" w:hAnsi="Arial"/>
          <w:sz w:val="18"/>
          <w:szCs w:val="18"/>
          <w:color w:val="auto"/>
        </w:rPr>
        <w:t>provided, however, that paragraphs (a)(1)(i) and (a)(1)(ii) do not apply if the information required to be included in a post-effective amendment by those paragraphs is contained in periodic reports filed with or furnished to the Commission by the registrant pursuant to Section 13 or Section 15(d) of the Securities Exchange Act of 1934 that are incorporated by reference in the registration statement.</w:t>
      </w:r>
    </w:p>
    <w:p>
      <w:pPr>
        <w:spacing w:after="0" w:line="151" w:lineRule="exact"/>
        <w:rPr>
          <w:sz w:val="20"/>
          <w:szCs w:val="20"/>
          <w:color w:val="auto"/>
        </w:rPr>
      </w:pPr>
    </w:p>
    <w:p>
      <w:pPr>
        <w:jc w:val="both"/>
        <w:ind w:left="1920" w:hanging="324"/>
        <w:spacing w:after="0" w:line="255" w:lineRule="auto"/>
        <w:tabs>
          <w:tab w:leader="none" w:pos="191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11240"/>
          </w:cols>
          <w:pgMar w:left="320" w:top="982" w:right="339" w:bottom="1440" w:gutter="0" w:footer="0" w:header="0"/>
        </w:sectPr>
      </w:pPr>
    </w:p>
    <w:bookmarkStart w:id="5" w:name="page6"/>
    <w:bookmarkEnd w:id="5"/>
    <w:p>
      <w:pPr>
        <w:ind w:left="1596" w:hanging="324"/>
        <w:spacing w:after="0" w:line="264" w:lineRule="auto"/>
        <w:tabs>
          <w:tab w:leader="none" w:pos="159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40" w:lineRule="exact"/>
        <w:rPr>
          <w:rFonts w:ascii="Arial" w:cs="Arial" w:eastAsia="Arial" w:hAnsi="Arial"/>
          <w:sz w:val="18"/>
          <w:szCs w:val="18"/>
          <w:color w:val="auto"/>
        </w:rPr>
      </w:pPr>
    </w:p>
    <w:p>
      <w:pPr>
        <w:jc w:val="both"/>
        <w:ind w:left="316" w:hanging="316"/>
        <w:spacing w:after="0" w:line="250" w:lineRule="auto"/>
        <w:tabs>
          <w:tab w:leader="none" w:pos="31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67" w:lineRule="exact"/>
        <w:rPr>
          <w:rFonts w:ascii="Arial" w:cs="Arial" w:eastAsia="Arial" w:hAnsi="Arial"/>
          <w:sz w:val="18"/>
          <w:szCs w:val="18"/>
          <w:color w:val="auto"/>
        </w:rPr>
      </w:pPr>
    </w:p>
    <w:p>
      <w:pPr>
        <w:jc w:val="both"/>
        <w:ind w:left="316" w:hanging="316"/>
        <w:spacing w:after="0" w:line="265" w:lineRule="auto"/>
        <w:tabs>
          <w:tab w:leader="none" w:pos="313" w:val="left"/>
        </w:tabs>
        <w:numPr>
          <w:ilvl w:val="0"/>
          <w:numId w:val="7"/>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916"/>
          </w:cols>
          <w:pgMar w:left="644" w:top="76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SIGNATURES</w:t>
      </w:r>
    </w:p>
    <w:p>
      <w:pPr>
        <w:spacing w:after="0" w:line="250"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Irvine, State of California on March 17, 2023.</w:t>
      </w:r>
    </w:p>
    <w:p>
      <w:pPr>
        <w:spacing w:after="0" w:line="195"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WM TECHNOLOGY, INC.</w:t>
      </w:r>
    </w:p>
    <w:p>
      <w:pPr>
        <w:spacing w:after="0" w:line="329"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27940</wp:posOffset>
            </wp:positionV>
            <wp:extent cx="23679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extLst>
                    </a:blip>
                    <a:srcRect/>
                    <a:stretch>
                      <a:fillRect/>
                    </a:stretch>
                  </pic:blipFill>
                  <pic:spPr bwMode="auto">
                    <a:xfrm>
                      <a:off x="0" y="0"/>
                      <a:ext cx="2367915" cy="8255"/>
                    </a:xfrm>
                    <a:prstGeom prst="rect">
                      <a:avLst/>
                    </a:prstGeom>
                    <a:noFill/>
                  </pic:spPr>
                </pic:pic>
              </a:graphicData>
            </a:graphic>
          </wp:anchor>
        </w:drawing>
      </w:r>
    </w:p>
    <w:p>
      <w:pPr>
        <w:spacing w:after="0" w:line="51"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Name: Douglas Francis</w:t>
      </w:r>
    </w:p>
    <w:p>
      <w:pPr>
        <w:spacing w:after="0" w:line="58"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Title: Executive Chair</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97"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Douglas Francis and Arden Lee, and each of them, his true and lawful attorneys-in-fact and agents, each with full power of substitution and resubstitution, for him and in his name, place and stead, in any and all capacities, to sign any and all amendments, including post-effective amendments, to this registration statement,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for all intents and purposes as he might or could do in person, hereby ratifying and confirming all that each of said attorneys-in-fact and agents, or his substitute or substitutes may lawfully do or cause to be done by virtue hereof.</w:t>
      </w:r>
    </w:p>
    <w:p>
      <w:pPr>
        <w:spacing w:after="0" w:line="145"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 indicated.</w:t>
      </w:r>
    </w:p>
    <w:p>
      <w:pPr>
        <w:sectPr>
          <w:pgSz w:w="11900" w:h="16838" w:orient="portrait"/>
          <w:cols w:equalWidth="0" w:num="1">
            <w:col w:w="11240"/>
          </w:cols>
          <w:pgMar w:left="320" w:top="996"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9"/>
        </w:trPr>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00" w:type="dxa"/>
            <w:vAlign w:val="bottom"/>
          </w:tcPr>
          <w:p>
            <w:pPr>
              <w:spacing w:after="0"/>
              <w:rPr>
                <w:sz w:val="19"/>
                <w:szCs w:val="19"/>
                <w:color w:val="auto"/>
              </w:rPr>
            </w:pPr>
          </w:p>
        </w:tc>
        <w:tc>
          <w:tcPr>
            <w:tcW w:w="5360" w:type="dxa"/>
            <w:vAlign w:val="bottom"/>
            <w:gridSpan w:val="2"/>
          </w:tcPr>
          <w:p>
            <w:pPr>
              <w:ind w:left="2460"/>
              <w:spacing w:after="0"/>
              <w:rPr>
                <w:sz w:val="20"/>
                <w:szCs w:val="20"/>
                <w:color w:val="auto"/>
              </w:rPr>
            </w:pPr>
            <w:r>
              <w:rPr>
                <w:rFonts w:ascii="Arial" w:cs="Arial" w:eastAsia="Arial" w:hAnsi="Arial"/>
                <w:sz w:val="18"/>
                <w:szCs w:val="18"/>
                <w:b w:val="1"/>
                <w:bCs w:val="1"/>
                <w:color w:val="auto"/>
              </w:rPr>
              <w:t>Title</w:t>
            </w:r>
          </w:p>
        </w:tc>
        <w:tc>
          <w:tcPr>
            <w:tcW w:w="1980" w:type="dxa"/>
            <w:vAlign w:val="bottom"/>
          </w:tcPr>
          <w:p>
            <w:pPr>
              <w:ind w:left="820"/>
              <w:spacing w:after="0"/>
              <w:rPr>
                <w:sz w:val="20"/>
                <w:szCs w:val="20"/>
                <w:color w:val="auto"/>
              </w:rPr>
            </w:pPr>
            <w:r>
              <w:rPr>
                <w:rFonts w:ascii="Arial" w:cs="Arial" w:eastAsia="Arial" w:hAnsi="Arial"/>
                <w:sz w:val="18"/>
                <w:szCs w:val="18"/>
                <w:b w:val="1"/>
                <w:bCs w:val="1"/>
                <w:color w:val="auto"/>
              </w:rPr>
              <w:t>Date</w:t>
            </w:r>
          </w:p>
        </w:tc>
      </w:tr>
      <w:tr>
        <w:trPr>
          <w:trHeight w:val="28"/>
        </w:trPr>
        <w:tc>
          <w:tcPr>
            <w:tcW w:w="3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469"/>
        </w:trPr>
        <w:tc>
          <w:tcPr>
            <w:tcW w:w="3420" w:type="dxa"/>
            <w:vAlign w:val="bottom"/>
          </w:tcPr>
          <w:p>
            <w:pPr>
              <w:jc w:val="center"/>
              <w:spacing w:after="0"/>
              <w:rPr>
                <w:sz w:val="20"/>
                <w:szCs w:val="20"/>
                <w:color w:val="auto"/>
              </w:rPr>
            </w:pPr>
            <w:r>
              <w:rPr>
                <w:rFonts w:ascii="Arial" w:cs="Arial" w:eastAsia="Arial" w:hAnsi="Arial"/>
                <w:sz w:val="18"/>
                <w:szCs w:val="18"/>
                <w:color w:val="auto"/>
                <w:w w:val="88"/>
              </w:rPr>
              <w:t>/s/ Douglas Francis</w:t>
            </w:r>
          </w:p>
        </w:tc>
        <w:tc>
          <w:tcPr>
            <w:tcW w:w="100" w:type="dxa"/>
            <w:vAlign w:val="bottom"/>
          </w:tcPr>
          <w:p>
            <w:pPr>
              <w:spacing w:after="0"/>
              <w:rPr>
                <w:sz w:val="24"/>
                <w:szCs w:val="24"/>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Executive Chair</w:t>
            </w:r>
          </w:p>
        </w:tc>
        <w:tc>
          <w:tcPr>
            <w:tcW w:w="1980" w:type="dxa"/>
            <w:vAlign w:val="bottom"/>
          </w:tcPr>
          <w:p>
            <w:pPr>
              <w:ind w:left="20"/>
              <w:spacing w:after="0"/>
              <w:rPr>
                <w:sz w:val="20"/>
                <w:szCs w:val="20"/>
                <w:color w:val="auto"/>
              </w:rPr>
            </w:pPr>
            <w:r>
              <w:rPr>
                <w:rFonts w:ascii="Arial" w:cs="Arial" w:eastAsia="Arial" w:hAnsi="Arial"/>
                <w:sz w:val="18"/>
                <w:szCs w:val="18"/>
                <w:color w:val="auto"/>
              </w:rPr>
              <w:t>March 17, 2023</w:t>
            </w:r>
          </w:p>
        </w:tc>
      </w:tr>
      <w:tr>
        <w:trPr>
          <w:trHeight w:val="28"/>
        </w:trPr>
        <w:tc>
          <w:tcPr>
            <w:tcW w:w="3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1"/>
        </w:trPr>
        <w:tc>
          <w:tcPr>
            <w:tcW w:w="3420" w:type="dxa"/>
            <w:vAlign w:val="bottom"/>
          </w:tcPr>
          <w:p>
            <w:pPr>
              <w:jc w:val="center"/>
              <w:spacing w:after="0"/>
              <w:rPr>
                <w:sz w:val="20"/>
                <w:szCs w:val="20"/>
                <w:color w:val="auto"/>
              </w:rPr>
            </w:pPr>
            <w:r>
              <w:rPr>
                <w:rFonts w:ascii="Arial" w:cs="Arial" w:eastAsia="Arial" w:hAnsi="Arial"/>
                <w:sz w:val="18"/>
                <w:szCs w:val="18"/>
                <w:color w:val="auto"/>
                <w:w w:val="87"/>
              </w:rPr>
              <w:t>Douglas Francis</w:t>
            </w:r>
          </w:p>
        </w:tc>
        <w:tc>
          <w:tcPr>
            <w:tcW w:w="100" w:type="dxa"/>
            <w:vAlign w:val="bottom"/>
          </w:tcPr>
          <w:p>
            <w:pPr>
              <w:spacing w:after="0"/>
              <w:rPr>
                <w:sz w:val="20"/>
                <w:szCs w:val="20"/>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1980" w:type="dxa"/>
            <w:vAlign w:val="bottom"/>
          </w:tcPr>
          <w:p>
            <w:pPr>
              <w:spacing w:after="0"/>
              <w:rPr>
                <w:sz w:val="20"/>
                <w:szCs w:val="20"/>
                <w:color w:val="auto"/>
              </w:rPr>
            </w:pPr>
          </w:p>
        </w:tc>
      </w:tr>
      <w:tr>
        <w:trPr>
          <w:trHeight w:val="517"/>
        </w:trPr>
        <w:tc>
          <w:tcPr>
            <w:tcW w:w="3420" w:type="dxa"/>
            <w:vAlign w:val="bottom"/>
          </w:tcPr>
          <w:p>
            <w:pPr>
              <w:jc w:val="center"/>
              <w:spacing w:after="0"/>
              <w:rPr>
                <w:sz w:val="20"/>
                <w:szCs w:val="20"/>
                <w:color w:val="auto"/>
              </w:rPr>
            </w:pPr>
            <w:r>
              <w:rPr>
                <w:rFonts w:ascii="Arial" w:cs="Arial" w:eastAsia="Arial" w:hAnsi="Arial"/>
                <w:sz w:val="18"/>
                <w:szCs w:val="18"/>
                <w:color w:val="auto"/>
                <w:w w:val="89"/>
              </w:rPr>
              <w:t>/s/ Arden Lee</w:t>
            </w:r>
          </w:p>
        </w:tc>
        <w:tc>
          <w:tcPr>
            <w:tcW w:w="100" w:type="dxa"/>
            <w:vAlign w:val="bottom"/>
          </w:tcPr>
          <w:p>
            <w:pPr>
              <w:spacing w:after="0"/>
              <w:rPr>
                <w:sz w:val="24"/>
                <w:szCs w:val="24"/>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1980" w:type="dxa"/>
            <w:vAlign w:val="bottom"/>
          </w:tcPr>
          <w:p>
            <w:pPr>
              <w:ind w:left="20"/>
              <w:spacing w:after="0"/>
              <w:rPr>
                <w:sz w:val="20"/>
                <w:szCs w:val="20"/>
                <w:color w:val="auto"/>
              </w:rPr>
            </w:pPr>
            <w:r>
              <w:rPr>
                <w:rFonts w:ascii="Arial" w:cs="Arial" w:eastAsia="Arial" w:hAnsi="Arial"/>
                <w:sz w:val="18"/>
                <w:szCs w:val="18"/>
                <w:color w:val="auto"/>
              </w:rPr>
              <w:t>March 17, 2023</w:t>
            </w:r>
          </w:p>
        </w:tc>
      </w:tr>
      <w:tr>
        <w:trPr>
          <w:trHeight w:val="28"/>
        </w:trPr>
        <w:tc>
          <w:tcPr>
            <w:tcW w:w="3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1"/>
        </w:trPr>
        <w:tc>
          <w:tcPr>
            <w:tcW w:w="3420" w:type="dxa"/>
            <w:vAlign w:val="bottom"/>
          </w:tcPr>
          <w:p>
            <w:pPr>
              <w:jc w:val="center"/>
              <w:spacing w:after="0"/>
              <w:rPr>
                <w:sz w:val="20"/>
                <w:szCs w:val="20"/>
                <w:color w:val="auto"/>
              </w:rPr>
            </w:pPr>
            <w:r>
              <w:rPr>
                <w:rFonts w:ascii="Arial" w:cs="Arial" w:eastAsia="Arial" w:hAnsi="Arial"/>
                <w:sz w:val="18"/>
                <w:szCs w:val="18"/>
                <w:color w:val="auto"/>
                <w:w w:val="89"/>
              </w:rPr>
              <w:t>Arden Lee</w:t>
            </w:r>
          </w:p>
        </w:tc>
        <w:tc>
          <w:tcPr>
            <w:tcW w:w="100" w:type="dxa"/>
            <w:vAlign w:val="bottom"/>
          </w:tcPr>
          <w:p>
            <w:pPr>
              <w:spacing w:after="0"/>
              <w:rPr>
                <w:sz w:val="20"/>
                <w:szCs w:val="20"/>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(Principal Financial Officer and Principal Accounting Officer)</w:t>
            </w:r>
          </w:p>
        </w:tc>
        <w:tc>
          <w:tcPr>
            <w:tcW w:w="1980" w:type="dxa"/>
            <w:vAlign w:val="bottom"/>
          </w:tcPr>
          <w:p>
            <w:pPr>
              <w:spacing w:after="0"/>
              <w:rPr>
                <w:sz w:val="20"/>
                <w:szCs w:val="20"/>
                <w:color w:val="auto"/>
              </w:rPr>
            </w:pPr>
          </w:p>
        </w:tc>
      </w:tr>
      <w:tr>
        <w:trPr>
          <w:trHeight w:val="517"/>
        </w:trPr>
        <w:tc>
          <w:tcPr>
            <w:tcW w:w="3420" w:type="dxa"/>
            <w:vAlign w:val="bottom"/>
          </w:tcPr>
          <w:p>
            <w:pPr>
              <w:jc w:val="center"/>
              <w:spacing w:after="0"/>
              <w:rPr>
                <w:sz w:val="20"/>
                <w:szCs w:val="20"/>
                <w:color w:val="auto"/>
              </w:rPr>
            </w:pPr>
            <w:r>
              <w:rPr>
                <w:rFonts w:ascii="Arial" w:cs="Arial" w:eastAsia="Arial" w:hAnsi="Arial"/>
                <w:sz w:val="18"/>
                <w:szCs w:val="18"/>
                <w:color w:val="auto"/>
                <w:w w:val="92"/>
              </w:rPr>
              <w:t>/s/ Tony Aquila</w:t>
            </w:r>
          </w:p>
        </w:tc>
        <w:tc>
          <w:tcPr>
            <w:tcW w:w="100" w:type="dxa"/>
            <w:vAlign w:val="bottom"/>
          </w:tcPr>
          <w:p>
            <w:pPr>
              <w:spacing w:after="0"/>
              <w:rPr>
                <w:sz w:val="24"/>
                <w:szCs w:val="24"/>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80" w:type="dxa"/>
            <w:vAlign w:val="bottom"/>
          </w:tcPr>
          <w:p>
            <w:pPr>
              <w:ind w:left="20"/>
              <w:spacing w:after="0"/>
              <w:rPr>
                <w:sz w:val="20"/>
                <w:szCs w:val="20"/>
                <w:color w:val="auto"/>
              </w:rPr>
            </w:pPr>
            <w:r>
              <w:rPr>
                <w:rFonts w:ascii="Arial" w:cs="Arial" w:eastAsia="Arial" w:hAnsi="Arial"/>
                <w:sz w:val="18"/>
                <w:szCs w:val="18"/>
                <w:color w:val="auto"/>
              </w:rPr>
              <w:t>March 17, 2023</w:t>
            </w:r>
          </w:p>
        </w:tc>
      </w:tr>
      <w:tr>
        <w:trPr>
          <w:trHeight w:val="28"/>
        </w:trPr>
        <w:tc>
          <w:tcPr>
            <w:tcW w:w="3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1"/>
        </w:trPr>
        <w:tc>
          <w:tcPr>
            <w:tcW w:w="3420" w:type="dxa"/>
            <w:vAlign w:val="bottom"/>
          </w:tcPr>
          <w:p>
            <w:pPr>
              <w:jc w:val="center"/>
              <w:spacing w:after="0"/>
              <w:rPr>
                <w:sz w:val="20"/>
                <w:szCs w:val="20"/>
                <w:color w:val="auto"/>
              </w:rPr>
            </w:pPr>
            <w:r>
              <w:rPr>
                <w:rFonts w:ascii="Arial" w:cs="Arial" w:eastAsia="Arial" w:hAnsi="Arial"/>
                <w:sz w:val="18"/>
                <w:szCs w:val="18"/>
                <w:color w:val="auto"/>
                <w:w w:val="92"/>
              </w:rPr>
              <w:t>Tony Aquila</w:t>
            </w:r>
          </w:p>
        </w:tc>
        <w:tc>
          <w:tcPr>
            <w:tcW w:w="10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517"/>
        </w:trPr>
        <w:tc>
          <w:tcPr>
            <w:tcW w:w="3420" w:type="dxa"/>
            <w:vAlign w:val="bottom"/>
          </w:tcPr>
          <w:p>
            <w:pPr>
              <w:jc w:val="center"/>
              <w:spacing w:after="0"/>
              <w:rPr>
                <w:sz w:val="20"/>
                <w:szCs w:val="20"/>
                <w:color w:val="auto"/>
              </w:rPr>
            </w:pPr>
            <w:r>
              <w:rPr>
                <w:rFonts w:ascii="Arial" w:cs="Arial" w:eastAsia="Arial" w:hAnsi="Arial"/>
                <w:sz w:val="18"/>
                <w:szCs w:val="18"/>
                <w:color w:val="auto"/>
                <w:w w:val="91"/>
              </w:rPr>
              <w:t>/s/ Anthony Bay</w:t>
            </w:r>
          </w:p>
        </w:tc>
        <w:tc>
          <w:tcPr>
            <w:tcW w:w="100" w:type="dxa"/>
            <w:vAlign w:val="bottom"/>
          </w:tcPr>
          <w:p>
            <w:pPr>
              <w:spacing w:after="0"/>
              <w:rPr>
                <w:sz w:val="24"/>
                <w:szCs w:val="24"/>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80" w:type="dxa"/>
            <w:vAlign w:val="bottom"/>
          </w:tcPr>
          <w:p>
            <w:pPr>
              <w:ind w:left="20"/>
              <w:spacing w:after="0"/>
              <w:rPr>
                <w:sz w:val="20"/>
                <w:szCs w:val="20"/>
                <w:color w:val="auto"/>
              </w:rPr>
            </w:pPr>
            <w:r>
              <w:rPr>
                <w:rFonts w:ascii="Arial" w:cs="Arial" w:eastAsia="Arial" w:hAnsi="Arial"/>
                <w:sz w:val="18"/>
                <w:szCs w:val="18"/>
                <w:color w:val="auto"/>
              </w:rPr>
              <w:t>March 17, 2023</w:t>
            </w:r>
          </w:p>
        </w:tc>
      </w:tr>
      <w:tr>
        <w:trPr>
          <w:trHeight w:val="28"/>
        </w:trPr>
        <w:tc>
          <w:tcPr>
            <w:tcW w:w="3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1"/>
        </w:trPr>
        <w:tc>
          <w:tcPr>
            <w:tcW w:w="3420" w:type="dxa"/>
            <w:vAlign w:val="bottom"/>
          </w:tcPr>
          <w:p>
            <w:pPr>
              <w:jc w:val="center"/>
              <w:spacing w:after="0"/>
              <w:rPr>
                <w:sz w:val="20"/>
                <w:szCs w:val="20"/>
                <w:color w:val="auto"/>
              </w:rPr>
            </w:pPr>
            <w:r>
              <w:rPr>
                <w:rFonts w:ascii="Arial" w:cs="Arial" w:eastAsia="Arial" w:hAnsi="Arial"/>
                <w:sz w:val="18"/>
                <w:szCs w:val="18"/>
                <w:color w:val="auto"/>
                <w:w w:val="92"/>
              </w:rPr>
              <w:t>Anthony Bay</w:t>
            </w:r>
          </w:p>
        </w:tc>
        <w:tc>
          <w:tcPr>
            <w:tcW w:w="10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517"/>
        </w:trPr>
        <w:tc>
          <w:tcPr>
            <w:tcW w:w="3420" w:type="dxa"/>
            <w:vAlign w:val="bottom"/>
          </w:tcPr>
          <w:p>
            <w:pPr>
              <w:jc w:val="center"/>
              <w:spacing w:after="0"/>
              <w:rPr>
                <w:sz w:val="20"/>
                <w:szCs w:val="20"/>
                <w:color w:val="auto"/>
              </w:rPr>
            </w:pPr>
            <w:r>
              <w:rPr>
                <w:rFonts w:ascii="Arial" w:cs="Arial" w:eastAsia="Arial" w:hAnsi="Arial"/>
                <w:sz w:val="18"/>
                <w:szCs w:val="18"/>
                <w:color w:val="auto"/>
                <w:w w:val="86"/>
              </w:rPr>
              <w:t>/s/ Brenda Freeman</w:t>
            </w:r>
          </w:p>
        </w:tc>
        <w:tc>
          <w:tcPr>
            <w:tcW w:w="100" w:type="dxa"/>
            <w:vAlign w:val="bottom"/>
          </w:tcPr>
          <w:p>
            <w:pPr>
              <w:spacing w:after="0"/>
              <w:rPr>
                <w:sz w:val="24"/>
                <w:szCs w:val="24"/>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80" w:type="dxa"/>
            <w:vAlign w:val="bottom"/>
          </w:tcPr>
          <w:p>
            <w:pPr>
              <w:ind w:left="20"/>
              <w:spacing w:after="0"/>
              <w:rPr>
                <w:sz w:val="20"/>
                <w:szCs w:val="20"/>
                <w:color w:val="auto"/>
              </w:rPr>
            </w:pPr>
            <w:r>
              <w:rPr>
                <w:rFonts w:ascii="Arial" w:cs="Arial" w:eastAsia="Arial" w:hAnsi="Arial"/>
                <w:sz w:val="18"/>
                <w:szCs w:val="18"/>
                <w:color w:val="auto"/>
              </w:rPr>
              <w:t>March 17, 2023</w:t>
            </w:r>
          </w:p>
        </w:tc>
      </w:tr>
      <w:tr>
        <w:trPr>
          <w:trHeight w:val="28"/>
        </w:trPr>
        <w:tc>
          <w:tcPr>
            <w:tcW w:w="3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1"/>
        </w:trPr>
        <w:tc>
          <w:tcPr>
            <w:tcW w:w="3420" w:type="dxa"/>
            <w:vAlign w:val="bottom"/>
          </w:tcPr>
          <w:p>
            <w:pPr>
              <w:jc w:val="center"/>
              <w:spacing w:after="0"/>
              <w:rPr>
                <w:sz w:val="20"/>
                <w:szCs w:val="20"/>
                <w:color w:val="auto"/>
              </w:rPr>
            </w:pPr>
            <w:r>
              <w:rPr>
                <w:rFonts w:ascii="Arial" w:cs="Arial" w:eastAsia="Arial" w:hAnsi="Arial"/>
                <w:sz w:val="18"/>
                <w:szCs w:val="18"/>
                <w:color w:val="auto"/>
                <w:w w:val="87"/>
              </w:rPr>
              <w:t>Brenda Freeman</w:t>
            </w:r>
          </w:p>
        </w:tc>
        <w:tc>
          <w:tcPr>
            <w:tcW w:w="10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517"/>
        </w:trPr>
        <w:tc>
          <w:tcPr>
            <w:tcW w:w="3420" w:type="dxa"/>
            <w:vAlign w:val="bottom"/>
          </w:tcPr>
          <w:p>
            <w:pPr>
              <w:jc w:val="center"/>
              <w:spacing w:after="0"/>
              <w:rPr>
                <w:sz w:val="20"/>
                <w:szCs w:val="20"/>
                <w:color w:val="auto"/>
              </w:rPr>
            </w:pPr>
            <w:r>
              <w:rPr>
                <w:rFonts w:ascii="Arial" w:cs="Arial" w:eastAsia="Arial" w:hAnsi="Arial"/>
                <w:sz w:val="18"/>
                <w:szCs w:val="18"/>
                <w:color w:val="auto"/>
                <w:w w:val="88"/>
              </w:rPr>
              <w:t>/s/ Olga Gonzalez</w:t>
            </w:r>
          </w:p>
        </w:tc>
        <w:tc>
          <w:tcPr>
            <w:tcW w:w="100" w:type="dxa"/>
            <w:vAlign w:val="bottom"/>
          </w:tcPr>
          <w:p>
            <w:pPr>
              <w:spacing w:after="0"/>
              <w:rPr>
                <w:sz w:val="24"/>
                <w:szCs w:val="24"/>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80" w:type="dxa"/>
            <w:vAlign w:val="bottom"/>
          </w:tcPr>
          <w:p>
            <w:pPr>
              <w:ind w:left="20"/>
              <w:spacing w:after="0"/>
              <w:rPr>
                <w:sz w:val="20"/>
                <w:szCs w:val="20"/>
                <w:color w:val="auto"/>
              </w:rPr>
            </w:pPr>
            <w:r>
              <w:rPr>
                <w:rFonts w:ascii="Arial" w:cs="Arial" w:eastAsia="Arial" w:hAnsi="Arial"/>
                <w:sz w:val="18"/>
                <w:szCs w:val="18"/>
                <w:color w:val="auto"/>
              </w:rPr>
              <w:t>March 17, 2023</w:t>
            </w:r>
          </w:p>
        </w:tc>
      </w:tr>
      <w:tr>
        <w:trPr>
          <w:trHeight w:val="28"/>
        </w:trPr>
        <w:tc>
          <w:tcPr>
            <w:tcW w:w="3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1"/>
        </w:trPr>
        <w:tc>
          <w:tcPr>
            <w:tcW w:w="3420" w:type="dxa"/>
            <w:vAlign w:val="bottom"/>
          </w:tcPr>
          <w:p>
            <w:pPr>
              <w:jc w:val="center"/>
              <w:spacing w:after="0"/>
              <w:rPr>
                <w:sz w:val="20"/>
                <w:szCs w:val="20"/>
                <w:color w:val="auto"/>
              </w:rPr>
            </w:pPr>
            <w:r>
              <w:rPr>
                <w:rFonts w:ascii="Arial" w:cs="Arial" w:eastAsia="Arial" w:hAnsi="Arial"/>
                <w:sz w:val="18"/>
                <w:szCs w:val="18"/>
                <w:color w:val="auto"/>
                <w:w w:val="88"/>
              </w:rPr>
              <w:t>Olga Gonzalez</w:t>
            </w:r>
          </w:p>
        </w:tc>
        <w:tc>
          <w:tcPr>
            <w:tcW w:w="10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517"/>
        </w:trPr>
        <w:tc>
          <w:tcPr>
            <w:tcW w:w="3420" w:type="dxa"/>
            <w:vAlign w:val="bottom"/>
          </w:tcPr>
          <w:p>
            <w:pPr>
              <w:jc w:val="center"/>
              <w:spacing w:after="0"/>
              <w:rPr>
                <w:sz w:val="20"/>
                <w:szCs w:val="20"/>
                <w:color w:val="auto"/>
              </w:rPr>
            </w:pPr>
            <w:r>
              <w:rPr>
                <w:rFonts w:ascii="Arial" w:cs="Arial" w:eastAsia="Arial" w:hAnsi="Arial"/>
                <w:sz w:val="18"/>
                <w:szCs w:val="18"/>
                <w:color w:val="auto"/>
                <w:w w:val="89"/>
              </w:rPr>
              <w:t>/s/ Scott Gordon</w:t>
            </w:r>
          </w:p>
        </w:tc>
        <w:tc>
          <w:tcPr>
            <w:tcW w:w="100" w:type="dxa"/>
            <w:vAlign w:val="bottom"/>
          </w:tcPr>
          <w:p>
            <w:pPr>
              <w:spacing w:after="0"/>
              <w:rPr>
                <w:sz w:val="24"/>
                <w:szCs w:val="24"/>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80" w:type="dxa"/>
            <w:vAlign w:val="bottom"/>
          </w:tcPr>
          <w:p>
            <w:pPr>
              <w:ind w:left="20"/>
              <w:spacing w:after="0"/>
              <w:rPr>
                <w:sz w:val="20"/>
                <w:szCs w:val="20"/>
                <w:color w:val="auto"/>
              </w:rPr>
            </w:pPr>
            <w:r>
              <w:rPr>
                <w:rFonts w:ascii="Arial" w:cs="Arial" w:eastAsia="Arial" w:hAnsi="Arial"/>
                <w:sz w:val="18"/>
                <w:szCs w:val="18"/>
                <w:color w:val="auto"/>
              </w:rPr>
              <w:t>March 17, 2023</w:t>
            </w:r>
          </w:p>
        </w:tc>
      </w:tr>
      <w:tr>
        <w:trPr>
          <w:trHeight w:val="28"/>
        </w:trPr>
        <w:tc>
          <w:tcPr>
            <w:tcW w:w="3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1"/>
        </w:trPr>
        <w:tc>
          <w:tcPr>
            <w:tcW w:w="3420" w:type="dxa"/>
            <w:vAlign w:val="bottom"/>
          </w:tcPr>
          <w:p>
            <w:pPr>
              <w:jc w:val="center"/>
              <w:spacing w:after="0"/>
              <w:rPr>
                <w:sz w:val="20"/>
                <w:szCs w:val="20"/>
                <w:color w:val="auto"/>
              </w:rPr>
            </w:pPr>
            <w:r>
              <w:rPr>
                <w:rFonts w:ascii="Arial" w:cs="Arial" w:eastAsia="Arial" w:hAnsi="Arial"/>
                <w:sz w:val="18"/>
                <w:szCs w:val="18"/>
                <w:color w:val="auto"/>
                <w:w w:val="88"/>
              </w:rPr>
              <w:t>Scott Gordon</w:t>
            </w:r>
          </w:p>
        </w:tc>
        <w:tc>
          <w:tcPr>
            <w:tcW w:w="10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517"/>
        </w:trPr>
        <w:tc>
          <w:tcPr>
            <w:tcW w:w="3420" w:type="dxa"/>
            <w:vAlign w:val="bottom"/>
          </w:tcPr>
          <w:p>
            <w:pPr>
              <w:jc w:val="center"/>
              <w:spacing w:after="0"/>
              <w:rPr>
                <w:sz w:val="20"/>
                <w:szCs w:val="20"/>
                <w:color w:val="auto"/>
              </w:rPr>
            </w:pPr>
            <w:r>
              <w:rPr>
                <w:rFonts w:ascii="Arial" w:cs="Arial" w:eastAsia="Arial" w:hAnsi="Arial"/>
                <w:sz w:val="18"/>
                <w:szCs w:val="18"/>
                <w:color w:val="auto"/>
                <w:w w:val="90"/>
              </w:rPr>
              <w:t>/s/ Justin Hartfield</w:t>
            </w:r>
          </w:p>
        </w:tc>
        <w:tc>
          <w:tcPr>
            <w:tcW w:w="100" w:type="dxa"/>
            <w:vAlign w:val="bottom"/>
          </w:tcPr>
          <w:p>
            <w:pPr>
              <w:spacing w:after="0"/>
              <w:rPr>
                <w:sz w:val="24"/>
                <w:szCs w:val="24"/>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80" w:type="dxa"/>
            <w:vAlign w:val="bottom"/>
          </w:tcPr>
          <w:p>
            <w:pPr>
              <w:ind w:left="20"/>
              <w:spacing w:after="0"/>
              <w:rPr>
                <w:sz w:val="20"/>
                <w:szCs w:val="20"/>
                <w:color w:val="auto"/>
              </w:rPr>
            </w:pPr>
            <w:r>
              <w:rPr>
                <w:rFonts w:ascii="Arial" w:cs="Arial" w:eastAsia="Arial" w:hAnsi="Arial"/>
                <w:sz w:val="18"/>
                <w:szCs w:val="18"/>
                <w:color w:val="auto"/>
              </w:rPr>
              <w:t>March 17, 2023</w:t>
            </w:r>
          </w:p>
        </w:tc>
      </w:tr>
      <w:tr>
        <w:trPr>
          <w:trHeight w:val="28"/>
        </w:trPr>
        <w:tc>
          <w:tcPr>
            <w:tcW w:w="3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1"/>
        </w:trPr>
        <w:tc>
          <w:tcPr>
            <w:tcW w:w="3420" w:type="dxa"/>
            <w:vAlign w:val="bottom"/>
          </w:tcPr>
          <w:p>
            <w:pPr>
              <w:jc w:val="center"/>
              <w:spacing w:after="0"/>
              <w:rPr>
                <w:sz w:val="20"/>
                <w:szCs w:val="20"/>
                <w:color w:val="auto"/>
              </w:rPr>
            </w:pPr>
            <w:r>
              <w:rPr>
                <w:rFonts w:ascii="Arial" w:cs="Arial" w:eastAsia="Arial" w:hAnsi="Arial"/>
                <w:sz w:val="18"/>
                <w:szCs w:val="18"/>
                <w:color w:val="auto"/>
                <w:w w:val="92"/>
              </w:rPr>
              <w:t>Justin Hartfield</w:t>
            </w:r>
          </w:p>
        </w:tc>
        <w:tc>
          <w:tcPr>
            <w:tcW w:w="10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517"/>
        </w:trPr>
        <w:tc>
          <w:tcPr>
            <w:tcW w:w="3420" w:type="dxa"/>
            <w:vAlign w:val="bottom"/>
          </w:tcPr>
          <w:p>
            <w:pPr>
              <w:jc w:val="center"/>
              <w:spacing w:after="0"/>
              <w:rPr>
                <w:sz w:val="20"/>
                <w:szCs w:val="20"/>
                <w:color w:val="auto"/>
              </w:rPr>
            </w:pPr>
            <w:r>
              <w:rPr>
                <w:rFonts w:ascii="Arial" w:cs="Arial" w:eastAsia="Arial" w:hAnsi="Arial"/>
                <w:sz w:val="18"/>
                <w:szCs w:val="18"/>
                <w:color w:val="auto"/>
                <w:w w:val="87"/>
              </w:rPr>
              <w:t>/s/ Fiona Tan</w:t>
            </w:r>
          </w:p>
        </w:tc>
        <w:tc>
          <w:tcPr>
            <w:tcW w:w="100" w:type="dxa"/>
            <w:vAlign w:val="bottom"/>
          </w:tcPr>
          <w:p>
            <w:pPr>
              <w:spacing w:after="0"/>
              <w:rPr>
                <w:sz w:val="24"/>
                <w:szCs w:val="24"/>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80" w:type="dxa"/>
            <w:vAlign w:val="bottom"/>
          </w:tcPr>
          <w:p>
            <w:pPr>
              <w:ind w:left="20"/>
              <w:spacing w:after="0"/>
              <w:rPr>
                <w:sz w:val="20"/>
                <w:szCs w:val="20"/>
                <w:color w:val="auto"/>
              </w:rPr>
            </w:pPr>
            <w:r>
              <w:rPr>
                <w:rFonts w:ascii="Arial" w:cs="Arial" w:eastAsia="Arial" w:hAnsi="Arial"/>
                <w:sz w:val="18"/>
                <w:szCs w:val="18"/>
                <w:color w:val="auto"/>
              </w:rPr>
              <w:t>March 17, 2023</w:t>
            </w:r>
          </w:p>
        </w:tc>
      </w:tr>
      <w:tr>
        <w:trPr>
          <w:trHeight w:val="28"/>
        </w:trPr>
        <w:tc>
          <w:tcPr>
            <w:tcW w:w="3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1"/>
        </w:trPr>
        <w:tc>
          <w:tcPr>
            <w:tcW w:w="3420" w:type="dxa"/>
            <w:vAlign w:val="bottom"/>
          </w:tcPr>
          <w:p>
            <w:pPr>
              <w:jc w:val="center"/>
              <w:spacing w:after="0"/>
              <w:rPr>
                <w:sz w:val="20"/>
                <w:szCs w:val="20"/>
                <w:color w:val="auto"/>
              </w:rPr>
            </w:pPr>
            <w:r>
              <w:rPr>
                <w:rFonts w:ascii="Arial" w:cs="Arial" w:eastAsia="Arial" w:hAnsi="Arial"/>
                <w:sz w:val="18"/>
                <w:szCs w:val="18"/>
                <w:color w:val="auto"/>
                <w:w w:val="86"/>
              </w:rPr>
              <w:t>Fiona Tan</w:t>
            </w:r>
          </w:p>
        </w:tc>
        <w:tc>
          <w:tcPr>
            <w:tcW w:w="10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bl>
    <w:p>
      <w:pPr>
        <w:sectPr>
          <w:pgSz w:w="11900" w:h="16838" w:orient="portrait"/>
          <w:cols w:equalWidth="0" w:num="1">
            <w:col w:w="10860"/>
          </w:cols>
          <w:pgMar w:left="640" w:top="810" w:right="39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CALCULATION OF REGISTRATION FEE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S-8</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Type)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1: Newly Registered Securities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23"/>
              <w:spacing w:after="0"/>
              <w:rPr>
                <w:sz w:val="20"/>
                <w:szCs w:val="20"/>
                <w:color w:val="auto"/>
              </w:rPr>
            </w:pPr>
            <w:r>
              <w:rPr>
                <w:rFonts w:ascii="Arial" w:cs="Arial" w:eastAsia="Arial" w:hAnsi="Arial"/>
                <w:sz w:val="19"/>
                <w:szCs w:val="19"/>
                <w:b w:val="1"/>
                <w:bCs w:val="1"/>
                <w:color w:val="auto"/>
                <w:w w:val="88"/>
              </w:rPr>
              <w:t>Proposed</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9"/>
                <w:szCs w:val="19"/>
                <w:b w:val="1"/>
                <w:bCs w:val="1"/>
                <w:color w:val="auto"/>
                <w:w w:val="88"/>
              </w:rPr>
              <w:t>Proposed</w:t>
            </w:r>
          </w:p>
        </w:tc>
        <w:tc>
          <w:tcPr>
            <w:tcW w:w="160" w:type="dxa"/>
            <w:vAlign w:val="bottom"/>
          </w:tcPr>
          <w:p>
            <w:pPr>
              <w:spacing w:after="0"/>
              <w:rPr>
                <w:sz w:val="18"/>
                <w:szCs w:val="18"/>
                <w:color w:val="auto"/>
              </w:rPr>
            </w:pPr>
          </w:p>
        </w:tc>
        <w:tc>
          <w:tcPr>
            <w:tcW w:w="1220" w:type="dxa"/>
            <w:vAlign w:val="bottom"/>
            <w:vMerge w:val="restart"/>
          </w:tcPr>
          <w:p>
            <w:pPr>
              <w:jc w:val="center"/>
              <w:ind w:right="63"/>
              <w:spacing w:after="0"/>
              <w:rPr>
                <w:sz w:val="20"/>
                <w:szCs w:val="20"/>
                <w:color w:val="auto"/>
              </w:rPr>
            </w:pPr>
            <w:r>
              <w:rPr>
                <w:rFonts w:ascii="Arial" w:cs="Arial" w:eastAsia="Arial" w:hAnsi="Arial"/>
                <w:sz w:val="19"/>
                <w:szCs w:val="19"/>
                <w:b w:val="1"/>
                <w:bCs w:val="1"/>
                <w:color w:val="auto"/>
                <w:w w:val="94"/>
              </w:rPr>
              <w:t>Amount of</w:t>
            </w:r>
          </w:p>
        </w:tc>
        <w:tc>
          <w:tcPr>
            <w:tcW w:w="0" w:type="dxa"/>
            <w:vAlign w:val="bottom"/>
          </w:tcPr>
          <w:p>
            <w:pPr>
              <w:spacing w:after="0"/>
              <w:rPr>
                <w:sz w:val="1"/>
                <w:szCs w:val="1"/>
                <w:color w:val="auto"/>
              </w:rPr>
            </w:pPr>
          </w:p>
        </w:tc>
      </w:tr>
      <w:tr>
        <w:trPr>
          <w:trHeight w:val="199"/>
        </w:trPr>
        <w:tc>
          <w:tcPr>
            <w:tcW w:w="46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vMerge w:val="restart"/>
          </w:tcPr>
          <w:p>
            <w:pPr>
              <w:jc w:val="right"/>
              <w:ind w:right="23"/>
              <w:spacing w:after="0"/>
              <w:rPr>
                <w:sz w:val="20"/>
                <w:szCs w:val="20"/>
                <w:color w:val="auto"/>
              </w:rPr>
            </w:pPr>
            <w:r>
              <w:rPr>
                <w:rFonts w:ascii="Arial" w:cs="Arial" w:eastAsia="Arial" w:hAnsi="Arial"/>
                <w:sz w:val="19"/>
                <w:szCs w:val="19"/>
                <w:b w:val="1"/>
                <w:bCs w:val="1"/>
                <w:color w:val="auto"/>
              </w:rPr>
              <w:t>Amount to be</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ind w:right="43"/>
              <w:spacing w:after="0" w:line="199" w:lineRule="exact"/>
              <w:rPr>
                <w:sz w:val="20"/>
                <w:szCs w:val="20"/>
                <w:color w:val="auto"/>
              </w:rPr>
            </w:pPr>
            <w:r>
              <w:rPr>
                <w:rFonts w:ascii="Arial" w:cs="Arial" w:eastAsia="Arial" w:hAnsi="Arial"/>
                <w:sz w:val="19"/>
                <w:szCs w:val="19"/>
                <w:b w:val="1"/>
                <w:bCs w:val="1"/>
                <w:color w:val="auto"/>
                <w:w w:val="94"/>
              </w:rPr>
              <w:t>maximum</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2"/>
          </w:tcPr>
          <w:p>
            <w:pPr>
              <w:jc w:val="center"/>
              <w:ind w:right="360"/>
              <w:spacing w:after="0" w:line="199" w:lineRule="exact"/>
              <w:rPr>
                <w:sz w:val="20"/>
                <w:szCs w:val="20"/>
                <w:color w:val="auto"/>
              </w:rPr>
            </w:pPr>
            <w:r>
              <w:rPr>
                <w:rFonts w:ascii="Arial" w:cs="Arial" w:eastAsia="Arial" w:hAnsi="Arial"/>
                <w:sz w:val="19"/>
                <w:szCs w:val="19"/>
                <w:b w:val="1"/>
                <w:bCs w:val="1"/>
                <w:color w:val="auto"/>
                <w:w w:val="96"/>
              </w:rPr>
              <w:t>maximum</w:t>
            </w:r>
          </w:p>
        </w:tc>
        <w:tc>
          <w:tcPr>
            <w:tcW w:w="1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60" w:type="dxa"/>
            <w:vAlign w:val="bottom"/>
          </w:tcPr>
          <w:p>
            <w:pPr>
              <w:spacing w:after="0"/>
              <w:rPr>
                <w:sz w:val="16"/>
                <w:szCs w:val="16"/>
                <w:color w:val="auto"/>
              </w:rPr>
            </w:pPr>
          </w:p>
        </w:tc>
        <w:tc>
          <w:tcPr>
            <w:tcW w:w="4520" w:type="dxa"/>
            <w:vAlign w:val="bottom"/>
            <w:vMerge w:val="restart"/>
          </w:tcPr>
          <w:p>
            <w:pPr>
              <w:ind w:left="620"/>
              <w:spacing w:after="0"/>
              <w:rPr>
                <w:sz w:val="20"/>
                <w:szCs w:val="20"/>
                <w:color w:val="auto"/>
              </w:rPr>
            </w:pPr>
            <w:r>
              <w:rPr>
                <w:rFonts w:ascii="Arial" w:cs="Arial" w:eastAsia="Arial" w:hAnsi="Arial"/>
                <w:sz w:val="19"/>
                <w:szCs w:val="19"/>
                <w:b w:val="1"/>
                <w:bCs w:val="1"/>
                <w:color w:val="auto"/>
              </w:rPr>
              <w:t>Title of Securities to be Registered</w:t>
            </w:r>
          </w:p>
        </w:tc>
        <w:tc>
          <w:tcPr>
            <w:tcW w:w="100" w:type="dxa"/>
            <w:vAlign w:val="bottom"/>
            <w:vMerge w:val="restart"/>
          </w:tcPr>
          <w:p>
            <w:pPr>
              <w:spacing w:after="0"/>
              <w:rPr>
                <w:sz w:val="16"/>
                <w:szCs w:val="16"/>
                <w:color w:val="auto"/>
              </w:rPr>
            </w:pPr>
          </w:p>
        </w:tc>
        <w:tc>
          <w:tcPr>
            <w:tcW w:w="13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center"/>
              <w:spacing w:after="0" w:line="193" w:lineRule="exact"/>
              <w:rPr>
                <w:sz w:val="20"/>
                <w:szCs w:val="20"/>
                <w:color w:val="auto"/>
              </w:rPr>
            </w:pPr>
            <w:r>
              <w:rPr>
                <w:rFonts w:ascii="Arial" w:cs="Arial" w:eastAsia="Arial" w:hAnsi="Arial"/>
                <w:sz w:val="19"/>
                <w:szCs w:val="19"/>
                <w:b w:val="1"/>
                <w:bCs w:val="1"/>
                <w:color w:val="auto"/>
                <w:w w:val="92"/>
              </w:rPr>
              <w:t>offering price</w:t>
            </w:r>
          </w:p>
        </w:tc>
        <w:tc>
          <w:tcPr>
            <w:tcW w:w="80" w:type="dxa"/>
            <w:vAlign w:val="bottom"/>
          </w:tcPr>
          <w:p>
            <w:pPr>
              <w:spacing w:after="0"/>
              <w:rPr>
                <w:sz w:val="16"/>
                <w:szCs w:val="16"/>
                <w:color w:val="auto"/>
              </w:rPr>
            </w:pPr>
          </w:p>
        </w:tc>
        <w:tc>
          <w:tcPr>
            <w:tcW w:w="1780" w:type="dxa"/>
            <w:vAlign w:val="bottom"/>
            <w:gridSpan w:val="3"/>
          </w:tcPr>
          <w:p>
            <w:pPr>
              <w:jc w:val="center"/>
              <w:ind w:right="80"/>
              <w:spacing w:after="0" w:line="193" w:lineRule="exact"/>
              <w:rPr>
                <w:sz w:val="20"/>
                <w:szCs w:val="20"/>
                <w:color w:val="auto"/>
              </w:rPr>
            </w:pPr>
            <w:r>
              <w:rPr>
                <w:rFonts w:ascii="Arial" w:cs="Arial" w:eastAsia="Arial" w:hAnsi="Arial"/>
                <w:sz w:val="19"/>
                <w:szCs w:val="19"/>
                <w:b w:val="1"/>
                <w:bCs w:val="1"/>
                <w:color w:val="auto"/>
                <w:w w:val="89"/>
              </w:rPr>
              <w:t>aggregate offering</w:t>
            </w:r>
          </w:p>
        </w:tc>
        <w:tc>
          <w:tcPr>
            <w:tcW w:w="160" w:type="dxa"/>
            <w:vAlign w:val="bottom"/>
          </w:tcPr>
          <w:p>
            <w:pPr>
              <w:spacing w:after="0"/>
              <w:rPr>
                <w:sz w:val="16"/>
                <w:szCs w:val="16"/>
                <w:color w:val="auto"/>
              </w:rPr>
            </w:pPr>
          </w:p>
        </w:tc>
        <w:tc>
          <w:tcPr>
            <w:tcW w:w="1220" w:type="dxa"/>
            <w:vAlign w:val="bottom"/>
          </w:tcPr>
          <w:p>
            <w:pPr>
              <w:jc w:val="center"/>
              <w:ind w:right="63"/>
              <w:spacing w:after="0" w:line="193" w:lineRule="exact"/>
              <w:rPr>
                <w:sz w:val="20"/>
                <w:szCs w:val="20"/>
                <w:color w:val="auto"/>
              </w:rPr>
            </w:pPr>
            <w:r>
              <w:rPr>
                <w:rFonts w:ascii="Arial" w:cs="Arial" w:eastAsia="Arial" w:hAnsi="Arial"/>
                <w:sz w:val="19"/>
                <w:szCs w:val="19"/>
                <w:b w:val="1"/>
                <w:bCs w:val="1"/>
                <w:color w:val="auto"/>
                <w:w w:val="93"/>
              </w:rPr>
              <w:t>registration</w:t>
            </w:r>
          </w:p>
        </w:tc>
        <w:tc>
          <w:tcPr>
            <w:tcW w:w="0" w:type="dxa"/>
            <w:vAlign w:val="bottom"/>
          </w:tcPr>
          <w:p>
            <w:pPr>
              <w:spacing w:after="0"/>
              <w:rPr>
                <w:sz w:val="1"/>
                <w:szCs w:val="1"/>
                <w:color w:val="auto"/>
              </w:rPr>
            </w:pPr>
          </w:p>
        </w:tc>
      </w:tr>
      <w:tr>
        <w:trPr>
          <w:trHeight w:val="258"/>
        </w:trPr>
        <w:tc>
          <w:tcPr>
            <w:tcW w:w="460" w:type="dxa"/>
            <w:vAlign w:val="bottom"/>
            <w:tcBorders>
              <w:bottom w:val="single" w:sz="8" w:color="auto"/>
            </w:tcBorders>
          </w:tcPr>
          <w:p>
            <w:pPr>
              <w:spacing w:after="0"/>
              <w:rPr>
                <w:sz w:val="22"/>
                <w:szCs w:val="22"/>
                <w:color w:val="auto"/>
              </w:rPr>
            </w:pPr>
          </w:p>
        </w:tc>
        <w:tc>
          <w:tcPr>
            <w:tcW w:w="452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1380" w:type="dxa"/>
            <w:vAlign w:val="bottom"/>
            <w:tcBorders>
              <w:bottom w:val="single" w:sz="8" w:color="auto"/>
            </w:tcBorders>
          </w:tcPr>
          <w:p>
            <w:pPr>
              <w:jc w:val="right"/>
              <w:ind w:right="103"/>
              <w:spacing w:after="0" w:line="258" w:lineRule="exact"/>
              <w:rPr>
                <w:sz w:val="20"/>
                <w:szCs w:val="20"/>
                <w:color w:val="auto"/>
              </w:rPr>
            </w:pPr>
            <w:r>
              <w:rPr>
                <w:rFonts w:ascii="Arial" w:cs="Arial" w:eastAsia="Arial" w:hAnsi="Arial"/>
                <w:sz w:val="19"/>
                <w:szCs w:val="19"/>
                <w:b w:val="1"/>
                <w:bCs w:val="1"/>
                <w:color w:val="auto"/>
              </w:rPr>
              <w:t>registered</w:t>
            </w:r>
            <w:r>
              <w:rPr>
                <w:rFonts w:ascii="Arial" w:cs="Arial" w:eastAsia="Arial" w:hAnsi="Arial"/>
                <w:sz w:val="25"/>
                <w:szCs w:val="25"/>
                <w:b w:val="1"/>
                <w:bCs w:val="1"/>
                <w:color w:val="auto"/>
                <w:vertAlign w:val="superscript"/>
              </w:rPr>
              <w:t>(1)</w:t>
            </w:r>
          </w:p>
        </w:tc>
        <w:tc>
          <w:tcPr>
            <w:tcW w:w="3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43"/>
              <w:spacing w:after="0" w:line="258" w:lineRule="exact"/>
              <w:rPr>
                <w:sz w:val="20"/>
                <w:szCs w:val="20"/>
                <w:color w:val="auto"/>
              </w:rPr>
            </w:pPr>
            <w:r>
              <w:rPr>
                <w:rFonts w:ascii="Arial" w:cs="Arial" w:eastAsia="Arial" w:hAnsi="Arial"/>
                <w:sz w:val="19"/>
                <w:szCs w:val="19"/>
                <w:b w:val="1"/>
                <w:bCs w:val="1"/>
                <w:color w:val="auto"/>
                <w:w w:val="86"/>
              </w:rPr>
              <w:t>per share</w:t>
            </w:r>
            <w:r>
              <w:rPr>
                <w:rFonts w:ascii="Arial" w:cs="Arial" w:eastAsia="Arial" w:hAnsi="Arial"/>
                <w:sz w:val="25"/>
                <w:szCs w:val="25"/>
                <w:b w:val="1"/>
                <w:bCs w:val="1"/>
                <w:color w:val="auto"/>
                <w:w w:val="86"/>
                <w:vertAlign w:val="superscript"/>
              </w:rPr>
              <w:t>(2)</w:t>
            </w: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183"/>
              <w:spacing w:after="0" w:line="258" w:lineRule="exact"/>
              <w:rPr>
                <w:sz w:val="20"/>
                <w:szCs w:val="20"/>
                <w:color w:val="auto"/>
              </w:rPr>
            </w:pPr>
            <w:r>
              <w:rPr>
                <w:rFonts w:ascii="Arial" w:cs="Arial" w:eastAsia="Arial" w:hAnsi="Arial"/>
                <w:sz w:val="19"/>
                <w:szCs w:val="19"/>
                <w:b w:val="1"/>
                <w:bCs w:val="1"/>
                <w:color w:val="auto"/>
                <w:w w:val="88"/>
              </w:rPr>
              <w:t>price</w:t>
            </w:r>
            <w:r>
              <w:rPr>
                <w:rFonts w:ascii="Arial" w:cs="Arial" w:eastAsia="Arial" w:hAnsi="Arial"/>
                <w:sz w:val="25"/>
                <w:szCs w:val="25"/>
                <w:b w:val="1"/>
                <w:bCs w:val="1"/>
                <w:color w:val="auto"/>
                <w:w w:val="88"/>
                <w:vertAlign w:val="superscript"/>
              </w:rPr>
              <w:t>(2)</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63"/>
              <w:spacing w:after="0" w:line="258" w:lineRule="exact"/>
              <w:rPr>
                <w:sz w:val="20"/>
                <w:szCs w:val="20"/>
                <w:color w:val="auto"/>
              </w:rPr>
            </w:pPr>
            <w:r>
              <w:rPr>
                <w:rFonts w:ascii="Arial" w:cs="Arial" w:eastAsia="Arial" w:hAnsi="Arial"/>
                <w:sz w:val="19"/>
                <w:szCs w:val="19"/>
                <w:b w:val="1"/>
                <w:bCs w:val="1"/>
                <w:color w:val="auto"/>
                <w:w w:val="79"/>
              </w:rPr>
              <w:t>fee</w:t>
            </w:r>
            <w:r>
              <w:rPr>
                <w:rFonts w:ascii="Arial" w:cs="Arial" w:eastAsia="Arial" w:hAnsi="Arial"/>
                <w:sz w:val="25"/>
                <w:szCs w:val="25"/>
                <w:b w:val="1"/>
                <w:bCs w:val="1"/>
                <w:color w:val="auto"/>
                <w:w w:val="79"/>
                <w:vertAlign w:val="superscript"/>
              </w:rPr>
              <w:t>(2)</w:t>
            </w:r>
          </w:p>
        </w:tc>
        <w:tc>
          <w:tcPr>
            <w:tcW w:w="0" w:type="dxa"/>
            <w:vAlign w:val="bottom"/>
          </w:tcPr>
          <w:p>
            <w:pPr>
              <w:spacing w:after="0"/>
              <w:rPr>
                <w:sz w:val="1"/>
                <w:szCs w:val="1"/>
                <w:color w:val="auto"/>
              </w:rPr>
            </w:pPr>
          </w:p>
        </w:tc>
      </w:tr>
      <w:tr>
        <w:trPr>
          <w:trHeight w:val="179"/>
        </w:trPr>
        <w:tc>
          <w:tcPr>
            <w:tcW w:w="460" w:type="dxa"/>
            <w:vAlign w:val="bottom"/>
            <w:shd w:val="clear" w:color="auto" w:fill="CCEEFF"/>
          </w:tcPr>
          <w:p>
            <w:pPr>
              <w:ind w:left="20"/>
              <w:spacing w:after="0" w:line="179" w:lineRule="exact"/>
              <w:rPr>
                <w:sz w:val="20"/>
                <w:szCs w:val="20"/>
                <w:color w:val="auto"/>
              </w:rPr>
            </w:pPr>
            <w:r>
              <w:rPr>
                <w:rFonts w:ascii="Arial" w:cs="Arial" w:eastAsia="Arial" w:hAnsi="Arial"/>
                <w:sz w:val="19"/>
                <w:szCs w:val="19"/>
                <w:b w:val="1"/>
                <w:bCs w:val="1"/>
                <w:color w:val="auto"/>
                <w:w w:val="99"/>
              </w:rPr>
              <w:t>2021</w:t>
            </w:r>
          </w:p>
        </w:tc>
        <w:tc>
          <w:tcPr>
            <w:tcW w:w="4520" w:type="dxa"/>
            <w:vAlign w:val="bottom"/>
            <w:shd w:val="clear" w:color="auto" w:fill="CCEEFF"/>
          </w:tcPr>
          <w:p>
            <w:pPr>
              <w:spacing w:after="0" w:line="179" w:lineRule="exact"/>
              <w:rPr>
                <w:sz w:val="20"/>
                <w:szCs w:val="20"/>
                <w:color w:val="auto"/>
              </w:rPr>
            </w:pPr>
            <w:r>
              <w:rPr>
                <w:rFonts w:ascii="Arial" w:cs="Arial" w:eastAsia="Arial" w:hAnsi="Arial"/>
                <w:sz w:val="19"/>
                <w:szCs w:val="19"/>
                <w:b w:val="1"/>
                <w:bCs w:val="1"/>
                <w:color w:val="auto"/>
              </w:rPr>
              <w:t>Equity Incentive Plan</w:t>
            </w:r>
          </w:p>
        </w:tc>
        <w:tc>
          <w:tcPr>
            <w:tcW w:w="10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9"/>
                <w:szCs w:val="19"/>
                <w:color w:val="auto"/>
              </w:rPr>
              <w:t>7,377,441</w:t>
            </w:r>
          </w:p>
        </w:tc>
        <w:tc>
          <w:tcPr>
            <w:tcW w:w="32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w w:val="87"/>
              </w:rPr>
              <w:t>(3)</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9"/>
                <w:szCs w:val="19"/>
                <w:color w:val="auto"/>
                <w:w w:val="94"/>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9"/>
                <w:szCs w:val="19"/>
                <w:color w:val="auto"/>
              </w:rPr>
              <w:t>0.84</w:t>
            </w:r>
          </w:p>
        </w:tc>
        <w:tc>
          <w:tcPr>
            <w:tcW w:w="360" w:type="dxa"/>
            <w:vAlign w:val="bottom"/>
            <w:gridSpan w:val="2"/>
            <w:vMerge w:val="restart"/>
            <w:shd w:val="clear" w:color="auto" w:fill="CCEEFF"/>
          </w:tcPr>
          <w:p>
            <w:pPr>
              <w:jc w:val="right"/>
              <w:ind w:right="63"/>
              <w:spacing w:after="0"/>
              <w:rPr>
                <w:sz w:val="20"/>
                <w:szCs w:val="20"/>
                <w:color w:val="auto"/>
              </w:rPr>
            </w:pPr>
            <w:r>
              <w:rPr>
                <w:rFonts w:ascii="Arial" w:cs="Arial" w:eastAsia="Arial" w:hAnsi="Arial"/>
                <w:sz w:val="19"/>
                <w:szCs w:val="19"/>
                <w:color w:val="auto"/>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9"/>
                <w:szCs w:val="19"/>
                <w:color w:val="auto"/>
              </w:rPr>
              <w:t>6,197,050.44</w:t>
            </w:r>
          </w:p>
        </w:tc>
        <w:tc>
          <w:tcPr>
            <w:tcW w:w="8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9"/>
                <w:szCs w:val="19"/>
                <w:color w:val="auto"/>
                <w:w w:val="94"/>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9"/>
                <w:szCs w:val="19"/>
                <w:color w:val="auto"/>
              </w:rPr>
              <w:t>682.92</w:t>
            </w:r>
          </w:p>
        </w:tc>
        <w:tc>
          <w:tcPr>
            <w:tcW w:w="0" w:type="dxa"/>
            <w:vAlign w:val="bottom"/>
          </w:tcPr>
          <w:p>
            <w:pPr>
              <w:spacing w:after="0"/>
              <w:rPr>
                <w:sz w:val="1"/>
                <w:szCs w:val="1"/>
                <w:color w:val="auto"/>
              </w:rPr>
            </w:pPr>
          </w:p>
        </w:tc>
      </w:tr>
      <w:tr>
        <w:trPr>
          <w:trHeight w:val="252"/>
        </w:trPr>
        <w:tc>
          <w:tcPr>
            <w:tcW w:w="5080" w:type="dxa"/>
            <w:vAlign w:val="bottom"/>
            <w:gridSpan w:val="3"/>
            <w:shd w:val="clear" w:color="auto" w:fill="CCEEFF"/>
          </w:tcPr>
          <w:p>
            <w:pPr>
              <w:ind w:left="120"/>
              <w:spacing w:after="0"/>
              <w:rPr>
                <w:sz w:val="20"/>
                <w:szCs w:val="20"/>
                <w:color w:val="auto"/>
              </w:rPr>
            </w:pPr>
            <w:r>
              <w:rPr>
                <w:rFonts w:ascii="Arial" w:cs="Arial" w:eastAsia="Arial" w:hAnsi="Arial"/>
                <w:sz w:val="19"/>
                <w:szCs w:val="19"/>
                <w:color w:val="auto"/>
              </w:rPr>
              <w:t>(Class A Common Stock, par value $0.0001 per share)</w:t>
            </w:r>
          </w:p>
        </w:tc>
        <w:tc>
          <w:tcPr>
            <w:tcW w:w="1380" w:type="dxa"/>
            <w:vAlign w:val="bottom"/>
            <w:vMerge w:val="continue"/>
            <w:shd w:val="clear" w:color="auto" w:fill="CCEEFF"/>
          </w:tcPr>
          <w:p>
            <w:pPr>
              <w:spacing w:after="0"/>
              <w:rPr>
                <w:sz w:val="21"/>
                <w:szCs w:val="21"/>
                <w:color w:val="auto"/>
              </w:rPr>
            </w:pPr>
          </w:p>
        </w:tc>
        <w:tc>
          <w:tcPr>
            <w:tcW w:w="320" w:type="dxa"/>
            <w:vAlign w:val="bottom"/>
            <w:vMerge w:val="continue"/>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360" w:type="dxa"/>
            <w:vAlign w:val="bottom"/>
            <w:gridSpan w:val="2"/>
            <w:vMerge w:val="continue"/>
            <w:shd w:val="clear" w:color="auto" w:fill="CCEEFF"/>
          </w:tcPr>
          <w:p>
            <w:pPr>
              <w:spacing w:after="0"/>
              <w:rPr>
                <w:sz w:val="21"/>
                <w:szCs w:val="21"/>
                <w:color w:val="auto"/>
              </w:rPr>
            </w:pPr>
          </w:p>
        </w:tc>
        <w:tc>
          <w:tcPr>
            <w:tcW w:w="14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60" w:type="dxa"/>
            <w:vAlign w:val="bottom"/>
          </w:tcPr>
          <w:p>
            <w:pPr>
              <w:ind w:left="20"/>
              <w:spacing w:after="0" w:line="185" w:lineRule="exact"/>
              <w:rPr>
                <w:sz w:val="20"/>
                <w:szCs w:val="20"/>
                <w:color w:val="auto"/>
              </w:rPr>
            </w:pPr>
            <w:r>
              <w:rPr>
                <w:rFonts w:ascii="Arial" w:cs="Arial" w:eastAsia="Arial" w:hAnsi="Arial"/>
                <w:sz w:val="19"/>
                <w:szCs w:val="19"/>
                <w:b w:val="1"/>
                <w:bCs w:val="1"/>
                <w:color w:val="auto"/>
                <w:w w:val="99"/>
              </w:rPr>
              <w:t>2021</w:t>
            </w:r>
          </w:p>
        </w:tc>
        <w:tc>
          <w:tcPr>
            <w:tcW w:w="4620" w:type="dxa"/>
            <w:vAlign w:val="bottom"/>
            <w:gridSpan w:val="2"/>
          </w:tcPr>
          <w:p>
            <w:pPr>
              <w:spacing w:after="0" w:line="185" w:lineRule="exact"/>
              <w:rPr>
                <w:sz w:val="20"/>
                <w:szCs w:val="20"/>
                <w:color w:val="auto"/>
              </w:rPr>
            </w:pPr>
            <w:r>
              <w:rPr>
                <w:rFonts w:ascii="Arial" w:cs="Arial" w:eastAsia="Arial" w:hAnsi="Arial"/>
                <w:sz w:val="19"/>
                <w:szCs w:val="19"/>
                <w:b w:val="1"/>
                <w:bCs w:val="1"/>
                <w:color w:val="auto"/>
              </w:rPr>
              <w:t>Employee Stock Purchase Plan</w:t>
            </w:r>
          </w:p>
        </w:tc>
        <w:tc>
          <w:tcPr>
            <w:tcW w:w="1380" w:type="dxa"/>
            <w:vAlign w:val="bottom"/>
            <w:vMerge w:val="restart"/>
          </w:tcPr>
          <w:p>
            <w:pPr>
              <w:jc w:val="right"/>
              <w:spacing w:after="0"/>
              <w:rPr>
                <w:sz w:val="20"/>
                <w:szCs w:val="20"/>
                <w:color w:val="auto"/>
              </w:rPr>
            </w:pPr>
            <w:r>
              <w:rPr>
                <w:rFonts w:ascii="Arial" w:cs="Arial" w:eastAsia="Arial" w:hAnsi="Arial"/>
                <w:sz w:val="19"/>
                <w:szCs w:val="19"/>
                <w:color w:val="auto"/>
              </w:rPr>
              <w:t>1,475,488</w:t>
            </w:r>
          </w:p>
        </w:tc>
        <w:tc>
          <w:tcPr>
            <w:tcW w:w="320" w:type="dxa"/>
            <w:vAlign w:val="bottom"/>
            <w:vMerge w:val="restart"/>
          </w:tcPr>
          <w:p>
            <w:pPr>
              <w:jc w:val="right"/>
              <w:ind w:right="97"/>
              <w:spacing w:after="0"/>
              <w:rPr>
                <w:sz w:val="20"/>
                <w:szCs w:val="20"/>
                <w:color w:val="auto"/>
              </w:rPr>
            </w:pPr>
            <w:r>
              <w:rPr>
                <w:rFonts w:ascii="Arial" w:cs="Arial" w:eastAsia="Arial" w:hAnsi="Arial"/>
                <w:sz w:val="13"/>
                <w:szCs w:val="13"/>
                <w:color w:val="auto"/>
                <w:w w:val="87"/>
              </w:rPr>
              <w:t>(4)</w:t>
            </w:r>
          </w:p>
        </w:tc>
        <w:tc>
          <w:tcPr>
            <w:tcW w:w="120" w:type="dxa"/>
            <w:vAlign w:val="bottom"/>
            <w:vMerge w:val="restart"/>
          </w:tcPr>
          <w:p>
            <w:pPr>
              <w:jc w:val="right"/>
              <w:spacing w:after="0"/>
              <w:rPr>
                <w:sz w:val="20"/>
                <w:szCs w:val="20"/>
                <w:color w:val="auto"/>
              </w:rPr>
            </w:pPr>
            <w:r>
              <w:rPr>
                <w:rFonts w:ascii="Arial" w:cs="Arial" w:eastAsia="Arial" w:hAnsi="Arial"/>
                <w:sz w:val="19"/>
                <w:szCs w:val="19"/>
                <w:color w:val="auto"/>
                <w:w w:val="94"/>
              </w:rPr>
              <w:t>$</w:t>
            </w:r>
          </w:p>
        </w:tc>
        <w:tc>
          <w:tcPr>
            <w:tcW w:w="1100" w:type="dxa"/>
            <w:vAlign w:val="bottom"/>
            <w:vMerge w:val="restart"/>
          </w:tcPr>
          <w:p>
            <w:pPr>
              <w:jc w:val="right"/>
              <w:spacing w:after="0"/>
              <w:rPr>
                <w:sz w:val="20"/>
                <w:szCs w:val="20"/>
                <w:color w:val="auto"/>
              </w:rPr>
            </w:pPr>
            <w:r>
              <w:rPr>
                <w:rFonts w:ascii="Arial" w:cs="Arial" w:eastAsia="Arial" w:hAnsi="Arial"/>
                <w:sz w:val="19"/>
                <w:szCs w:val="19"/>
                <w:color w:val="auto"/>
              </w:rPr>
              <w:t>0.72</w:t>
            </w:r>
          </w:p>
        </w:tc>
        <w:tc>
          <w:tcPr>
            <w:tcW w:w="360" w:type="dxa"/>
            <w:vAlign w:val="bottom"/>
            <w:gridSpan w:val="2"/>
            <w:vMerge w:val="restart"/>
          </w:tcPr>
          <w:p>
            <w:pPr>
              <w:jc w:val="right"/>
              <w:ind w:right="63"/>
              <w:spacing w:after="0"/>
              <w:rPr>
                <w:sz w:val="20"/>
                <w:szCs w:val="20"/>
                <w:color w:val="auto"/>
              </w:rPr>
            </w:pPr>
            <w:r>
              <w:rPr>
                <w:rFonts w:ascii="Arial" w:cs="Arial" w:eastAsia="Arial" w:hAnsi="Arial"/>
                <w:sz w:val="19"/>
                <w:szCs w:val="19"/>
                <w:color w:val="auto"/>
              </w:rPr>
              <w:t>$</w:t>
            </w:r>
          </w:p>
        </w:tc>
        <w:tc>
          <w:tcPr>
            <w:tcW w:w="1420" w:type="dxa"/>
            <w:vAlign w:val="bottom"/>
            <w:vMerge w:val="restart"/>
          </w:tcPr>
          <w:p>
            <w:pPr>
              <w:jc w:val="right"/>
              <w:spacing w:after="0"/>
              <w:rPr>
                <w:sz w:val="20"/>
                <w:szCs w:val="20"/>
                <w:color w:val="auto"/>
              </w:rPr>
            </w:pPr>
            <w:r>
              <w:rPr>
                <w:rFonts w:ascii="Arial" w:cs="Arial" w:eastAsia="Arial" w:hAnsi="Arial"/>
                <w:sz w:val="19"/>
                <w:szCs w:val="19"/>
                <w:color w:val="auto"/>
              </w:rPr>
              <w:t>1,062,351.36</w:t>
            </w:r>
          </w:p>
        </w:tc>
        <w:tc>
          <w:tcPr>
            <w:tcW w:w="8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9"/>
                <w:szCs w:val="19"/>
                <w:color w:val="auto"/>
                <w:w w:val="94"/>
              </w:rPr>
              <w:t>$</w:t>
            </w:r>
          </w:p>
        </w:tc>
        <w:tc>
          <w:tcPr>
            <w:tcW w:w="1220" w:type="dxa"/>
            <w:vAlign w:val="bottom"/>
            <w:vMerge w:val="restart"/>
          </w:tcPr>
          <w:p>
            <w:pPr>
              <w:jc w:val="right"/>
              <w:spacing w:after="0"/>
              <w:rPr>
                <w:sz w:val="20"/>
                <w:szCs w:val="20"/>
                <w:color w:val="auto"/>
              </w:rPr>
            </w:pPr>
            <w:r>
              <w:rPr>
                <w:rFonts w:ascii="Arial" w:cs="Arial" w:eastAsia="Arial" w:hAnsi="Arial"/>
                <w:sz w:val="19"/>
                <w:szCs w:val="19"/>
                <w:color w:val="auto"/>
              </w:rPr>
              <w:t>117.08</w:t>
            </w:r>
          </w:p>
        </w:tc>
        <w:tc>
          <w:tcPr>
            <w:tcW w:w="0" w:type="dxa"/>
            <w:vAlign w:val="bottom"/>
          </w:tcPr>
          <w:p>
            <w:pPr>
              <w:spacing w:after="0"/>
              <w:rPr>
                <w:sz w:val="1"/>
                <w:szCs w:val="1"/>
                <w:color w:val="auto"/>
              </w:rPr>
            </w:pPr>
          </w:p>
        </w:tc>
      </w:tr>
      <w:tr>
        <w:trPr>
          <w:trHeight w:val="249"/>
        </w:trPr>
        <w:tc>
          <w:tcPr>
            <w:tcW w:w="5080" w:type="dxa"/>
            <w:vAlign w:val="bottom"/>
            <w:tcBorders>
              <w:bottom w:val="single" w:sz="8" w:color="CCEEFF"/>
            </w:tcBorders>
            <w:gridSpan w:val="3"/>
          </w:tcPr>
          <w:p>
            <w:pPr>
              <w:ind w:left="120"/>
              <w:spacing w:after="0"/>
              <w:rPr>
                <w:sz w:val="20"/>
                <w:szCs w:val="20"/>
                <w:color w:val="auto"/>
              </w:rPr>
            </w:pPr>
            <w:r>
              <w:rPr>
                <w:rFonts w:ascii="Arial" w:cs="Arial" w:eastAsia="Arial" w:hAnsi="Arial"/>
                <w:sz w:val="19"/>
                <w:szCs w:val="19"/>
                <w:color w:val="auto"/>
              </w:rPr>
              <w:t>(Class A Common Stock, par value $0.0001 per share)</w:t>
            </w:r>
          </w:p>
        </w:tc>
        <w:tc>
          <w:tcPr>
            <w:tcW w:w="138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CCEEFF"/>
            </w:tcBorders>
            <w:vMerge w:val="continue"/>
          </w:tcPr>
          <w:p>
            <w:pPr>
              <w:spacing w:after="0"/>
              <w:rPr>
                <w:sz w:val="21"/>
                <w:szCs w:val="21"/>
                <w:color w:val="auto"/>
              </w:rPr>
            </w:pPr>
          </w:p>
        </w:tc>
        <w:tc>
          <w:tcPr>
            <w:tcW w:w="120" w:type="dxa"/>
            <w:vAlign w:val="bottom"/>
            <w:tcBorders>
              <w:bottom w:val="single" w:sz="8" w:color="CCEEFF"/>
            </w:tcBorders>
            <w:vMerge w:val="continue"/>
          </w:tcPr>
          <w:p>
            <w:pPr>
              <w:spacing w:after="0"/>
              <w:rPr>
                <w:sz w:val="21"/>
                <w:szCs w:val="21"/>
                <w:color w:val="auto"/>
              </w:rPr>
            </w:pPr>
          </w:p>
        </w:tc>
        <w:tc>
          <w:tcPr>
            <w:tcW w:w="1100" w:type="dxa"/>
            <w:vAlign w:val="bottom"/>
            <w:tcBorders>
              <w:bottom w:val="single" w:sz="8" w:color="CCEEFF"/>
            </w:tcBorders>
            <w:vMerge w:val="continue"/>
          </w:tcPr>
          <w:p>
            <w:pPr>
              <w:spacing w:after="0"/>
              <w:rPr>
                <w:sz w:val="21"/>
                <w:szCs w:val="21"/>
                <w:color w:val="auto"/>
              </w:rPr>
            </w:pPr>
          </w:p>
        </w:tc>
        <w:tc>
          <w:tcPr>
            <w:tcW w:w="360" w:type="dxa"/>
            <w:vAlign w:val="bottom"/>
            <w:tcBorders>
              <w:bottom w:val="single" w:sz="8" w:color="auto"/>
            </w:tcBorders>
            <w:gridSpan w:val="2"/>
            <w:vMerge w:val="continue"/>
          </w:tcPr>
          <w:p>
            <w:pPr>
              <w:spacing w:after="0"/>
              <w:rPr>
                <w:sz w:val="21"/>
                <w:szCs w:val="21"/>
                <w:color w:val="auto"/>
              </w:rPr>
            </w:pPr>
          </w:p>
        </w:tc>
        <w:tc>
          <w:tcPr>
            <w:tcW w:w="142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9"/>
                <w:szCs w:val="19"/>
                <w:b w:val="1"/>
                <w:bCs w:val="1"/>
                <w:color w:val="auto"/>
                <w:w w:val="92"/>
              </w:rPr>
              <w:t>Total</w:t>
            </w:r>
          </w:p>
        </w:tc>
        <w:tc>
          <w:tcPr>
            <w:tcW w:w="4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8,852,929</w:t>
            </w:r>
          </w:p>
        </w:tc>
        <w:tc>
          <w:tcPr>
            <w:tcW w:w="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gridSpan w:val="2"/>
            <w:shd w:val="clear" w:color="auto" w:fill="CCEEFF"/>
          </w:tcPr>
          <w:p>
            <w:pPr>
              <w:jc w:val="right"/>
              <w:ind w:right="63"/>
              <w:spacing w:after="0"/>
              <w:rPr>
                <w:sz w:val="20"/>
                <w:szCs w:val="20"/>
                <w:color w:val="auto"/>
              </w:rPr>
            </w:pPr>
            <w:r>
              <w:rPr>
                <w:rFonts w:ascii="Arial" w:cs="Arial" w:eastAsia="Arial" w:hAnsi="Arial"/>
                <w:sz w:val="19"/>
                <w:szCs w:val="19"/>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7,259,401.80</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9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800.00</w:t>
            </w:r>
          </w:p>
        </w:tc>
        <w:tc>
          <w:tcPr>
            <w:tcW w:w="0" w:type="dxa"/>
            <w:vAlign w:val="bottom"/>
          </w:tcPr>
          <w:p>
            <w:pPr>
              <w:spacing w:after="0"/>
              <w:rPr>
                <w:sz w:val="1"/>
                <w:szCs w:val="1"/>
                <w:color w:val="auto"/>
              </w:rPr>
            </w:pPr>
          </w:p>
        </w:tc>
      </w:tr>
      <w:tr>
        <w:trPr>
          <w:trHeight w:val="20"/>
        </w:trPr>
        <w:tc>
          <w:tcPr>
            <w:tcW w:w="46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both"/>
        <w:ind w:left="640" w:hanging="316"/>
        <w:spacing w:after="0" w:line="318" w:lineRule="auto"/>
        <w:tabs>
          <w:tab w:leader="none" w:pos="634" w:val="left"/>
        </w:tabs>
        <w:numPr>
          <w:ilvl w:val="0"/>
          <w:numId w:val="8"/>
        </w:numPr>
        <w:rPr>
          <w:rFonts w:ascii="Arial" w:cs="Arial" w:eastAsia="Arial" w:hAnsi="Arial"/>
          <w:sz w:val="15"/>
          <w:szCs w:val="15"/>
          <w:color w:val="auto"/>
        </w:rPr>
      </w:pPr>
      <w:r>
        <w:rPr>
          <w:rFonts w:ascii="Arial" w:cs="Arial" w:eastAsia="Arial" w:hAnsi="Arial"/>
          <w:sz w:val="15"/>
          <w:szCs w:val="15"/>
          <w:color w:val="auto"/>
        </w:rPr>
        <w:t>Pursuant to Rule 416(a) under the Securities Act of 1933, as amended (the “Securities Act”), this registration statement also covers an indeterminate number of additional shares that may be issued to adjust the number of shares issued pursuant to the plans described herein in the event of a stock dividend, stock split, reverse stock split, extraordinary dividend, extraordinary distribution, recapitalization, reorganization, merger, combination, consolidation, split-up, spin-off, combination, exchange of shares, rights offering, separation, reorganization, liquidation or similar event.</w:t>
      </w:r>
    </w:p>
    <w:p>
      <w:pPr>
        <w:spacing w:after="0" w:line="145" w:lineRule="exact"/>
        <w:rPr>
          <w:rFonts w:ascii="Arial" w:cs="Arial" w:eastAsia="Arial" w:hAnsi="Arial"/>
          <w:sz w:val="15"/>
          <w:szCs w:val="15"/>
          <w:color w:val="auto"/>
        </w:rPr>
      </w:pPr>
    </w:p>
    <w:p>
      <w:pPr>
        <w:jc w:val="both"/>
        <w:ind w:left="640" w:hanging="316"/>
        <w:spacing w:after="0" w:line="255" w:lineRule="auto"/>
        <w:tabs>
          <w:tab w:leader="none" w:pos="634"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Estimated pursuant to Rules 457(c) and 457(h) under the Securities Act, solely for the purposes of calculating the registration fee and based on the average of the high and low prices of the registrant’s Class A Common Stock as reported on the Nasdaq Global Select Market on March 10, 2023, which date is within five business days prior to the filing of this registration statement.</w:t>
      </w:r>
    </w:p>
    <w:p>
      <w:pPr>
        <w:spacing w:after="0" w:line="188" w:lineRule="exact"/>
        <w:rPr>
          <w:rFonts w:ascii="Arial" w:cs="Arial" w:eastAsia="Arial" w:hAnsi="Arial"/>
          <w:sz w:val="18"/>
          <w:szCs w:val="18"/>
          <w:color w:val="auto"/>
        </w:rPr>
      </w:pPr>
    </w:p>
    <w:p>
      <w:pPr>
        <w:ind w:left="640" w:hanging="316"/>
        <w:spacing w:after="0" w:line="264" w:lineRule="auto"/>
        <w:tabs>
          <w:tab w:leader="none" w:pos="634"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shares of Class A Common Stock that were added to the shares authorized for issuance under the WM Technology, Inc. 2021 Equity Incentive Plan (the “2021 EIP”) on January 1, 2023, pursuant to an “evergreen” provision contained in the 2021 EIP.</w:t>
      </w:r>
    </w:p>
    <w:p>
      <w:pPr>
        <w:spacing w:after="0" w:line="180" w:lineRule="exact"/>
        <w:rPr>
          <w:rFonts w:ascii="Arial" w:cs="Arial" w:eastAsia="Arial" w:hAnsi="Arial"/>
          <w:sz w:val="18"/>
          <w:szCs w:val="18"/>
          <w:color w:val="auto"/>
        </w:rPr>
      </w:pPr>
    </w:p>
    <w:p>
      <w:pPr>
        <w:ind w:left="640" w:hanging="316"/>
        <w:spacing w:after="0" w:line="294" w:lineRule="auto"/>
        <w:tabs>
          <w:tab w:leader="none" w:pos="634"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shares of Class A Common Stock that were added to the shares authorized for issuance under the WM Technology, Inc. 2021 Employee Stock Purchase Plan (the “2021 ESPP”) on January 1, 2023, pursuant to an “evergreen” provision contained in the 2021 ESPP.</w:t>
      </w:r>
    </w:p>
    <w:p>
      <w:pPr>
        <w:sectPr>
          <w:pgSz w:w="11900" w:h="16838" w:orient="portrait"/>
          <w:cols w:equalWidth="0" w:num="1">
            <w:col w:w="11240"/>
          </w:cols>
          <w:pgMar w:left="320" w:top="121" w:right="339" w:bottom="1440" w:gutter="0" w:footer="0" w:header="0"/>
        </w:sectPr>
      </w:pPr>
    </w:p>
    <w:bookmarkStart w:id="9" w:name="page10"/>
    <w:bookmarkEnd w:id="9"/>
    <w:p>
      <w:pPr>
        <w:ind w:left="10260"/>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84455</wp:posOffset>
            </wp:positionV>
            <wp:extent cx="967740" cy="3194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extLst>
                    </a:blip>
                    <a:srcRect/>
                    <a:stretch>
                      <a:fillRect/>
                    </a:stretch>
                  </pic:blipFill>
                  <pic:spPr bwMode="auto">
                    <a:xfrm>
                      <a:off x="0" y="0"/>
                      <a:ext cx="967740" cy="319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Peter Byrne</w:t>
      </w:r>
    </w:p>
    <w:p>
      <w:pPr>
        <w:spacing w:after="0" w:line="5" w:lineRule="exact"/>
        <w:rPr>
          <w:sz w:val="20"/>
          <w:szCs w:val="20"/>
          <w:color w:val="auto"/>
        </w:rPr>
      </w:pPr>
    </w:p>
    <w:p>
      <w:pPr>
        <w:ind w:right="9640" w:firstLine="6"/>
        <w:spacing w:after="0" w:line="264" w:lineRule="auto"/>
        <w:tabs>
          <w:tab w:leader="none" w:pos="186" w:val="left"/>
        </w:tabs>
        <w:numPr>
          <w:ilvl w:val="0"/>
          <w:numId w:val="9"/>
        </w:numPr>
        <w:rPr>
          <w:rFonts w:ascii="Arial" w:cs="Arial" w:eastAsia="Arial" w:hAnsi="Arial"/>
          <w:sz w:val="17"/>
          <w:szCs w:val="17"/>
          <w:color w:val="auto"/>
        </w:rPr>
      </w:pPr>
      <w:r>
        <w:rPr>
          <w:rFonts w:ascii="Arial" w:cs="Arial" w:eastAsia="Arial" w:hAnsi="Arial"/>
          <w:sz w:val="17"/>
          <w:szCs w:val="17"/>
          <w:color w:val="auto"/>
        </w:rPr>
        <w:t>+1 415-693-2177 pbyrne@cooley.com</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March 17, 2023</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WM Technology, Inc.</w:t>
      </w:r>
    </w:p>
    <w:p>
      <w:pPr>
        <w:spacing w:after="0" w:line="230" w:lineRule="auto"/>
        <w:rPr>
          <w:sz w:val="20"/>
          <w:szCs w:val="20"/>
          <w:color w:val="auto"/>
        </w:rPr>
      </w:pPr>
      <w:r>
        <w:rPr>
          <w:rFonts w:ascii="Arial" w:cs="Arial" w:eastAsia="Arial" w:hAnsi="Arial"/>
          <w:sz w:val="18"/>
          <w:szCs w:val="18"/>
          <w:color w:val="auto"/>
        </w:rPr>
        <w:t>41 Discovery</w:t>
      </w:r>
    </w:p>
    <w:p>
      <w:pPr>
        <w:spacing w:after="0"/>
        <w:rPr>
          <w:sz w:val="20"/>
          <w:szCs w:val="20"/>
          <w:color w:val="auto"/>
        </w:rPr>
      </w:pPr>
      <w:r>
        <w:rPr>
          <w:rFonts w:ascii="Arial" w:cs="Arial" w:eastAsia="Arial" w:hAnsi="Arial"/>
          <w:sz w:val="18"/>
          <w:szCs w:val="18"/>
          <w:color w:val="auto"/>
        </w:rPr>
        <w:t>Irvine, California 92618</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Registration on Form S-8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0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have acted as counsel to WM Technology,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filing of a Registration Statement on Form S-8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covering the</w:t>
      </w:r>
    </w:p>
    <w:p>
      <w:pPr>
        <w:jc w:val="both"/>
        <w:spacing w:after="0" w:line="222" w:lineRule="auto"/>
        <w:rPr>
          <w:sz w:val="20"/>
          <w:szCs w:val="20"/>
          <w:color w:val="auto"/>
        </w:rPr>
      </w:pPr>
      <w:r>
        <w:rPr>
          <w:rFonts w:ascii="Arial" w:cs="Arial" w:eastAsia="Arial" w:hAnsi="Arial"/>
          <w:sz w:val="18"/>
          <w:szCs w:val="18"/>
          <w:color w:val="auto"/>
        </w:rPr>
        <w:t>offering of up to 8,852,929 shares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the Company’s Class A common stock, par value $0.0001 per share (the “</w:t>
      </w:r>
      <w:r>
        <w:rPr>
          <w:rFonts w:ascii="Arial" w:cs="Arial" w:eastAsia="Arial" w:hAnsi="Arial"/>
          <w:sz w:val="18"/>
          <w:szCs w:val="18"/>
          <w:b w:val="1"/>
          <w:bCs w:val="1"/>
          <w:i w:val="1"/>
          <w:iCs w:val="1"/>
          <w:color w:val="auto"/>
        </w:rPr>
        <w:t>Class A</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consisting of (i) 7,377,441 shares of Class A Common Stock issuable pursuant to the Company’s 2021 Equity Incentive</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Plan. (the “</w:t>
      </w:r>
      <w:r>
        <w:rPr>
          <w:rFonts w:ascii="Arial" w:cs="Arial" w:eastAsia="Arial" w:hAnsi="Arial"/>
          <w:sz w:val="18"/>
          <w:szCs w:val="18"/>
          <w:b w:val="1"/>
          <w:bCs w:val="1"/>
          <w:i w:val="1"/>
          <w:iCs w:val="1"/>
          <w:color w:val="auto"/>
        </w:rPr>
        <w:t>2021 Plan</w:t>
      </w:r>
      <w:r>
        <w:rPr>
          <w:rFonts w:ascii="Arial" w:cs="Arial" w:eastAsia="Arial" w:hAnsi="Arial"/>
          <w:sz w:val="18"/>
          <w:szCs w:val="18"/>
          <w:color w:val="auto"/>
        </w:rPr>
        <w:t>”) and (ii) 1,475,488 shares of Class A Common Stock issuable pursuant to the Company’s 2021 Employee Stock Purchase Plan (together with the 2021 Plan, the “</w:t>
      </w:r>
      <w:r>
        <w:rPr>
          <w:rFonts w:ascii="Arial" w:cs="Arial" w:eastAsia="Arial" w:hAnsi="Arial"/>
          <w:sz w:val="18"/>
          <w:szCs w:val="18"/>
          <w:b w:val="1"/>
          <w:bCs w:val="1"/>
          <w:i w:val="1"/>
          <w:iCs w:val="1"/>
          <w:color w:val="auto"/>
        </w:rPr>
        <w:t>Plans</w:t>
      </w:r>
      <w:r>
        <w:rPr>
          <w:rFonts w:ascii="Arial" w:cs="Arial" w:eastAsia="Arial" w:hAnsi="Arial"/>
          <w:sz w:val="18"/>
          <w:szCs w:val="18"/>
          <w:color w:val="auto"/>
        </w:rPr>
        <w:t>”).</w:t>
      </w:r>
    </w:p>
    <w:p>
      <w:pPr>
        <w:spacing w:after="0" w:line="225"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In connection with this opinion, we have examined and relied upon (a) the Registration Statement and related prospectuses, (b) the Company’s certificate of incorporation and bylaws, each as currently in effect, (c) the Plans, and (d) originals or copies certified to our satisfaction of such records, documents, certificates, memoranda and other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We note that the Company was initially incorporated under the laws of the Cayman Islands and was domesticated (the “</w:t>
      </w:r>
      <w:r>
        <w:rPr>
          <w:rFonts w:ascii="Arial" w:cs="Arial" w:eastAsia="Arial" w:hAnsi="Arial"/>
          <w:sz w:val="17"/>
          <w:szCs w:val="17"/>
          <w:b w:val="1"/>
          <w:bCs w:val="1"/>
          <w:i w:val="1"/>
          <w:iCs w:val="1"/>
          <w:color w:val="auto"/>
        </w:rPr>
        <w:t>Domestication</w:t>
      </w:r>
      <w:r>
        <w:rPr>
          <w:rFonts w:ascii="Arial" w:cs="Arial" w:eastAsia="Arial" w:hAnsi="Arial"/>
          <w:sz w:val="17"/>
          <w:szCs w:val="17"/>
          <w:color w:val="auto"/>
        </w:rPr>
        <w:t>”) as a</w:t>
      </w:r>
    </w:p>
    <w:p>
      <w:pPr>
        <w:spacing w:after="0" w:line="25"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corporation in the State of Delaware in accordance with Section 388 of the General Corporation Law of the State of Delaware (the “</w:t>
      </w:r>
      <w:r>
        <w:rPr>
          <w:rFonts w:ascii="Arial" w:cs="Arial" w:eastAsia="Arial" w:hAnsi="Arial"/>
          <w:sz w:val="17"/>
          <w:szCs w:val="17"/>
          <w:b w:val="1"/>
          <w:bCs w:val="1"/>
          <w:i w:val="1"/>
          <w:iCs w:val="1"/>
          <w:color w:val="auto"/>
        </w:rPr>
        <w:t>DGCL</w:t>
      </w:r>
      <w:r>
        <w:rPr>
          <w:rFonts w:ascii="Arial" w:cs="Arial" w:eastAsia="Arial" w:hAnsi="Arial"/>
          <w:sz w:val="17"/>
          <w:szCs w:val="17"/>
          <w:color w:val="auto"/>
        </w:rPr>
        <w:t>”). We have assumed all matters determinable under the laws of the Cayman Islands, including without limitation that the approval of the Plans by the</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board and shareholders of the Company as a Cayman Islands exempted company prior to the Domestication was done in accordance with the applicable governing documents of the Company and the laws of the Cayman Islands.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Our opinion is expressed only with respect to the DGCL. We express no opinion to the extent that any other laws are applicable to the subject matter hereof and express no opinion and provide no assurance as to compliance with any federal or state securities law, rule or regulation.</w:t>
      </w:r>
    </w:p>
    <w:p>
      <w:pPr>
        <w:spacing w:after="0" w:line="20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On the basis of the foregoing, and in reliance thereon, we are of the opinion that the Shares, when sold and issued in accordance with the Plans, the Registration Statement and related prospectuses, will be validly issued, fully paid, and nonassessable (except as to shares issued pursuant to deferred payment arrangements, which will be fully paid and nonassessable when such deferred payments are made in full).</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COOLEY LLP 3 EMBARCADERO CTR, 20TH FLOOR SAN FRANCISCO, CALIFORNIA 94111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 (415) 693-2000 F: (415) 693-2222 COOLEY.COM</w:t>
      </w:r>
    </w:p>
    <w:p>
      <w:pPr>
        <w:sectPr>
          <w:pgSz w:w="11900" w:h="16838" w:orient="portrait"/>
          <w:cols w:equalWidth="0" w:num="1">
            <w:col w:w="11240"/>
          </w:cols>
          <w:pgMar w:left="320" w:top="118" w:right="339" w:bottom="1440" w:gutter="0" w:footer="0" w:header="0"/>
        </w:sectPr>
      </w:pPr>
    </w:p>
    <w:bookmarkStart w:id="10" w:name="page11"/>
    <w:bookmarkEnd w:id="10"/>
    <w:p>
      <w:pPr>
        <w:spacing w:after="0" w:line="3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967740" cy="3194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967740" cy="319405"/>
                    </a:xfrm>
                    <a:prstGeom prst="rect">
                      <a:avLst/>
                    </a:prstGeom>
                    <a:noFill/>
                  </pic:spPr>
                </pic:pic>
              </a:graphicData>
            </a:graphic>
          </wp:anchor>
        </w:drawing>
      </w:r>
    </w:p>
    <w:p>
      <w:pPr>
        <w:jc w:val="both"/>
        <w:spacing w:after="0" w:line="235" w:lineRule="auto"/>
        <w:rPr>
          <w:sz w:val="20"/>
          <w:szCs w:val="20"/>
          <w:color w:val="auto"/>
        </w:rPr>
      </w:pPr>
      <w:r>
        <w:rPr>
          <w:rFonts w:ascii="Arial" w:cs="Arial" w:eastAsia="Arial" w:hAnsi="Arial"/>
          <w:sz w:val="18"/>
          <w:szCs w:val="18"/>
          <w:color w:val="auto"/>
        </w:rPr>
        <w:t>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Cooley LLP</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Peter Byrne</w:t>
      </w:r>
    </w:p>
    <w:p>
      <w:pPr>
        <w:spacing w:after="0"/>
        <w:rPr>
          <w:sz w:val="20"/>
          <w:szCs w:val="20"/>
          <w:color w:val="auto"/>
        </w:rPr>
      </w:pPr>
      <w:r>
        <w:rPr>
          <w:rFonts w:ascii="Arial" w:cs="Arial" w:eastAsia="Arial" w:hAnsi="Arial"/>
          <w:sz w:val="18"/>
          <w:szCs w:val="18"/>
          <w:color w:val="auto"/>
        </w:rPr>
        <w:t>Peter Byrne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COOLEY LLP 3 EMBARCADERO CTR, 20TH FLOOR SAN FRANCISCO, CALIFORNIA 94111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 (415) 693-2000 F: (415) 693-2222 COOLEY.COM</w:t>
      </w:r>
    </w:p>
    <w:p>
      <w:pPr>
        <w:sectPr>
          <w:pgSz w:w="11900" w:h="16838" w:orient="portrait"/>
          <w:cols w:equalWidth="0" w:num="1">
            <w:col w:w="11240"/>
          </w:cols>
          <w:pgMar w:left="320" w:top="1440"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9"/>
          <w:szCs w:val="19"/>
          <w:b w:val="1"/>
          <w:bCs w:val="1"/>
          <w:color w:val="auto"/>
        </w:rPr>
        <w:t>Exhibit 23.1</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CONSENT OF INDEPENDENT REGISTERED PUBLIC ACCOUNTING FIRM</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We consent to the incorporation by reference in this Registration Statement on Form S-8 of WM Technology, Inc. (the "Company") of our report dated March 16, 2023, relating to the consolidated financial statements and the effectiveness of internal control over financial reporting, which appears in the Company’s annual report on Form 10-K for the year ended December 31, 2022.</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/s/ Baker Tilly US, LLP</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Irvine, California</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March 17, 2023</w:t>
      </w:r>
    </w:p>
    <w:sectPr>
      <w:pgSz w:w="11900" w:h="16838" w:orient="portrait"/>
      <w:cols w:equalWidth="0" w:num="1">
        <w:col w:w="11240"/>
      </w:cols>
      <w:pgMar w:left="320" w:top="13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41"/>
    </w:lvl>
  </w:abstractNum>
  <w:abstractNum w:abstractNumId="1">
    <w:nsid w:val="3D1B58BA"/>
    <w:multiLevelType w:val="hybridMultilevel"/>
    <w:lvl w:ilvl="0">
      <w:lvlJc w:val="left"/>
      <w:lvlText w:val="(%1)"/>
      <w:numFmt w:val="lowerLetter"/>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41B71EFB"/>
    <w:multiLevelType w:val="hybridMultilevel"/>
    <w:lvl w:ilvl="0">
      <w:lvlJc w:val="left"/>
      <w:lvlText w:val="(%1)"/>
      <w:numFmt w:val="decimal"/>
      <w:start w:val="2"/>
    </w:lvl>
  </w:abstractNum>
  <w:abstractNum w:abstractNumId="5">
    <w:nsid w:val="79E2A9E3"/>
    <w:multiLevelType w:val="hybridMultilevel"/>
    <w:lvl w:ilvl="0">
      <w:lvlJc w:val="left"/>
      <w:lvlText w:val="%1"/>
      <w:numFmt w:val="lowerLetter"/>
      <w:start w:val="1"/>
    </w:lvl>
    <w:lvl w:ilvl="1">
      <w:lvlJc w:val="left"/>
      <w:lvlText w:val="(%2)"/>
      <w:numFmt w:val="decimal"/>
      <w:start w:val="3"/>
    </w:lvl>
  </w:abstractNum>
  <w:abstractNum w:abstractNumId="6">
    <w:nsid w:val="7545E146"/>
    <w:multiLevelType w:val="hybridMultilevel"/>
    <w:lvl w:ilvl="0">
      <w:lvlJc w:val="left"/>
      <w:lvlText w:val="(%1)"/>
      <w:numFmt w:val="lowerLetter"/>
      <w:start w:val="2"/>
    </w:lvl>
    <w:lvl w:ilvl="1">
      <w:lvlJc w:val="left"/>
      <w:lvlText w:val="%2"/>
      <w:numFmt w:val="decimal"/>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upperLetter"/>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jpeg"/><Relationship Id="rId20" Type="http://schemas.openxmlformats.org/officeDocument/2006/relationships/image" Target="media/image6.jpeg"/><Relationship Id="rId11" Type="http://schemas.openxmlformats.org/officeDocument/2006/relationships/hyperlink" Target="https://www.sec.gov/Archives/edgar/data/1779474/000114036121021785/brhc10025756_ex3-1.htm" TargetMode="External"/><Relationship Id="rId12" Type="http://schemas.openxmlformats.org/officeDocument/2006/relationships/hyperlink" Target="https://www.sec.gov/Archives/edgar/data/1779474/000114036121021785/brhc10025756_ex3-2.htm" TargetMode="External"/><Relationship Id="rId13" Type="http://schemas.openxmlformats.org/officeDocument/2006/relationships/hyperlink" Target="https://www.sec.gov/Archives/edgar/data/1779474/000114036121021785/brhc10025756_ex4-1.htm" TargetMode="External"/><Relationship Id="rId14" Type="http://schemas.openxmlformats.org/officeDocument/2006/relationships/hyperlink" Target="https://www.sec.gov/Archives/edgar/data/1779474/000177947421000023/exhibit991-2021plan.htm" TargetMode="External"/><Relationship Id="rId15" Type="http://schemas.openxmlformats.org/officeDocument/2006/relationships/hyperlink" Target="https://www.sec.gov/Archives/edgar/data/1779474/000114036121021785/brhc10025756_ex10-8.htm" TargetMode="External"/><Relationship Id="rId16" Type="http://schemas.openxmlformats.org/officeDocument/2006/relationships/hyperlink" Target="https://www.sec.gov/Archives/edgar/data/1779474/000114036121021785/brhc10025756_ex10-7a.htm" TargetMode="External"/><Relationship Id="rId17" Type="http://schemas.openxmlformats.org/officeDocument/2006/relationships/hyperlink" Target="https://www.sec.gov/Archives/edgar/data/1779474/000177947421000023/exhibit994-formofrsugrant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2023-03-17T15:17:30Z</dcterms:created>
  <dcterms:modified xsi:type="dcterms:W3CDTF">2023-03-17T15:17:30Z</dcterms:modified>
</cp:coreProperties>
</file>