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40" w:type="dxa"/>
            <w:vAlign w:val="bottom"/>
            <w:gridSpan w:val="5"/>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1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40" w:type="dxa"/>
            <w:vAlign w:val="bottom"/>
            <w:gridSpan w:val="6"/>
            <w:vMerge w:val="restart"/>
          </w:tcPr>
          <w:p>
            <w:pPr>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Polar Asset Management Partners Inc.</w:t>
              </w:r>
            </w:hyperlink>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480" w:type="dxa"/>
            <w:vAlign w:val="bottom"/>
            <w:gridSpan w:val="6"/>
          </w:tcPr>
          <w:p>
            <w:pPr>
              <w:ind w:left="80"/>
              <w:spacing w:after="0" w:line="107" w:lineRule="exact"/>
              <w:rPr>
                <w:rFonts w:ascii="Arial" w:cs="Arial" w:eastAsia="Arial" w:hAnsi="Arial"/>
                <w:sz w:val="12"/>
                <w:szCs w:val="12"/>
                <w:color w:val="0000EE"/>
              </w:rPr>
            </w:pPr>
            <w:hyperlink r:id="rId14">
              <w:r>
                <w:rPr>
                  <w:rFonts w:ascii="Arial" w:cs="Arial" w:eastAsia="Arial" w:hAnsi="Arial"/>
                  <w:sz w:val="12"/>
                  <w:szCs w:val="12"/>
                  <w:u w:val="single" w:color="auto"/>
                  <w:color w:val="0000EE"/>
                </w:rPr>
                <w:t>Silver Spike Acquisition Corp.</w:t>
              </w:r>
              <w:r>
                <w:rPr>
                  <w:rFonts w:ascii="Arial" w:cs="Arial" w:eastAsia="Arial" w:hAnsi="Arial"/>
                  <w:sz w:val="12"/>
                  <w:szCs w:val="12"/>
                  <w:color w:val="0000EE"/>
                </w:rPr>
                <w:t xml:space="preserve">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SSPK</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340" w:type="dxa"/>
            <w:vAlign w:val="bottom"/>
          </w:tcPr>
          <w:p>
            <w:pPr>
              <w:spacing w:after="0"/>
              <w:rPr>
                <w:sz w:val="9"/>
                <w:szCs w:val="9"/>
                <w:color w:val="auto"/>
              </w:rPr>
            </w:pPr>
          </w:p>
        </w:tc>
        <w:tc>
          <w:tcPr>
            <w:tcW w:w="15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40" w:type="dxa"/>
            <w:vAlign w:val="bottom"/>
            <w:gridSpan w:val="6"/>
            <w:vMerge w:val="continue"/>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580" w:type="dxa"/>
            <w:vAlign w:val="bottom"/>
            <w:gridSpan w:val="5"/>
            <w:vMerge w:val="continue"/>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40" w:type="dxa"/>
            <w:vAlign w:val="bottom"/>
            <w:gridSpan w:val="6"/>
            <w:vMerge w:val="continue"/>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vMerge w:val="restart"/>
          </w:tcPr>
          <w:p>
            <w:pPr>
              <w:ind w:left="220"/>
              <w:spacing w:after="0"/>
              <w:rPr>
                <w:sz w:val="20"/>
                <w:szCs w:val="20"/>
                <w:color w:val="auto"/>
              </w:rPr>
            </w:pPr>
            <w:r>
              <w:rPr>
                <w:rFonts w:ascii="Arial" w:cs="Arial" w:eastAsia="Arial" w:hAnsi="Arial"/>
                <w:sz w:val="13"/>
                <w:szCs w:val="13"/>
                <w:color w:val="auto"/>
              </w:rPr>
              <w:t>Director</w:t>
            </w:r>
          </w:p>
        </w:tc>
        <w:tc>
          <w:tcPr>
            <w:tcW w:w="240" w:type="dxa"/>
            <w:vAlign w:val="bottom"/>
          </w:tcPr>
          <w:p>
            <w:pPr>
              <w:spacing w:after="0"/>
              <w:rPr>
                <w:sz w:val="13"/>
                <w:szCs w:val="13"/>
                <w:color w:val="auto"/>
              </w:rPr>
            </w:pPr>
          </w:p>
        </w:tc>
        <w:tc>
          <w:tcPr>
            <w:tcW w:w="1600" w:type="dxa"/>
            <w:vAlign w:val="bottom"/>
            <w:gridSpan w:val="6"/>
            <w:vMerge w:val="restart"/>
          </w:tcPr>
          <w:p>
            <w:pPr>
              <w:ind w:left="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1600" w:type="dxa"/>
            <w:vAlign w:val="bottom"/>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22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vMerge w:val="restart"/>
          </w:tcPr>
          <w:p>
            <w:pPr>
              <w:spacing w:after="0"/>
              <w:rPr>
                <w:sz w:val="7"/>
                <w:szCs w:val="7"/>
                <w:color w:val="auto"/>
              </w:rPr>
            </w:pPr>
          </w:p>
        </w:tc>
        <w:tc>
          <w:tcPr>
            <w:tcW w:w="1200" w:type="dxa"/>
            <w:vAlign w:val="bottom"/>
            <w:gridSpan w:val="2"/>
            <w:vMerge w:val="restart"/>
          </w:tcPr>
          <w:p>
            <w:pPr>
              <w:ind w:left="220"/>
              <w:spacing w:after="0"/>
              <w:rPr>
                <w:sz w:val="20"/>
                <w:szCs w:val="20"/>
                <w:color w:val="auto"/>
              </w:rPr>
            </w:pPr>
            <w:r>
              <w:rPr>
                <w:rFonts w:ascii="Arial" w:cs="Arial" w:eastAsia="Arial" w:hAnsi="Arial"/>
                <w:sz w:val="13"/>
                <w:szCs w:val="13"/>
                <w:color w:val="auto"/>
              </w:rPr>
              <w:t>Officer (give title</w:t>
            </w:r>
          </w:p>
        </w:tc>
        <w:tc>
          <w:tcPr>
            <w:tcW w:w="240" w:type="dxa"/>
            <w:vAlign w:val="bottom"/>
          </w:tcPr>
          <w:p>
            <w:pPr>
              <w:spacing w:after="0"/>
              <w:rPr>
                <w:sz w:val="7"/>
                <w:szCs w:val="7"/>
                <w:color w:val="auto"/>
              </w:rPr>
            </w:pPr>
          </w:p>
        </w:tc>
        <w:tc>
          <w:tcPr>
            <w:tcW w:w="1600" w:type="dxa"/>
            <w:vAlign w:val="bottom"/>
            <w:gridSpan w:val="6"/>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240" w:type="dxa"/>
            <w:vAlign w:val="bottom"/>
            <w:tcBorders>
              <w:top w:val="single" w:sz="8" w:color="EEEEEE"/>
            </w:tcBorders>
          </w:tcPr>
          <w:p>
            <w:pPr>
              <w:spacing w:after="0" w:line="20" w:lineRule="exact"/>
              <w:rPr>
                <w:sz w:val="1"/>
                <w:szCs w:val="1"/>
                <w:color w:val="auto"/>
              </w:rPr>
            </w:pPr>
          </w:p>
        </w:tc>
        <w:tc>
          <w:tcPr>
            <w:tcW w:w="84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gridSpan w:val="6"/>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040" w:type="dxa"/>
            <w:vAlign w:val="bottom"/>
            <w:gridSpan w:val="5"/>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40" w:type="dxa"/>
            <w:vAlign w:val="bottom"/>
          </w:tcPr>
          <w:p>
            <w:pPr>
              <w:spacing w:after="0"/>
              <w:rPr>
                <w:sz w:val="4"/>
                <w:szCs w:val="4"/>
                <w:color w:val="auto"/>
              </w:rPr>
            </w:pPr>
          </w:p>
        </w:tc>
        <w:tc>
          <w:tcPr>
            <w:tcW w:w="160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600" w:type="dxa"/>
            <w:vAlign w:val="bottom"/>
          </w:tcPr>
          <w:p>
            <w:pPr>
              <w:spacing w:after="0"/>
              <w:rPr>
                <w:sz w:val="13"/>
                <w:szCs w:val="13"/>
                <w:color w:val="auto"/>
              </w:rPr>
            </w:pPr>
          </w:p>
        </w:tc>
        <w:tc>
          <w:tcPr>
            <w:tcW w:w="1080" w:type="dxa"/>
            <w:vAlign w:val="bottom"/>
            <w:gridSpan w:val="2"/>
          </w:tcPr>
          <w:p>
            <w:pPr>
              <w:spacing w:after="0"/>
              <w:rPr>
                <w:sz w:val="20"/>
                <w:szCs w:val="20"/>
                <w:color w:val="auto"/>
              </w:rPr>
            </w:pPr>
            <w:r>
              <w:rPr>
                <w:rFonts w:ascii="Arial" w:cs="Arial" w:eastAsia="Arial" w:hAnsi="Arial"/>
                <w:sz w:val="13"/>
                <w:szCs w:val="13"/>
                <w:color w:val="auto"/>
              </w:rPr>
              <w:t>(First)</w:t>
            </w:r>
          </w:p>
        </w:tc>
        <w:tc>
          <w:tcPr>
            <w:tcW w:w="120" w:type="dxa"/>
            <w:vAlign w:val="bottom"/>
          </w:tcPr>
          <w:p>
            <w:pPr>
              <w:spacing w:after="0"/>
              <w:rPr>
                <w:sz w:val="13"/>
                <w:szCs w:val="13"/>
                <w:color w:val="auto"/>
              </w:rPr>
            </w:pPr>
          </w:p>
        </w:tc>
        <w:tc>
          <w:tcPr>
            <w:tcW w:w="1220" w:type="dxa"/>
            <w:vAlign w:val="bottom"/>
          </w:tcPr>
          <w:p>
            <w:pPr>
              <w:ind w:left="2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40" w:type="dxa"/>
            <w:vAlign w:val="bottom"/>
            <w:gridSpan w:val="5"/>
            <w:vMerge w:val="continue"/>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ind w:left="220"/>
              <w:spacing w:after="0"/>
              <w:rPr>
                <w:sz w:val="20"/>
                <w:szCs w:val="20"/>
                <w:color w:val="auto"/>
              </w:rPr>
            </w:pPr>
            <w:r>
              <w:rPr>
                <w:rFonts w:ascii="Arial" w:cs="Arial" w:eastAsia="Arial" w:hAnsi="Arial"/>
                <w:sz w:val="13"/>
                <w:szCs w:val="13"/>
                <w:color w:val="auto"/>
              </w:rPr>
              <w:t>below)</w:t>
            </w:r>
          </w:p>
        </w:tc>
        <w:tc>
          <w:tcPr>
            <w:tcW w:w="240" w:type="dxa"/>
            <w:vAlign w:val="bottom"/>
          </w:tcPr>
          <w:p>
            <w:pPr>
              <w:spacing w:after="0"/>
              <w:rPr>
                <w:sz w:val="13"/>
                <w:szCs w:val="13"/>
                <w:color w:val="auto"/>
              </w:rPr>
            </w:pPr>
          </w:p>
        </w:tc>
        <w:tc>
          <w:tcPr>
            <w:tcW w:w="820" w:type="dxa"/>
            <w:vAlign w:val="bottom"/>
            <w:gridSpan w:val="2"/>
          </w:tcPr>
          <w:p>
            <w:pPr>
              <w:ind w:left="34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3"/>
            <w:vMerge w:val="restart"/>
          </w:tcPr>
          <w:p>
            <w:pPr>
              <w:spacing w:after="0"/>
              <w:rPr>
                <w:sz w:val="20"/>
                <w:szCs w:val="20"/>
                <w:color w:val="auto"/>
              </w:rPr>
            </w:pPr>
            <w:r>
              <w:rPr>
                <w:rFonts w:ascii="Arial" w:cs="Arial" w:eastAsia="Arial" w:hAnsi="Arial"/>
                <w:sz w:val="17"/>
                <w:szCs w:val="17"/>
                <w:color w:val="0000FF"/>
              </w:rPr>
              <w:t>401 BAY STREET</w:t>
            </w: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560" w:type="dxa"/>
            <w:vAlign w:val="bottom"/>
            <w:gridSpan w:val="5"/>
          </w:tcPr>
          <w:p>
            <w:pPr>
              <w:ind w:left="160"/>
              <w:spacing w:after="0"/>
              <w:rPr>
                <w:sz w:val="20"/>
                <w:szCs w:val="20"/>
                <w:color w:val="auto"/>
              </w:rPr>
            </w:pPr>
            <w:r>
              <w:rPr>
                <w:rFonts w:ascii="Arial" w:cs="Arial" w:eastAsia="Arial" w:hAnsi="Arial"/>
                <w:sz w:val="17"/>
                <w:szCs w:val="17"/>
                <w:color w:val="0000FF"/>
              </w:rPr>
              <w:t>05/13/2020</w:t>
            </w: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60" w:type="dxa"/>
            <w:vAlign w:val="bottom"/>
            <w:gridSpan w:val="3"/>
            <w:vMerge w:val="continue"/>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00" w:type="dxa"/>
            <w:vAlign w:val="bottom"/>
            <w:gridSpan w:val="4"/>
            <w:vMerge w:val="restart"/>
          </w:tcPr>
          <w:p>
            <w:pPr>
              <w:spacing w:after="0"/>
              <w:rPr>
                <w:sz w:val="20"/>
                <w:szCs w:val="20"/>
                <w:color w:val="auto"/>
              </w:rPr>
            </w:pPr>
            <w:r>
              <w:rPr>
                <w:rFonts w:ascii="Arial" w:cs="Arial" w:eastAsia="Arial" w:hAnsi="Arial"/>
                <w:sz w:val="17"/>
                <w:szCs w:val="17"/>
                <w:color w:val="0000FF"/>
              </w:rPr>
              <w:t>SUITE 1900, P.O. BOX 19</w:t>
            </w: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continue"/>
          </w:tcPr>
          <w:p>
            <w:pPr>
              <w:spacing w:after="0"/>
              <w:rPr>
                <w:sz w:val="9"/>
                <w:szCs w:val="9"/>
                <w:color w:val="auto"/>
              </w:rPr>
            </w:pPr>
          </w:p>
        </w:tc>
        <w:tc>
          <w:tcPr>
            <w:tcW w:w="1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480" w:type="dxa"/>
            <w:vAlign w:val="bottom"/>
            <w:gridSpan w:val="6"/>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9"/>
                <w:szCs w:val="9"/>
                <w:color w:val="auto"/>
              </w:rPr>
            </w:pPr>
          </w:p>
        </w:tc>
        <w:tc>
          <w:tcPr>
            <w:tcW w:w="3420" w:type="dxa"/>
            <w:vAlign w:val="bottom"/>
            <w:gridSpan w:val="1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480" w:type="dxa"/>
            <w:vAlign w:val="bottom"/>
            <w:gridSpan w:val="6"/>
            <w:vMerge w:val="continue"/>
          </w:tcPr>
          <w:p>
            <w:pPr>
              <w:spacing w:after="0"/>
              <w:rPr>
                <w:sz w:val="8"/>
                <w:szCs w:val="8"/>
                <w:color w:val="auto"/>
              </w:rPr>
            </w:pPr>
          </w:p>
        </w:tc>
        <w:tc>
          <w:tcPr>
            <w:tcW w:w="340" w:type="dxa"/>
            <w:vAlign w:val="bottom"/>
          </w:tcPr>
          <w:p>
            <w:pPr>
              <w:spacing w:after="0"/>
              <w:rPr>
                <w:sz w:val="8"/>
                <w:szCs w:val="8"/>
                <w:color w:val="auto"/>
              </w:rPr>
            </w:pPr>
          </w:p>
        </w:tc>
        <w:tc>
          <w:tcPr>
            <w:tcW w:w="3420" w:type="dxa"/>
            <w:vAlign w:val="bottom"/>
            <w:gridSpan w:val="1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40" w:type="dxa"/>
            <w:vAlign w:val="bottom"/>
            <w:tcBorders>
              <w:bottom w:val="single" w:sz="8" w:color="9A9A9A"/>
            </w:tcBorders>
          </w:tcPr>
          <w:p>
            <w:pPr>
              <w:spacing w:after="0"/>
              <w:rPr>
                <w:sz w:val="5"/>
                <w:szCs w:val="5"/>
                <w:color w:val="auto"/>
              </w:rPr>
            </w:pPr>
          </w:p>
        </w:tc>
        <w:tc>
          <w:tcPr>
            <w:tcW w:w="84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122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vMerge w:val="restart"/>
          </w:tcPr>
          <w:p>
            <w:pPr>
              <w:spacing w:after="0"/>
              <w:rPr>
                <w:sz w:val="5"/>
                <w:szCs w:val="5"/>
                <w:color w:val="auto"/>
              </w:rPr>
            </w:pPr>
          </w:p>
        </w:tc>
        <w:tc>
          <w:tcPr>
            <w:tcW w:w="980" w:type="dxa"/>
            <w:vAlign w:val="bottom"/>
            <w:gridSpan w:val="4"/>
            <w:vMerge w:val="restart"/>
          </w:tcPr>
          <w:p>
            <w:pPr>
              <w:ind w:left="8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980" w:type="dxa"/>
            <w:vAlign w:val="bottom"/>
            <w:gridSpan w:val="4"/>
            <w:vMerge w:val="continue"/>
          </w:tcPr>
          <w:p>
            <w:pPr>
              <w:spacing w:after="0"/>
              <w:rPr>
                <w:sz w:val="6"/>
                <w:szCs w:val="6"/>
                <w:color w:val="auto"/>
              </w:rPr>
            </w:pPr>
          </w:p>
        </w:tc>
        <w:tc>
          <w:tcPr>
            <w:tcW w:w="60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20" w:type="dxa"/>
            <w:vAlign w:val="bottom"/>
            <w:gridSpan w:val="11"/>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spacing w:after="0"/>
              <w:rPr>
                <w:sz w:val="20"/>
                <w:szCs w:val="20"/>
                <w:color w:val="auto"/>
              </w:rPr>
            </w:pPr>
            <w:r>
              <w:rPr>
                <w:rFonts w:ascii="Arial" w:cs="Arial" w:eastAsia="Arial" w:hAnsi="Arial"/>
                <w:sz w:val="17"/>
                <w:szCs w:val="17"/>
                <w:color w:val="0000FF"/>
              </w:rPr>
              <w:t>TORONTO</w:t>
            </w:r>
          </w:p>
        </w:tc>
        <w:tc>
          <w:tcPr>
            <w:tcW w:w="240" w:type="dxa"/>
            <w:vAlign w:val="bottom"/>
          </w:tcPr>
          <w:p>
            <w:pPr>
              <w:spacing w:after="0"/>
              <w:rPr>
                <w:sz w:val="20"/>
                <w:szCs w:val="20"/>
                <w:color w:val="auto"/>
              </w:rPr>
            </w:pPr>
            <w:r>
              <w:rPr>
                <w:rFonts w:ascii="Arial" w:cs="Arial" w:eastAsia="Arial" w:hAnsi="Arial"/>
                <w:sz w:val="17"/>
                <w:szCs w:val="17"/>
                <w:color w:val="0000FF"/>
              </w:rPr>
              <w:t>A6</w:t>
            </w: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ind w:left="20"/>
              <w:spacing w:after="0"/>
              <w:rPr>
                <w:sz w:val="20"/>
                <w:szCs w:val="20"/>
                <w:color w:val="auto"/>
              </w:rPr>
            </w:pPr>
            <w:r>
              <w:rPr>
                <w:rFonts w:ascii="Arial" w:cs="Arial" w:eastAsia="Arial" w:hAnsi="Arial"/>
                <w:sz w:val="17"/>
                <w:szCs w:val="17"/>
                <w:color w:val="0000FF"/>
              </w:rPr>
              <w:t>M5H 2Y4</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40" w:type="dxa"/>
            <w:vAlign w:val="bottom"/>
            <w:gridSpan w:val="9"/>
          </w:tcPr>
          <w:p>
            <w:pPr>
              <w:ind w:left="2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ind w:left="220"/>
              <w:spacing w:after="0" w:line="134" w:lineRule="exact"/>
              <w:rPr>
                <w:sz w:val="20"/>
                <w:szCs w:val="20"/>
                <w:color w:val="auto"/>
              </w:rPr>
            </w:pPr>
            <w:r>
              <w:rPr>
                <w:rFonts w:ascii="Arial" w:cs="Arial" w:eastAsia="Arial" w:hAnsi="Arial"/>
                <w:sz w:val="13"/>
                <w:szCs w:val="13"/>
                <w:color w:val="auto"/>
              </w:rPr>
              <w:t>Person</w:t>
            </w: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60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3"/>
                <w:szCs w:val="13"/>
                <w:color w:val="auto"/>
              </w:rPr>
              <w:t>(State)</w:t>
            </w:r>
          </w:p>
        </w:tc>
        <w:tc>
          <w:tcPr>
            <w:tcW w:w="1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4"/>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3820" w:type="dxa"/>
            <w:vAlign w:val="bottom"/>
            <w:tcBorders>
              <w:bottom w:val="single" w:sz="8" w:color="2C2C2C"/>
            </w:tcBorders>
            <w:gridSpan w:val="7"/>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2"/>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7660" w:type="dxa"/>
            <w:vAlign w:val="bottom"/>
            <w:tcBorders>
              <w:top w:val="single" w:sz="8" w:color="2C2C2C"/>
            </w:tcBorders>
            <w:gridSpan w:val="17"/>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4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20" w:type="dxa"/>
            <w:vAlign w:val="bottom"/>
          </w:tcPr>
          <w:p>
            <w:pPr>
              <w:spacing w:after="0"/>
              <w:rPr>
                <w:sz w:val="15"/>
                <w:szCs w:val="15"/>
                <w:color w:val="auto"/>
              </w:rPr>
            </w:pPr>
          </w:p>
        </w:tc>
        <w:tc>
          <w:tcPr>
            <w:tcW w:w="1660" w:type="dxa"/>
            <w:vAlign w:val="bottom"/>
            <w:gridSpan w:val="4"/>
          </w:tcPr>
          <w:p>
            <w:pPr>
              <w:ind w:left="6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5"/>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tcPr>
          <w:p>
            <w:pPr>
              <w:ind w:left="6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1"/>
                <w:szCs w:val="11"/>
                <w:color w:val="auto"/>
              </w:rPr>
            </w:pP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5"/>
          </w:tcPr>
          <w:p>
            <w:pPr>
              <w:ind w:left="2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60" w:type="dxa"/>
            <w:vAlign w:val="bottom"/>
            <w:gridSpan w:val="4"/>
          </w:tcPr>
          <w:p>
            <w:pPr>
              <w:ind w:left="62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gridSpan w:val="5"/>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520" w:type="dxa"/>
            <w:vAlign w:val="bottom"/>
            <w:tcBorders>
              <w:bottom w:val="single" w:sz="8" w:color="2C2C2C"/>
            </w:tcBorders>
            <w:gridSpan w:val="6"/>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520" w:type="dxa"/>
            <w:vAlign w:val="bottom"/>
            <w:gridSpan w:val="6"/>
          </w:tcPr>
          <w:p>
            <w:pPr>
              <w:ind w:left="60"/>
              <w:spacing w:after="0"/>
              <w:rPr>
                <w:sz w:val="20"/>
                <w:szCs w:val="20"/>
                <w:color w:val="auto"/>
              </w:rPr>
            </w:pPr>
            <w:r>
              <w:rPr>
                <w:rFonts w:ascii="Arial" w:cs="Arial" w:eastAsia="Arial" w:hAnsi="Arial"/>
                <w:sz w:val="17"/>
                <w:szCs w:val="17"/>
                <w:color w:val="0000FF"/>
                <w:w w:val="91"/>
              </w:rPr>
              <w:t>Class A Ordinary Shares, par value</w:t>
            </w:r>
          </w:p>
        </w:tc>
        <w:tc>
          <w:tcPr>
            <w:tcW w:w="1660" w:type="dxa"/>
            <w:vAlign w:val="bottom"/>
            <w:gridSpan w:val="4"/>
            <w:vMerge w:val="restart"/>
          </w:tcPr>
          <w:p>
            <w:pPr>
              <w:ind w:left="700"/>
              <w:spacing w:after="0"/>
              <w:rPr>
                <w:sz w:val="20"/>
                <w:szCs w:val="20"/>
                <w:color w:val="auto"/>
              </w:rPr>
            </w:pPr>
            <w:r>
              <w:rPr>
                <w:rFonts w:ascii="Arial" w:cs="Arial" w:eastAsia="Arial" w:hAnsi="Arial"/>
                <w:sz w:val="17"/>
                <w:szCs w:val="17"/>
                <w:color w:val="0000FF"/>
              </w:rPr>
              <w:t>05/13/2020</w:t>
            </w:r>
          </w:p>
        </w:tc>
        <w:tc>
          <w:tcPr>
            <w:tcW w:w="4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vMerge w:val="restart"/>
          </w:tcPr>
          <w:p>
            <w:pPr>
              <w:ind w:left="200"/>
              <w:spacing w:after="0"/>
              <w:rPr>
                <w:sz w:val="20"/>
                <w:szCs w:val="20"/>
                <w:color w:val="auto"/>
              </w:rPr>
            </w:pPr>
            <w:r>
              <w:rPr>
                <w:rFonts w:ascii="Arial" w:cs="Arial" w:eastAsia="Arial" w:hAnsi="Arial"/>
                <w:sz w:val="13"/>
                <w:szCs w:val="13"/>
                <w:color w:val="0000FF"/>
              </w:rPr>
              <w:t>P</w:t>
            </w:r>
          </w:p>
        </w:tc>
        <w:tc>
          <w:tcPr>
            <w:tcW w:w="760" w:type="dxa"/>
            <w:vAlign w:val="bottom"/>
            <w:vMerge w:val="restart"/>
          </w:tcPr>
          <w:p>
            <w:pPr>
              <w:ind w:left="160"/>
              <w:spacing w:after="0"/>
              <w:rPr>
                <w:sz w:val="20"/>
                <w:szCs w:val="20"/>
                <w:color w:val="auto"/>
              </w:rPr>
            </w:pPr>
            <w:r>
              <w:rPr>
                <w:rFonts w:ascii="Arial" w:cs="Arial" w:eastAsia="Arial" w:hAnsi="Arial"/>
                <w:sz w:val="17"/>
                <w:szCs w:val="17"/>
                <w:color w:val="0000FF"/>
              </w:rPr>
              <w:t>50,000</w:t>
            </w:r>
          </w:p>
        </w:tc>
        <w:tc>
          <w:tcPr>
            <w:tcW w:w="440" w:type="dxa"/>
            <w:vAlign w:val="bottom"/>
            <w:vMerge w:val="restart"/>
          </w:tcPr>
          <w:p>
            <w:pPr>
              <w:ind w:left="220"/>
              <w:spacing w:after="0"/>
              <w:rPr>
                <w:sz w:val="20"/>
                <w:szCs w:val="20"/>
                <w:color w:val="auto"/>
              </w:rPr>
            </w:pPr>
            <w:r>
              <w:rPr>
                <w:rFonts w:ascii="Arial" w:cs="Arial" w:eastAsia="Arial" w:hAnsi="Arial"/>
                <w:sz w:val="17"/>
                <w:szCs w:val="17"/>
                <w:color w:val="0000FF"/>
              </w:rPr>
              <w:t>A</w:t>
            </w:r>
          </w:p>
        </w:tc>
        <w:tc>
          <w:tcPr>
            <w:tcW w:w="620" w:type="dxa"/>
            <w:vAlign w:val="bottom"/>
            <w:gridSpan w:val="3"/>
            <w:vMerge w:val="restart"/>
          </w:tcPr>
          <w:p>
            <w:pPr>
              <w:ind w:left="20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9.88</w:t>
            </w:r>
          </w:p>
        </w:tc>
        <w:tc>
          <w:tcPr>
            <w:tcW w:w="1300" w:type="dxa"/>
            <w:vAlign w:val="bottom"/>
            <w:gridSpan w:val="3"/>
            <w:vMerge w:val="restart"/>
          </w:tcPr>
          <w:p>
            <w:pPr>
              <w:ind w:left="320"/>
              <w:spacing w:after="0"/>
              <w:rPr>
                <w:sz w:val="20"/>
                <w:szCs w:val="20"/>
                <w:color w:val="auto"/>
              </w:rPr>
            </w:pPr>
            <w:r>
              <w:rPr>
                <w:rFonts w:ascii="Arial" w:cs="Arial" w:eastAsia="Arial" w:hAnsi="Arial"/>
                <w:sz w:val="17"/>
                <w:szCs w:val="17"/>
                <w:color w:val="0000FF"/>
              </w:rPr>
              <w:t>3,021,028</w:t>
            </w:r>
          </w:p>
        </w:tc>
        <w:tc>
          <w:tcPr>
            <w:tcW w:w="240" w:type="dxa"/>
            <w:vAlign w:val="bottom"/>
          </w:tcPr>
          <w:p>
            <w:pPr>
              <w:spacing w:after="0"/>
              <w:rPr>
                <w:sz w:val="22"/>
                <w:szCs w:val="22"/>
                <w:color w:val="auto"/>
              </w:rPr>
            </w:pPr>
          </w:p>
        </w:tc>
        <w:tc>
          <w:tcPr>
            <w:tcW w:w="680" w:type="dxa"/>
            <w:vAlign w:val="bottom"/>
            <w:vMerge w:val="restart"/>
          </w:tcPr>
          <w:p>
            <w:pPr>
              <w:ind w:left="140"/>
              <w:spacing w:after="0"/>
              <w:rPr>
                <w:sz w:val="20"/>
                <w:szCs w:val="20"/>
                <w:color w:val="auto"/>
              </w:rPr>
            </w:pPr>
            <w:r>
              <w:rPr>
                <w:rFonts w:ascii="Arial" w:cs="Arial" w:eastAsia="Arial" w:hAnsi="Arial"/>
                <w:sz w:val="17"/>
                <w:szCs w:val="17"/>
                <w:color w:val="0000FF"/>
              </w:rPr>
              <w:t>I</w:t>
            </w:r>
          </w:p>
        </w:tc>
        <w:tc>
          <w:tcPr>
            <w:tcW w:w="920" w:type="dxa"/>
            <w:vAlign w:val="bottom"/>
            <w:gridSpan w:val="5"/>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20" w:type="dxa"/>
            <w:vAlign w:val="bottom"/>
            <w:gridSpan w:val="3"/>
            <w:vMerge w:val="restart"/>
          </w:tcPr>
          <w:p>
            <w:pPr>
              <w:ind w:left="60"/>
              <w:spacing w:after="0"/>
              <w:rPr>
                <w:sz w:val="20"/>
                <w:szCs w:val="20"/>
                <w:color w:val="auto"/>
              </w:rPr>
            </w:pPr>
            <w:r>
              <w:rPr>
                <w:rFonts w:ascii="Arial" w:cs="Arial" w:eastAsia="Arial" w:hAnsi="Arial"/>
                <w:sz w:val="17"/>
                <w:szCs w:val="17"/>
                <w:color w:val="0000FF"/>
                <w:w w:val="89"/>
              </w:rPr>
              <w:t>$0.0001 per share</w:t>
            </w: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60" w:type="dxa"/>
            <w:vAlign w:val="bottom"/>
            <w:gridSpan w:val="4"/>
            <w:vMerge w:val="continue"/>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620" w:type="dxa"/>
            <w:vAlign w:val="bottom"/>
            <w:gridSpan w:val="3"/>
            <w:vMerge w:val="continue"/>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920" w:type="dxa"/>
            <w:vAlign w:val="bottom"/>
            <w:gridSpan w:val="5"/>
            <w:vMerge w:val="restart"/>
          </w:tcPr>
          <w:p>
            <w:pPr>
              <w:ind w:left="2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320" w:type="dxa"/>
            <w:vAlign w:val="bottom"/>
            <w:gridSpan w:val="3"/>
            <w:vMerge w:val="continue"/>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20" w:type="dxa"/>
            <w:vAlign w:val="bottom"/>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820" w:type="dxa"/>
            <w:vAlign w:val="bottom"/>
            <w:tcBorders>
              <w:top w:val="single" w:sz="8" w:color="2C2C2C"/>
            </w:tcBorders>
            <w:gridSpan w:val="16"/>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4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0" w:type="dxa"/>
            <w:vAlign w:val="bottom"/>
            <w:gridSpan w:val="12"/>
          </w:tcPr>
          <w:p>
            <w:pPr>
              <w:ind w:left="6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4"/>
                <w:szCs w:val="14"/>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20" w:type="dxa"/>
            <w:vAlign w:val="bottom"/>
          </w:tcPr>
          <w:p>
            <w:pPr>
              <w:spacing w:after="0"/>
              <w:rPr>
                <w:sz w:val="14"/>
                <w:szCs w:val="14"/>
                <w:color w:val="auto"/>
              </w:rPr>
            </w:pPr>
          </w:p>
        </w:tc>
        <w:tc>
          <w:tcPr>
            <w:tcW w:w="1220" w:type="dxa"/>
            <w:vAlign w:val="bottom"/>
          </w:tcPr>
          <w:p>
            <w:pPr>
              <w:ind w:left="18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3"/>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8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122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24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40" w:type="dxa"/>
            <w:vAlign w:val="bottom"/>
          </w:tcPr>
          <w:p>
            <w:pPr>
              <w:spacing w:after="0"/>
              <w:rPr>
                <w:sz w:val="11"/>
                <w:szCs w:val="11"/>
                <w:color w:val="auto"/>
              </w:rPr>
            </w:pPr>
          </w:p>
        </w:tc>
        <w:tc>
          <w:tcPr>
            <w:tcW w:w="6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24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6"/>
              </w:rPr>
              <w:t>Transaction(s)</w:t>
            </w: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-3009265</wp:posOffset>
            </wp:positionV>
            <wp:extent cx="7031355" cy="3054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3054350"/>
                    </a:xfrm>
                    <a:prstGeom prst="rect">
                      <a:avLst/>
                    </a:prstGeom>
                    <a:noFill/>
                  </pic:spPr>
                </pic:pic>
              </a:graphicData>
            </a:graphic>
          </wp:anchor>
        </w:drawing>
      </w:r>
    </w:p>
    <w:p>
      <w:pPr>
        <w:spacing w:after="0" w:line="7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280" w:firstLine="7"/>
        <w:spacing w:after="0" w:line="243"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Polar Asset Management Partners Inc., a company incorporated under the laws of Ontario, Canada, (the "Reporting Person") serves as investment advisor to Polar Multi-Strategy Master Fund, a Cayman Islands exempted company ("PMSMF") and certain managed accounts (together with PMSMF, the "Polar Vehicles") and has sole voting and investment discretion with respect to the securities reported herein which are held by the Polar Vehicles. The Reporting Person disclaims beneficial ownership of the securities reported herein, and this report shall not be deemed an admission that Reporting Person is the beneficial owner of the securities reported herein for the purpose of Section 16 of the Securities Exchange Act of 1934, as amended, or for any other purpose, except to the extent of Reporting Person's pecuniary interest therein.</w:t>
      </w:r>
    </w:p>
    <w:p>
      <w:pPr>
        <w:spacing w:after="0" w:line="56"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/s/ POLAR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8559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855980" cy="8255"/>
                    </a:xfrm>
                    <a:prstGeom prst="rect">
                      <a:avLst/>
                    </a:prstGeom>
                    <a:noFill/>
                  </pic:spPr>
                </pic:pic>
              </a:graphicData>
            </a:graphic>
          </wp:anchor>
        </w:drawing>
      </w:r>
    </w:p>
    <w:p>
      <w:pPr>
        <w:ind w:left="6580"/>
        <w:spacing w:after="0" w:line="182" w:lineRule="auto"/>
        <w:tabs>
          <w:tab w:leader="none" w:pos="8760" w:val="left"/>
        </w:tabs>
        <w:rPr>
          <w:sz w:val="20"/>
          <w:szCs w:val="20"/>
          <w:color w:val="auto"/>
        </w:rPr>
      </w:pPr>
      <w:r>
        <w:rPr>
          <w:rFonts w:ascii="Arial" w:cs="Arial" w:eastAsia="Arial" w:hAnsi="Arial"/>
          <w:sz w:val="15"/>
          <w:szCs w:val="15"/>
          <w:color w:val="0000FF"/>
        </w:rPr>
        <w:t>MANAGEMENT</w:t>
      </w:r>
      <w:r>
        <w:rPr>
          <w:sz w:val="20"/>
          <w:szCs w:val="20"/>
          <w:color w:val="auto"/>
        </w:rPr>
        <w:tab/>
      </w:r>
      <w:r>
        <w:rPr>
          <w:rFonts w:ascii="Arial" w:cs="Arial" w:eastAsia="Arial" w:hAnsi="Arial"/>
          <w:sz w:val="28"/>
          <w:szCs w:val="28"/>
          <w:color w:val="0000FF"/>
          <w:vertAlign w:val="subscript"/>
        </w:rPr>
        <w:t>05/15/2020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7943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9438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PARTNERS INC., by Greg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2026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20269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Lemaich,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1760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1176020" cy="8255"/>
                    </a:xfrm>
                    <a:prstGeom prst="rect">
                      <a:avLst/>
                    </a:prstGeom>
                    <a:noFill/>
                  </pic:spPr>
                </pic:pic>
              </a:graphicData>
            </a:graphic>
          </wp:anchor>
        </w:drawing>
      </w:r>
    </w:p>
    <w:p>
      <w:pPr>
        <w:spacing w:after="0" w:line="52"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13" Type="http://schemas.openxmlformats.org/officeDocument/2006/relationships/hyperlink" Target="http://www.sec.gov/cgi-bin/browse-edgar?action=getcompany&amp;CIK=0001326389" TargetMode="External"/><Relationship Id="rId14" Type="http://schemas.openxmlformats.org/officeDocument/2006/relationships/hyperlink" Target="http://www.sec.gov/cgi-bin/browse-edgar?action=getcompany&amp;CIK=000177947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2020-05-15T16:47:51Z</dcterms:created>
  <dcterms:modified xsi:type="dcterms:W3CDTF">2020-05-15T16:47:51Z</dcterms:modified>
</cp:coreProperties>
</file>