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160655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260"/>
        <w:spacing w:after="0"/>
        <w:rPr>
          <w:sz w:val="20"/>
          <w:szCs w:val="20"/>
          <w:color w:val="auto"/>
        </w:rPr>
      </w:pPr>
      <w:r>
        <w:rPr>
          <w:rFonts w:ascii="Arial" w:cs="Arial" w:eastAsia="Arial" w:hAnsi="Arial"/>
          <w:sz w:val="29"/>
          <w:szCs w:val="29"/>
          <w:b w:val="1"/>
          <w:bCs w:val="1"/>
          <w:color w:val="auto"/>
        </w:rPr>
        <w:t>SCHEDULE 14A</w:t>
      </w:r>
    </w:p>
    <w:p>
      <w:pPr>
        <w:spacing w:after="0" w:line="33"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340"/>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168910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380" w:hanging="372"/>
        <w:spacing w:after="0"/>
        <w:tabs>
          <w:tab w:leader="none" w:pos="3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44" w:lineRule="exact"/>
        <w:rPr>
          <w:rFonts w:ascii="MS PGothic" w:cs="MS PGothic" w:eastAsia="MS PGothic" w:hAnsi="MS PGothic"/>
          <w:sz w:val="18"/>
          <w:szCs w:val="18"/>
          <w:color w:val="auto"/>
        </w:rPr>
      </w:pPr>
    </w:p>
    <w:p>
      <w:pPr>
        <w:ind w:left="380" w:hanging="372"/>
        <w:spacing w:after="0"/>
        <w:tabs>
          <w:tab w:leader="none" w:pos="38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4" w:lineRule="exact"/>
        <w:rPr>
          <w:rFonts w:ascii="MS PGothic" w:cs="MS PGothic" w:eastAsia="MS PGothic" w:hAnsi="MS PGothic"/>
          <w:sz w:val="18"/>
          <w:szCs w:val="18"/>
          <w:color w:val="auto"/>
        </w:rPr>
      </w:pPr>
    </w:p>
    <w:p>
      <w:pPr>
        <w:ind w:left="380" w:hanging="372"/>
        <w:spacing w:after="0"/>
        <w:tabs>
          <w:tab w:leader="none" w:pos="3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380" w:hanging="372"/>
        <w:spacing w:after="0"/>
        <w:tabs>
          <w:tab w:leader="none" w:pos="3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4" w:lineRule="exact"/>
        <w:rPr>
          <w:sz w:val="24"/>
          <w:szCs w:val="24"/>
          <w:color w:val="auto"/>
        </w:rPr>
      </w:pPr>
    </w:p>
    <w:p>
      <w:pPr>
        <w:jc w:val="center"/>
        <w:ind w:right="-220"/>
        <w:spacing w:after="0"/>
        <w:rPr>
          <w:sz w:val="20"/>
          <w:szCs w:val="20"/>
          <w:color w:val="auto"/>
        </w:rPr>
      </w:pPr>
      <w:r>
        <w:rPr>
          <w:rFonts w:ascii="Arial" w:cs="Arial" w:eastAsia="Arial" w:hAnsi="Arial"/>
          <w:sz w:val="43"/>
          <w:szCs w:val="43"/>
          <w:b w:val="1"/>
          <w:bCs w:val="1"/>
          <w:color w:val="auto"/>
        </w:rPr>
        <w:t>WM Technology, Inc.</w:t>
      </w:r>
    </w:p>
    <w:p>
      <w:pPr>
        <w:spacing w:after="0" w:line="43"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(Name of Registrant as Specified In Its Charter)</w:t>
      </w:r>
    </w:p>
    <w:p>
      <w:pPr>
        <w:jc w:val="center"/>
        <w:ind w:right="-3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80" w:hanging="376"/>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rFonts w:ascii="MS PGothic" w:cs="MS PGothic" w:eastAsia="MS PGothic" w:hAnsi="MS PGothic"/>
          <w:sz w:val="18"/>
          <w:szCs w:val="18"/>
          <w:color w:val="auto"/>
        </w:rPr>
      </w:pPr>
    </w:p>
    <w:p>
      <w:pPr>
        <w:ind w:left="380" w:hanging="372"/>
        <w:spacing w:after="0"/>
        <w:tabs>
          <w:tab w:leader="none" w:pos="3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380" w:hanging="372"/>
        <w:spacing w:after="0"/>
        <w:tabs>
          <w:tab w:leader="none" w:pos="38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376555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153670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213360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139"/>
        <w:spacing w:after="0" w:line="273" w:lineRule="auto"/>
        <w:rPr>
          <w:sz w:val="20"/>
          <w:szCs w:val="20"/>
          <w:color w:val="auto"/>
        </w:rPr>
      </w:pPr>
      <w:r>
        <w:rPr>
          <w:rFonts w:ascii="Arial" w:cs="Arial" w:eastAsia="Arial" w:hAnsi="Arial"/>
          <w:sz w:val="58"/>
          <w:szCs w:val="58"/>
          <w:color w:val="auto"/>
        </w:rPr>
        <w:t>Notice of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To be Held on Tuesday, June 24, 2025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 10:00 a.m. Pacific Time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WM Technology,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41 Discovery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Irvine, California 92618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267970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113665</wp:posOffset>
            </wp:positionV>
            <wp:extent cx="5966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102870</wp:posOffset>
            </wp:positionV>
            <wp:extent cx="702945"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0C0C0"/>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b w:val="1"/>
          <w:bCs w:val="1"/>
          <w:color w:val="auto"/>
        </w:rPr>
        <w:t>Notice of Annual Meeting of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Tuesday, June 24, 2025</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 10:00 a.m. Pacific Time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virtualshareholdermeeting.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com/MAPS2025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25717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 cy="6858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40C0C0"/>
        </w:rPr>
        <w:t>YOUR VOTE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40C0C0"/>
        </w:rPr>
        <w:t>IS IMPORTANT</w:t>
      </w:r>
    </w:p>
    <w:p>
      <w:pPr>
        <w:spacing w:after="0" w:line="9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Stockholders’ Meeting to Be Held on Tuesday, June 24, 2025 at</w:t>
      </w:r>
    </w:p>
    <w:p>
      <w:pPr>
        <w:spacing w:after="0" w:line="5"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color w:val="auto"/>
        </w:rPr>
        <w:t>10:00 a.m. Pacific Time online at www. virtualshareholdermeeting. com/MAPS2025.</w:t>
      </w:r>
    </w:p>
    <w:p>
      <w:pPr>
        <w:spacing w:after="0" w:line="102"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b w:val="1"/>
          <w:bCs w:val="1"/>
          <w:color w:val="auto"/>
        </w:rPr>
        <w:t>The proxy statement and annual report to stockholders</w:t>
      </w:r>
    </w:p>
    <w:p>
      <w:pPr>
        <w:spacing w:after="0" w:line="2" w:lineRule="exact"/>
        <w:rPr>
          <w:sz w:val="20"/>
          <w:szCs w:val="20"/>
          <w:color w:val="auto"/>
        </w:rPr>
      </w:pPr>
    </w:p>
    <w:p>
      <w:pPr>
        <w:ind w:right="580"/>
        <w:spacing w:after="0" w:line="289" w:lineRule="auto"/>
        <w:rPr>
          <w:sz w:val="20"/>
          <w:szCs w:val="20"/>
          <w:color w:val="auto"/>
        </w:rPr>
      </w:pPr>
      <w:r>
        <w:rPr>
          <w:rFonts w:ascii="Arial" w:cs="Arial" w:eastAsia="Arial" w:hAnsi="Arial"/>
          <w:sz w:val="17"/>
          <w:szCs w:val="17"/>
          <w:b w:val="1"/>
          <w:bCs w:val="1"/>
          <w:color w:val="auto"/>
        </w:rPr>
        <w:t xml:space="preserve">are available at </w:t>
      </w:r>
      <w:r>
        <w:rPr>
          <w:rFonts w:ascii="Arial" w:cs="Arial" w:eastAsia="Arial" w:hAnsi="Arial"/>
          <w:sz w:val="17"/>
          <w:szCs w:val="17"/>
          <w:b w:val="1"/>
          <w:bCs w:val="1"/>
          <w:u w:val="single" w:color="auto"/>
          <w:color w:val="auto"/>
        </w:rPr>
        <w:t>www.proxyvote.com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1560"/>
        <w:spacing w:after="0" w:line="282" w:lineRule="auto"/>
        <w:rPr>
          <w:sz w:val="20"/>
          <w:szCs w:val="20"/>
          <w:color w:val="auto"/>
        </w:rPr>
      </w:pPr>
      <w:r>
        <w:rPr>
          <w:rFonts w:ascii="Arial" w:cs="Arial" w:eastAsia="Arial" w:hAnsi="Arial"/>
          <w:sz w:val="57"/>
          <w:szCs w:val="57"/>
          <w:color w:val="auto"/>
        </w:rPr>
        <w:t>Dear Stockholders of WM Technology, Inc.</w:t>
      </w:r>
    </w:p>
    <w:p>
      <w:pPr>
        <w:spacing w:after="0" w:line="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You are cordially invited to attend the Annual Meeting of Stockholders (the “Annual Meeting”) of WM Technology, Inc., a Delaware corporation (the “Company”). The meeting will be held on Tuesday, June 24, 2025 at 10:00 a.m. Pacific Time. The Annual Meeting will be a virtual meeting of stockholders, which will be conducted only via a live audio webcast. You will be able to attend the Annual Meeting, submit your questions and vote online during the meeting by visiting </w:t>
      </w:r>
      <w:r>
        <w:rPr>
          <w:rFonts w:ascii="Arial" w:cs="Arial" w:eastAsia="Arial" w:hAnsi="Arial"/>
          <w:sz w:val="16"/>
          <w:szCs w:val="16"/>
          <w:u w:val="single" w:color="auto"/>
          <w:color w:val="auto"/>
        </w:rPr>
        <w:t>www.virtualshareholdermeeting.com/MAPS2025</w:t>
      </w:r>
      <w:r>
        <w:rPr>
          <w:rFonts w:ascii="Arial" w:cs="Arial" w:eastAsia="Arial" w:hAnsi="Arial"/>
          <w:sz w:val="16"/>
          <w:szCs w:val="16"/>
          <w:color w:val="auto"/>
        </w:rPr>
        <w:t>. We believe a virtual meeting provides expanded access, improves communication, enables increased stockholder attendance and participation, allows our stockholders, including our international employees, around the world to attend the Annual Meeting, and provides cost savings for our stockholders and the Company. A complete list of record stockholders will be available for examination by any stockholder for any purpose germane to the Annual Meeting beginning ten days prior to the Annual Meeting at our corporate headquarters during regular business hours.</w:t>
      </w:r>
    </w:p>
    <w:p>
      <w:pPr>
        <w:spacing w:after="0" w:line="121"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color w:val="auto"/>
        </w:rPr>
        <w:t>We are holding the Annual Meeting for the following purposes, as more fully described in the accompanying proxy statement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44234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62" w:lineRule="exact"/>
        <w:rPr>
          <w:sz w:val="20"/>
          <w:szCs w:val="20"/>
          <w:color w:val="auto"/>
        </w:rPr>
      </w:pPr>
    </w:p>
    <w:p>
      <w:pPr>
        <w:ind w:left="260" w:right="280" w:firstLine="419"/>
        <w:spacing w:after="0" w:line="200" w:lineRule="auto"/>
        <w:rPr>
          <w:sz w:val="20"/>
          <w:szCs w:val="20"/>
          <w:color w:val="auto"/>
        </w:rPr>
      </w:pPr>
      <w:r>
        <w:rPr>
          <w:rFonts w:ascii="Arial" w:cs="Arial" w:eastAsia="Arial" w:hAnsi="Arial"/>
          <w:sz w:val="16"/>
          <w:szCs w:val="16"/>
          <w:color w:val="auto"/>
        </w:rPr>
        <w:t xml:space="preserve">To elect the two nominees for Class I directors named in the accompanying Proxy </w:t>
      </w:r>
      <w:r>
        <w:rPr>
          <w:rFonts w:ascii="Arial" w:cs="Arial" w:eastAsia="Arial" w:hAnsi="Arial"/>
          <w:sz w:val="32"/>
          <w:szCs w:val="32"/>
          <w:b w:val="1"/>
          <w:bCs w:val="1"/>
          <w:color w:val="40C0C0"/>
          <w:vertAlign w:val="subscript"/>
        </w:rPr>
        <w:t xml:space="preserve">  </w:t>
      </w:r>
      <w:r>
        <w:rPr>
          <w:rFonts w:ascii="Arial" w:cs="Arial" w:eastAsia="Arial" w:hAnsi="Arial"/>
          <w:sz w:val="16"/>
          <w:szCs w:val="16"/>
          <w:color w:val="auto"/>
        </w:rPr>
        <w:t xml:space="preserve"> Statement, each to serve until the 2028 annual meeting of stockholders or until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-213995</wp:posOffset>
            </wp:positionV>
            <wp:extent cx="23114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ind w:left="680" w:right="700"/>
        <w:spacing w:after="0" w:line="300" w:lineRule="auto"/>
        <w:rPr>
          <w:sz w:val="20"/>
          <w:szCs w:val="20"/>
          <w:color w:val="auto"/>
        </w:rPr>
      </w:pPr>
      <w:r>
        <w:rPr>
          <w:rFonts w:ascii="Arial" w:cs="Arial" w:eastAsia="Arial" w:hAnsi="Arial"/>
          <w:sz w:val="16"/>
          <w:szCs w:val="16"/>
          <w:color w:val="auto"/>
        </w:rPr>
        <w:t>successors are duly elected and qualified or until such director’s earlier death, disqualification,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44234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12" w:lineRule="exact"/>
        <w:rPr>
          <w:sz w:val="20"/>
          <w:szCs w:val="20"/>
          <w:color w:val="auto"/>
        </w:rPr>
      </w:pPr>
    </w:p>
    <w:p>
      <w:pPr>
        <w:ind w:left="680" w:right="360"/>
        <w:spacing w:after="0" w:line="256" w:lineRule="auto"/>
        <w:rPr>
          <w:sz w:val="20"/>
          <w:szCs w:val="20"/>
          <w:color w:val="auto"/>
        </w:rPr>
      </w:pPr>
      <w:r>
        <w:rPr>
          <w:rFonts w:ascii="Arial" w:cs="Arial" w:eastAsia="Arial" w:hAnsi="Arial"/>
          <w:sz w:val="16"/>
          <w:szCs w:val="16"/>
          <w:color w:val="auto"/>
        </w:rPr>
        <w:t>To approve, on a non-binding advisory basis, the compensation as disclosed in the Proxy Statement of our principal executive officer and our two most highly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-67945</wp:posOffset>
            </wp:positionV>
            <wp:extent cx="23114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ind w:left="680" w:right="240" w:hanging="419"/>
        <w:spacing w:after="0" w:line="188" w:lineRule="auto"/>
        <w:tabs>
          <w:tab w:leader="none" w:pos="660" w:val="left"/>
        </w:tabs>
        <w:rPr>
          <w:sz w:val="20"/>
          <w:szCs w:val="20"/>
          <w:color w:val="auto"/>
        </w:rPr>
      </w:pPr>
      <w:r>
        <w:rPr>
          <w:rFonts w:ascii="Arial" w:cs="Arial" w:eastAsia="Arial" w:hAnsi="Arial"/>
          <w:sz w:val="32"/>
          <w:szCs w:val="32"/>
          <w:b w:val="1"/>
          <w:bCs w:val="1"/>
          <w:color w:val="40C0C0"/>
          <w:vertAlign w:val="subscript"/>
        </w:rPr>
        <w:t xml:space="preserve">  </w:t>
      </w:r>
      <w:r>
        <w:rPr>
          <w:sz w:val="20"/>
          <w:szCs w:val="20"/>
          <w:color w:val="auto"/>
        </w:rPr>
        <w:tab/>
      </w:r>
      <w:r>
        <w:rPr>
          <w:rFonts w:ascii="Arial" w:cs="Arial" w:eastAsia="Arial" w:hAnsi="Arial"/>
          <w:sz w:val="16"/>
          <w:szCs w:val="16"/>
          <w:color w:val="auto"/>
        </w:rPr>
        <w:t>compensated executive officers (other than our principal executive officer) who were serving as our executive officers at the end of the last completed fiscal year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44234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44" w:lineRule="exact"/>
        <w:rPr>
          <w:sz w:val="20"/>
          <w:szCs w:val="20"/>
          <w:color w:val="auto"/>
        </w:rPr>
      </w:pPr>
    </w:p>
    <w:p>
      <w:pPr>
        <w:ind w:left="260" w:right="120" w:firstLine="419"/>
        <w:spacing w:after="0" w:line="186" w:lineRule="auto"/>
        <w:rPr>
          <w:sz w:val="20"/>
          <w:szCs w:val="20"/>
          <w:color w:val="auto"/>
        </w:rPr>
      </w:pPr>
      <w:r>
        <w:rPr>
          <w:rFonts w:ascii="Arial" w:cs="Arial" w:eastAsia="Arial" w:hAnsi="Arial"/>
          <w:sz w:val="15"/>
          <w:szCs w:val="15"/>
          <w:color w:val="auto"/>
        </w:rPr>
        <w:t xml:space="preserve">To ratify the selection by the audit committee of the Board of Directors of Moss Adams </w:t>
      </w:r>
      <w:r>
        <w:rPr>
          <w:rFonts w:ascii="Arial" w:cs="Arial" w:eastAsia="Arial" w:hAnsi="Arial"/>
          <w:sz w:val="29"/>
          <w:szCs w:val="29"/>
          <w:b w:val="1"/>
          <w:bCs w:val="1"/>
          <w:color w:val="40C0C0"/>
          <w:vertAlign w:val="subscript"/>
        </w:rPr>
        <w:t xml:space="preserve">  </w:t>
      </w:r>
      <w:r>
        <w:rPr>
          <w:rFonts w:ascii="Arial" w:cs="Arial" w:eastAsia="Arial" w:hAnsi="Arial"/>
          <w:sz w:val="15"/>
          <w:szCs w:val="15"/>
          <w:color w:val="auto"/>
        </w:rPr>
        <w:t xml:space="preserve"> LLP as our independent registered public accounting firm for the year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-187960</wp:posOffset>
            </wp:positionV>
            <wp:extent cx="23114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color w:val="auto"/>
        </w:rPr>
        <w:t>December 31, 2025;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4423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99" w:lineRule="exact"/>
        <w:rPr>
          <w:sz w:val="20"/>
          <w:szCs w:val="20"/>
          <w:color w:val="auto"/>
        </w:rPr>
      </w:pPr>
    </w:p>
    <w:p>
      <w:pPr>
        <w:ind w:left="680" w:hanging="428"/>
        <w:spacing w:after="0"/>
        <w:tabs>
          <w:tab w:leader="none" w:pos="680" w:val="left"/>
        </w:tabs>
        <w:numPr>
          <w:ilvl w:val="0"/>
          <w:numId w:val="3"/>
        </w:numPr>
        <w:rPr>
          <w:rFonts w:ascii="Arial" w:cs="Arial" w:eastAsia="Arial" w:hAnsi="Arial"/>
          <w:sz w:val="32"/>
          <w:szCs w:val="32"/>
          <w:b w:val="1"/>
          <w:bCs w:val="1"/>
          <w:color w:val="40C0C0"/>
          <w:vertAlign w:val="subscript"/>
        </w:rPr>
      </w:pPr>
      <w:r>
        <w:rPr>
          <w:rFonts w:ascii="Arial" w:cs="Arial" w:eastAsia="Arial" w:hAnsi="Arial"/>
          <w:sz w:val="16"/>
          <w:szCs w:val="16"/>
          <w:color w:val="auto"/>
        </w:rPr>
        <w:t>To conduct any other business properly brought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44234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-186690</wp:posOffset>
            </wp:positionV>
            <wp:extent cx="23114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30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 xml:space="preserve">These items of business are more fully described in the Proxy Statement accompanying this Notice of Annual Meeting of Stockholders. The record date for the Annual Meeting is Monday, April 28, 2025. Only stockholders of record at the close of business on that date may vote at the meeting or any adjournment or postponement thereof. A complete list of the stockholders entitled to vote at the Annual Meeting will be made available to stockholders during the meeting at </w:t>
      </w:r>
      <w:r>
        <w:rPr>
          <w:rFonts w:ascii="Arial" w:cs="Arial" w:eastAsia="Arial" w:hAnsi="Arial"/>
          <w:sz w:val="16"/>
          <w:szCs w:val="16"/>
          <w:u w:val="single" w:color="auto"/>
          <w:color w:val="auto"/>
        </w:rPr>
        <w:t>www.virtualshareholdermeeting.com/MAPS2025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247015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-1544955</wp:posOffset>
            </wp:positionH>
            <wp:positionV relativeFrom="paragraph">
              <wp:posOffset>92710</wp:posOffset>
            </wp:positionV>
            <wp:extent cx="59664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2">
            <w:col w:w="2320" w:space="120"/>
            <w:col w:w="6940"/>
          </w:cols>
          <w:pgMar w:left="1240" w:top="114" w:right="12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spacing w:after="0"/>
        <w:tabs>
          <w:tab w:leader="none" w:pos="242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By Order of the Board of Directors,</w:t>
      </w:r>
    </w:p>
    <w:p>
      <w:pPr>
        <w:spacing w:after="0" w:line="221"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/s/ Brian Camire</w:t>
      </w:r>
    </w:p>
    <w:p>
      <w:pPr>
        <w:spacing w:after="0" w:line="21"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Brian Camire</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General Counsel and Secretary</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Irvine, California</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April 29, 2025</w:t>
      </w:r>
    </w:p>
    <w:p>
      <w:pPr>
        <w:spacing w:after="0" w:line="165" w:lineRule="exact"/>
        <w:rPr>
          <w:sz w:val="20"/>
          <w:szCs w:val="20"/>
          <w:color w:val="auto"/>
        </w:rPr>
      </w:pPr>
    </w:p>
    <w:p>
      <w:pPr>
        <w:ind w:left="2440"/>
        <w:spacing w:after="0" w:line="301" w:lineRule="auto"/>
        <w:rPr>
          <w:sz w:val="20"/>
          <w:szCs w:val="20"/>
          <w:color w:val="auto"/>
        </w:rPr>
      </w:pPr>
      <w:r>
        <w:rPr>
          <w:rFonts w:ascii="Arial" w:cs="Arial" w:eastAsia="Arial" w:hAnsi="Arial"/>
          <w:sz w:val="16"/>
          <w:szCs w:val="16"/>
          <w:b w:val="1"/>
          <w:bCs w:val="1"/>
          <w:color w:val="auto"/>
        </w:rPr>
        <w:t>You are cordially invited to attend the Annual Meeting, which will be held virtually via a live audio webcast. Whether or not you expect to attend the Annual Meeting, please vote your shares over the telephone or the internet as instructed in these materials, or, if you receive a paper proxy card by mail, by completing and returning the proxy card mailed to you, as promptly as possible in order to ensure your representation at the meeting. Even if you have voted by proxy, you may still vote online if you attend the Annual Meeting. Please note, however, that if your shares are held of record by a broker, bank or other nominee and you wish to vote at the Annual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233045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78740</wp:posOffset>
            </wp:positionV>
            <wp:extent cx="59664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171450</wp:posOffset>
            </wp:positionV>
            <wp:extent cx="702945" cy="38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58"/>
          <w:szCs w:val="58"/>
          <w:color w:val="auto"/>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gridSpan w:val="4"/>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43"/>
        </w:trPr>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80" w:type="dxa"/>
            <w:vAlign w:val="bottom"/>
            <w:gridSpan w:val="23"/>
          </w:tcPr>
          <w:p>
            <w:pPr>
              <w:spacing w:after="0"/>
              <w:rPr>
                <w:sz w:val="20"/>
                <w:szCs w:val="20"/>
                <w:color w:val="auto"/>
              </w:rPr>
            </w:pPr>
            <w:r>
              <w:rPr>
                <w:rFonts w:ascii="Arial" w:cs="Arial" w:eastAsia="Arial" w:hAnsi="Arial"/>
                <w:sz w:val="16"/>
                <w:szCs w:val="16"/>
                <w:b w:val="1"/>
                <w:bCs w:val="1"/>
                <w:color w:val="0000EE"/>
              </w:rPr>
              <w:t>Questions and Answers About These Proxy Materials and Voting</w:t>
            </w:r>
          </w:p>
        </w:tc>
        <w:tc>
          <w:tcPr>
            <w:tcW w:w="1640" w:type="dxa"/>
            <w:vAlign w:val="bottom"/>
            <w:gridSpan w:val="5"/>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b w:val="1"/>
                <w:bCs w:val="1"/>
                <w:color w:val="0000EE"/>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700" w:type="dxa"/>
            <w:vAlign w:val="bottom"/>
            <w:gridSpan w:val="13"/>
          </w:tcPr>
          <w:p>
            <w:pPr>
              <w:spacing w:after="0"/>
              <w:rPr>
                <w:sz w:val="20"/>
                <w:szCs w:val="20"/>
                <w:color w:val="auto"/>
              </w:rPr>
            </w:pPr>
            <w:r>
              <w:rPr>
                <w:rFonts w:ascii="Arial" w:cs="Arial" w:eastAsia="Arial" w:hAnsi="Arial"/>
                <w:sz w:val="16"/>
                <w:szCs w:val="16"/>
                <w:b w:val="1"/>
                <w:bCs w:val="1"/>
                <w:color w:val="0000EE"/>
                <w:w w:val="97"/>
              </w:rPr>
              <w:t>Proposal No. 1 Election of Directors</w:t>
            </w:r>
          </w:p>
        </w:tc>
        <w:tc>
          <w:tcPr>
            <w:tcW w:w="2280" w:type="dxa"/>
            <w:vAlign w:val="bottom"/>
            <w:gridSpan w:val="10"/>
          </w:tcPr>
          <w:p>
            <w:pPr>
              <w:spacing w:after="0"/>
              <w:rPr>
                <w:sz w:val="22"/>
                <w:szCs w:val="22"/>
                <w:color w:val="auto"/>
              </w:rPr>
            </w:pPr>
          </w:p>
        </w:tc>
        <w:tc>
          <w:tcPr>
            <w:tcW w:w="1640" w:type="dxa"/>
            <w:vAlign w:val="bottom"/>
            <w:gridSpan w:val="5"/>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b w:val="1"/>
                <w:bCs w:val="1"/>
                <w:color w:val="0000EE"/>
              </w:rPr>
              <w:t>10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20" w:type="dxa"/>
            <w:vAlign w:val="bottom"/>
            <w:gridSpan w:val="28"/>
          </w:tcPr>
          <w:p>
            <w:pPr>
              <w:spacing w:after="0"/>
              <w:rPr>
                <w:sz w:val="20"/>
                <w:szCs w:val="20"/>
                <w:color w:val="auto"/>
              </w:rPr>
            </w:pPr>
            <w:r>
              <w:rPr>
                <w:rFonts w:ascii="Arial" w:cs="Arial" w:eastAsia="Arial" w:hAnsi="Arial"/>
                <w:sz w:val="16"/>
                <w:szCs w:val="16"/>
                <w:b w:val="1"/>
                <w:bCs w:val="1"/>
                <w:color w:val="0000EE"/>
              </w:rPr>
              <w:t>Information Regarding the Board of Directors and Corporate Governance</w:t>
            </w:r>
          </w:p>
        </w:tc>
        <w:tc>
          <w:tcPr>
            <w:tcW w:w="220" w:type="dxa"/>
            <w:vAlign w:val="bottom"/>
            <w:gridSpan w:val="3"/>
          </w:tcPr>
          <w:p>
            <w:pPr>
              <w:jc w:val="right"/>
              <w:spacing w:after="0"/>
              <w:rPr>
                <w:sz w:val="20"/>
                <w:szCs w:val="20"/>
                <w:color w:val="auto"/>
              </w:rPr>
            </w:pPr>
            <w:r>
              <w:rPr>
                <w:rFonts w:ascii="Arial" w:cs="Arial" w:eastAsia="Arial" w:hAnsi="Arial"/>
                <w:sz w:val="16"/>
                <w:szCs w:val="16"/>
                <w:b w:val="1"/>
                <w:bCs w:val="1"/>
                <w:color w:val="0000EE"/>
              </w:rPr>
              <w:t>14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5340" w:type="dxa"/>
            <w:vAlign w:val="bottom"/>
            <w:gridSpan w:val="25"/>
          </w:tcPr>
          <w:p>
            <w:pPr>
              <w:spacing w:after="0"/>
              <w:rPr>
                <w:sz w:val="20"/>
                <w:szCs w:val="20"/>
                <w:color w:val="auto"/>
              </w:rPr>
            </w:pPr>
            <w:r>
              <w:rPr>
                <w:rFonts w:ascii="Arial" w:cs="Arial" w:eastAsia="Arial" w:hAnsi="Arial"/>
                <w:sz w:val="16"/>
                <w:szCs w:val="16"/>
                <w:color w:val="0000EE"/>
              </w:rPr>
              <w:t>Director Independence</w:t>
            </w:r>
          </w:p>
        </w:tc>
        <w:tc>
          <w:tcPr>
            <w:tcW w:w="1040" w:type="dxa"/>
            <w:vAlign w:val="bottom"/>
            <w:gridSpan w:val="2"/>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14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6380" w:type="dxa"/>
            <w:vAlign w:val="bottom"/>
            <w:gridSpan w:val="27"/>
          </w:tcPr>
          <w:p>
            <w:pPr>
              <w:spacing w:after="0"/>
              <w:rPr>
                <w:sz w:val="20"/>
                <w:szCs w:val="20"/>
                <w:color w:val="auto"/>
              </w:rPr>
            </w:pPr>
            <w:r>
              <w:rPr>
                <w:rFonts w:ascii="Arial" w:cs="Arial" w:eastAsia="Arial" w:hAnsi="Arial"/>
                <w:sz w:val="16"/>
                <w:szCs w:val="16"/>
                <w:color w:val="0000EE"/>
              </w:rPr>
              <w:t>Board Leadership Structure</w:t>
            </w: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14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540" w:type="dxa"/>
            <w:vAlign w:val="bottom"/>
            <w:gridSpan w:val="13"/>
          </w:tcPr>
          <w:p>
            <w:pPr>
              <w:spacing w:after="0"/>
              <w:rPr>
                <w:sz w:val="20"/>
                <w:szCs w:val="20"/>
                <w:color w:val="auto"/>
              </w:rPr>
            </w:pPr>
            <w:r>
              <w:rPr>
                <w:rFonts w:ascii="Arial" w:cs="Arial" w:eastAsia="Arial" w:hAnsi="Arial"/>
                <w:sz w:val="16"/>
                <w:szCs w:val="16"/>
                <w:color w:val="0000EE"/>
              </w:rPr>
              <w:t>Role of the Board in Risk Oversight</w:t>
            </w:r>
          </w:p>
        </w:tc>
        <w:tc>
          <w:tcPr>
            <w:tcW w:w="3840" w:type="dxa"/>
            <w:vAlign w:val="bottom"/>
            <w:gridSpan w:val="14"/>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15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540" w:type="dxa"/>
            <w:vAlign w:val="bottom"/>
            <w:gridSpan w:val="13"/>
          </w:tcPr>
          <w:p>
            <w:pPr>
              <w:spacing w:after="0"/>
              <w:rPr>
                <w:sz w:val="20"/>
                <w:szCs w:val="20"/>
                <w:color w:val="auto"/>
              </w:rPr>
            </w:pPr>
            <w:r>
              <w:rPr>
                <w:rFonts w:ascii="Arial" w:cs="Arial" w:eastAsia="Arial" w:hAnsi="Arial"/>
                <w:sz w:val="16"/>
                <w:szCs w:val="16"/>
                <w:color w:val="0000EE"/>
              </w:rPr>
              <w:t>Meetings of the Board of Directors</w:t>
            </w:r>
          </w:p>
        </w:tc>
        <w:tc>
          <w:tcPr>
            <w:tcW w:w="3840" w:type="dxa"/>
            <w:vAlign w:val="bottom"/>
            <w:gridSpan w:val="14"/>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16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6380" w:type="dxa"/>
            <w:vAlign w:val="bottom"/>
            <w:gridSpan w:val="27"/>
          </w:tcPr>
          <w:p>
            <w:pPr>
              <w:spacing w:after="0"/>
              <w:rPr>
                <w:sz w:val="20"/>
                <w:szCs w:val="20"/>
                <w:color w:val="auto"/>
              </w:rPr>
            </w:pPr>
            <w:r>
              <w:rPr>
                <w:rFonts w:ascii="Arial" w:cs="Arial" w:eastAsia="Arial" w:hAnsi="Arial"/>
                <w:sz w:val="16"/>
                <w:szCs w:val="16"/>
                <w:color w:val="0000EE"/>
              </w:rPr>
              <w:t>Information Regarding Committees of the Board of Directors</w:t>
            </w: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16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4260" w:type="dxa"/>
            <w:vAlign w:val="bottom"/>
            <w:gridSpan w:val="21"/>
          </w:tcPr>
          <w:p>
            <w:pPr>
              <w:spacing w:after="0"/>
              <w:rPr>
                <w:sz w:val="20"/>
                <w:szCs w:val="20"/>
                <w:color w:val="auto"/>
              </w:rPr>
            </w:pPr>
            <w:r>
              <w:rPr>
                <w:rFonts w:ascii="Arial" w:cs="Arial" w:eastAsia="Arial" w:hAnsi="Arial"/>
                <w:sz w:val="16"/>
                <w:szCs w:val="16"/>
                <w:color w:val="0000EE"/>
              </w:rPr>
              <w:t>Audit Committee</w:t>
            </w:r>
          </w:p>
        </w:tc>
        <w:tc>
          <w:tcPr>
            <w:tcW w:w="2120" w:type="dxa"/>
            <w:vAlign w:val="bottom"/>
            <w:gridSpan w:val="6"/>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16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6380" w:type="dxa"/>
            <w:vAlign w:val="bottom"/>
            <w:gridSpan w:val="27"/>
          </w:tcPr>
          <w:p>
            <w:pPr>
              <w:spacing w:after="0"/>
              <w:rPr>
                <w:sz w:val="20"/>
                <w:szCs w:val="20"/>
                <w:color w:val="auto"/>
              </w:rPr>
            </w:pPr>
            <w:r>
              <w:rPr>
                <w:rFonts w:ascii="Arial" w:cs="Arial" w:eastAsia="Arial" w:hAnsi="Arial"/>
                <w:sz w:val="16"/>
                <w:szCs w:val="16"/>
                <w:color w:val="0000EE"/>
              </w:rPr>
              <w:t>Report of the Audit Committee of the Board of Directors</w:t>
            </w: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17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3980" w:type="dxa"/>
            <w:vAlign w:val="bottom"/>
            <w:gridSpan w:val="19"/>
          </w:tcPr>
          <w:p>
            <w:pPr>
              <w:spacing w:after="0"/>
              <w:rPr>
                <w:sz w:val="20"/>
                <w:szCs w:val="20"/>
                <w:color w:val="auto"/>
              </w:rPr>
            </w:pPr>
            <w:r>
              <w:rPr>
                <w:rFonts w:ascii="Arial" w:cs="Arial" w:eastAsia="Arial" w:hAnsi="Arial"/>
                <w:sz w:val="16"/>
                <w:szCs w:val="16"/>
                <w:color w:val="0000EE"/>
              </w:rPr>
              <w:t>Compensation Committee</w:t>
            </w:r>
          </w:p>
        </w:tc>
        <w:tc>
          <w:tcPr>
            <w:tcW w:w="2400" w:type="dxa"/>
            <w:vAlign w:val="bottom"/>
            <w:gridSpan w:val="8"/>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17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3880" w:type="dxa"/>
            <w:vAlign w:val="bottom"/>
            <w:gridSpan w:val="18"/>
          </w:tcPr>
          <w:p>
            <w:pPr>
              <w:spacing w:after="0"/>
              <w:rPr>
                <w:sz w:val="20"/>
                <w:szCs w:val="20"/>
                <w:color w:val="auto"/>
              </w:rPr>
            </w:pPr>
            <w:r>
              <w:rPr>
                <w:rFonts w:ascii="Arial" w:cs="Arial" w:eastAsia="Arial" w:hAnsi="Arial"/>
                <w:sz w:val="16"/>
                <w:szCs w:val="16"/>
                <w:color w:val="0000EE"/>
              </w:rPr>
              <w:t>Compensation Committee Processes and Procedures</w:t>
            </w:r>
          </w:p>
        </w:tc>
        <w:tc>
          <w:tcPr>
            <w:tcW w:w="2500" w:type="dxa"/>
            <w:vAlign w:val="bottom"/>
            <w:gridSpan w:val="9"/>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18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3880" w:type="dxa"/>
            <w:vAlign w:val="bottom"/>
            <w:gridSpan w:val="18"/>
          </w:tcPr>
          <w:p>
            <w:pPr>
              <w:spacing w:after="0"/>
              <w:rPr>
                <w:sz w:val="20"/>
                <w:szCs w:val="20"/>
                <w:color w:val="auto"/>
              </w:rPr>
            </w:pPr>
            <w:r>
              <w:rPr>
                <w:rFonts w:ascii="Arial" w:cs="Arial" w:eastAsia="Arial" w:hAnsi="Arial"/>
                <w:sz w:val="16"/>
                <w:szCs w:val="16"/>
                <w:color w:val="0000EE"/>
              </w:rPr>
              <w:t>Nominating and Corporate Governance Committee</w:t>
            </w:r>
          </w:p>
        </w:tc>
        <w:tc>
          <w:tcPr>
            <w:tcW w:w="2500" w:type="dxa"/>
            <w:vAlign w:val="bottom"/>
            <w:gridSpan w:val="9"/>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19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1660" w:type="dxa"/>
            <w:vAlign w:val="bottom"/>
            <w:gridSpan w:val="6"/>
          </w:tcPr>
          <w:p>
            <w:pPr>
              <w:spacing w:after="0"/>
              <w:rPr>
                <w:sz w:val="20"/>
                <w:szCs w:val="20"/>
                <w:color w:val="auto"/>
              </w:rPr>
            </w:pPr>
            <w:r>
              <w:rPr>
                <w:rFonts w:ascii="Arial" w:cs="Arial" w:eastAsia="Arial" w:hAnsi="Arial"/>
                <w:sz w:val="16"/>
                <w:szCs w:val="16"/>
                <w:color w:val="0000EE"/>
                <w:w w:val="98"/>
              </w:rPr>
              <w:t>Technology Committee</w:t>
            </w:r>
          </w:p>
        </w:tc>
        <w:tc>
          <w:tcPr>
            <w:tcW w:w="2000" w:type="dxa"/>
            <w:vAlign w:val="bottom"/>
            <w:gridSpan w:val="11"/>
          </w:tcPr>
          <w:p>
            <w:pPr>
              <w:spacing w:after="0"/>
              <w:rPr>
                <w:sz w:val="22"/>
                <w:szCs w:val="22"/>
                <w:color w:val="auto"/>
              </w:rPr>
            </w:pPr>
          </w:p>
        </w:tc>
        <w:tc>
          <w:tcPr>
            <w:tcW w:w="2720" w:type="dxa"/>
            <w:vAlign w:val="bottom"/>
            <w:gridSpan w:val="10"/>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20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6380" w:type="dxa"/>
            <w:vAlign w:val="bottom"/>
            <w:gridSpan w:val="27"/>
          </w:tcPr>
          <w:p>
            <w:pPr>
              <w:spacing w:after="0"/>
              <w:rPr>
                <w:sz w:val="20"/>
                <w:szCs w:val="20"/>
                <w:color w:val="auto"/>
              </w:rPr>
            </w:pPr>
            <w:r>
              <w:rPr>
                <w:rFonts w:ascii="Arial" w:cs="Arial" w:eastAsia="Arial" w:hAnsi="Arial"/>
                <w:sz w:val="16"/>
                <w:szCs w:val="16"/>
                <w:color w:val="0000EE"/>
              </w:rPr>
              <w:t>Stockholder Communications with the Board of Directors</w:t>
            </w: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20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4020" w:type="dxa"/>
            <w:vAlign w:val="bottom"/>
            <w:gridSpan w:val="20"/>
          </w:tcPr>
          <w:p>
            <w:pPr>
              <w:spacing w:after="0"/>
              <w:rPr>
                <w:sz w:val="20"/>
                <w:szCs w:val="20"/>
                <w:color w:val="auto"/>
              </w:rPr>
            </w:pPr>
            <w:r>
              <w:rPr>
                <w:rFonts w:ascii="Arial" w:cs="Arial" w:eastAsia="Arial" w:hAnsi="Arial"/>
                <w:sz w:val="16"/>
                <w:szCs w:val="16"/>
                <w:color w:val="0000EE"/>
              </w:rPr>
              <w:t>Code of Conduct</w:t>
            </w:r>
          </w:p>
        </w:tc>
        <w:tc>
          <w:tcPr>
            <w:tcW w:w="2360" w:type="dxa"/>
            <w:vAlign w:val="bottom"/>
            <w:gridSpan w:val="7"/>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21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6380" w:type="dxa"/>
            <w:vAlign w:val="bottom"/>
            <w:gridSpan w:val="27"/>
          </w:tcPr>
          <w:p>
            <w:pPr>
              <w:spacing w:after="0"/>
              <w:rPr>
                <w:sz w:val="20"/>
                <w:szCs w:val="20"/>
                <w:color w:val="auto"/>
              </w:rPr>
            </w:pPr>
            <w:r>
              <w:rPr>
                <w:rFonts w:ascii="Arial" w:cs="Arial" w:eastAsia="Arial" w:hAnsi="Arial"/>
                <w:sz w:val="16"/>
                <w:szCs w:val="16"/>
                <w:color w:val="0000EE"/>
              </w:rPr>
              <w:t>Corporate Governance Guidelines</w:t>
            </w: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21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1560" w:type="dxa"/>
            <w:vAlign w:val="bottom"/>
            <w:gridSpan w:val="4"/>
          </w:tcPr>
          <w:p>
            <w:pPr>
              <w:spacing w:after="0"/>
              <w:rPr>
                <w:sz w:val="20"/>
                <w:szCs w:val="20"/>
                <w:color w:val="auto"/>
              </w:rPr>
            </w:pPr>
            <w:r>
              <w:rPr>
                <w:rFonts w:ascii="Arial" w:cs="Arial" w:eastAsia="Arial" w:hAnsi="Arial"/>
                <w:sz w:val="16"/>
                <w:szCs w:val="16"/>
                <w:color w:val="0000EE"/>
              </w:rPr>
              <w:t>Insider Trading Policy</w:t>
            </w:r>
          </w:p>
        </w:tc>
        <w:tc>
          <w:tcPr>
            <w:tcW w:w="900" w:type="dxa"/>
            <w:vAlign w:val="bottom"/>
            <w:gridSpan w:val="8"/>
          </w:tcPr>
          <w:p>
            <w:pPr>
              <w:spacing w:after="0"/>
              <w:rPr>
                <w:sz w:val="22"/>
                <w:szCs w:val="22"/>
                <w:color w:val="auto"/>
              </w:rPr>
            </w:pPr>
          </w:p>
        </w:tc>
        <w:tc>
          <w:tcPr>
            <w:tcW w:w="3920" w:type="dxa"/>
            <w:vAlign w:val="bottom"/>
            <w:gridSpan w:val="15"/>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21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080" w:type="dxa"/>
            <w:vAlign w:val="bottom"/>
            <w:gridSpan w:val="9"/>
          </w:tcPr>
          <w:p>
            <w:pPr>
              <w:spacing w:after="0"/>
              <w:rPr>
                <w:sz w:val="20"/>
                <w:szCs w:val="20"/>
                <w:color w:val="auto"/>
              </w:rPr>
            </w:pPr>
            <w:r>
              <w:rPr>
                <w:rFonts w:ascii="Arial" w:cs="Arial" w:eastAsia="Arial" w:hAnsi="Arial"/>
                <w:sz w:val="16"/>
                <w:szCs w:val="16"/>
                <w:color w:val="0000EE"/>
              </w:rPr>
              <w:t>Hedging and Pledging Policy</w:t>
            </w:r>
          </w:p>
        </w:tc>
        <w:tc>
          <w:tcPr>
            <w:tcW w:w="4300" w:type="dxa"/>
            <w:vAlign w:val="bottom"/>
            <w:gridSpan w:val="18"/>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21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6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b w:val="1"/>
                <w:bCs w:val="1"/>
                <w:color w:val="0000EE"/>
              </w:rPr>
              <w:t>Proposal No. 2: Advisory Vote, on a Non-Binding Basis, to Approve the</w:t>
            </w:r>
          </w:p>
        </w:tc>
        <w:tc>
          <w:tcPr>
            <w:tcW w:w="1160" w:type="dxa"/>
            <w:vAlign w:val="bottom"/>
            <w:gridSpan w:val="3"/>
          </w:tcPr>
          <w:p>
            <w:pPr>
              <w:spacing w:after="0"/>
              <w:rPr>
                <w:sz w:val="22"/>
                <w:szCs w:val="22"/>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0000EE"/>
              </w:rPr>
              <w:t>22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580" w:type="dxa"/>
            <w:vAlign w:val="bottom"/>
            <w:gridSpan w:val="26"/>
          </w:tcPr>
          <w:p>
            <w:pPr>
              <w:spacing w:after="0" w:line="169" w:lineRule="exact"/>
              <w:rPr>
                <w:sz w:val="20"/>
                <w:szCs w:val="20"/>
                <w:color w:val="auto"/>
              </w:rPr>
            </w:pPr>
            <w:r>
              <w:rPr>
                <w:rFonts w:ascii="Arial" w:cs="Arial" w:eastAsia="Arial" w:hAnsi="Arial"/>
                <w:sz w:val="16"/>
                <w:szCs w:val="16"/>
                <w:b w:val="1"/>
                <w:bCs w:val="1"/>
                <w:color w:val="0000EE"/>
              </w:rPr>
              <w:t>Compensation of Our Named Executive Officers for the Year Ended 2024</w:t>
            </w:r>
          </w:p>
        </w:tc>
        <w:tc>
          <w:tcPr>
            <w:tcW w:w="1040" w:type="dxa"/>
            <w:vAlign w:val="bottom"/>
            <w:gridSpan w:val="2"/>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20" w:type="dxa"/>
            <w:vAlign w:val="bottom"/>
            <w:gridSpan w:val="28"/>
          </w:tcPr>
          <w:p>
            <w:pPr>
              <w:spacing w:after="0"/>
              <w:rPr>
                <w:sz w:val="20"/>
                <w:szCs w:val="20"/>
                <w:color w:val="auto"/>
              </w:rPr>
            </w:pPr>
            <w:r>
              <w:rPr>
                <w:rFonts w:ascii="Arial" w:cs="Arial" w:eastAsia="Arial" w:hAnsi="Arial"/>
                <w:sz w:val="16"/>
                <w:szCs w:val="16"/>
                <w:b w:val="1"/>
                <w:bCs w:val="1"/>
                <w:color w:val="0000EE"/>
              </w:rPr>
              <w:t>Proposal No. 3 Ratification of Selection of Independent Registered Public</w:t>
            </w:r>
          </w:p>
        </w:tc>
        <w:tc>
          <w:tcPr>
            <w:tcW w:w="2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0000EE"/>
              </w:rPr>
              <w:t>23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64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b w:val="1"/>
                <w:bCs w:val="1"/>
                <w:color w:val="0000EE"/>
              </w:rPr>
              <w:t>Accounting Firm</w:t>
            </w:r>
          </w:p>
        </w:tc>
        <w:tc>
          <w:tcPr>
            <w:tcW w:w="980" w:type="dxa"/>
            <w:vAlign w:val="bottom"/>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880" w:type="dxa"/>
            <w:vAlign w:val="bottom"/>
            <w:gridSpan w:val="15"/>
          </w:tcPr>
          <w:p>
            <w:pPr>
              <w:spacing w:after="0"/>
              <w:rPr>
                <w:sz w:val="20"/>
                <w:szCs w:val="20"/>
                <w:color w:val="auto"/>
              </w:rPr>
            </w:pPr>
            <w:r>
              <w:rPr>
                <w:rFonts w:ascii="Arial" w:cs="Arial" w:eastAsia="Arial" w:hAnsi="Arial"/>
                <w:sz w:val="16"/>
                <w:szCs w:val="16"/>
                <w:color w:val="0000EE"/>
              </w:rPr>
              <w:t>Principal Accountant Fees and Services</w:t>
            </w:r>
          </w:p>
        </w:tc>
        <w:tc>
          <w:tcPr>
            <w:tcW w:w="3500" w:type="dxa"/>
            <w:vAlign w:val="bottom"/>
            <w:gridSpan w:val="12"/>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24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880" w:type="dxa"/>
            <w:vAlign w:val="bottom"/>
            <w:gridSpan w:val="15"/>
          </w:tcPr>
          <w:p>
            <w:pPr>
              <w:spacing w:after="0"/>
              <w:rPr>
                <w:sz w:val="20"/>
                <w:szCs w:val="20"/>
                <w:color w:val="auto"/>
              </w:rPr>
            </w:pPr>
            <w:r>
              <w:rPr>
                <w:rFonts w:ascii="Arial" w:cs="Arial" w:eastAsia="Arial" w:hAnsi="Arial"/>
                <w:sz w:val="16"/>
                <w:szCs w:val="16"/>
                <w:color w:val="0000EE"/>
              </w:rPr>
              <w:t>Pre-Approval Policies and Procedures</w:t>
            </w:r>
          </w:p>
        </w:tc>
        <w:tc>
          <w:tcPr>
            <w:tcW w:w="3500" w:type="dxa"/>
            <w:vAlign w:val="bottom"/>
            <w:gridSpan w:val="12"/>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24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20" w:type="dxa"/>
            <w:vAlign w:val="bottom"/>
            <w:gridSpan w:val="28"/>
          </w:tcPr>
          <w:p>
            <w:pPr>
              <w:spacing w:after="0"/>
              <w:rPr>
                <w:sz w:val="20"/>
                <w:szCs w:val="20"/>
                <w:color w:val="auto"/>
              </w:rPr>
            </w:pPr>
            <w:r>
              <w:rPr>
                <w:rFonts w:ascii="Arial" w:cs="Arial" w:eastAsia="Arial" w:hAnsi="Arial"/>
                <w:sz w:val="16"/>
                <w:szCs w:val="16"/>
                <w:b w:val="1"/>
                <w:bCs w:val="1"/>
                <w:color w:val="0000EE"/>
              </w:rPr>
              <w:t>Executive Officers</w:t>
            </w:r>
          </w:p>
        </w:tc>
        <w:tc>
          <w:tcPr>
            <w:tcW w:w="220" w:type="dxa"/>
            <w:vAlign w:val="bottom"/>
            <w:gridSpan w:val="3"/>
          </w:tcPr>
          <w:p>
            <w:pPr>
              <w:jc w:val="right"/>
              <w:spacing w:after="0"/>
              <w:rPr>
                <w:sz w:val="20"/>
                <w:szCs w:val="20"/>
                <w:color w:val="auto"/>
              </w:rPr>
            </w:pPr>
            <w:r>
              <w:rPr>
                <w:rFonts w:ascii="Arial" w:cs="Arial" w:eastAsia="Arial" w:hAnsi="Arial"/>
                <w:sz w:val="16"/>
                <w:szCs w:val="16"/>
                <w:b w:val="1"/>
                <w:bCs w:val="1"/>
                <w:color w:val="0000EE"/>
              </w:rPr>
              <w:t>25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40" w:type="dxa"/>
            <w:vAlign w:val="bottom"/>
            <w:gridSpan w:val="24"/>
          </w:tcPr>
          <w:p>
            <w:pPr>
              <w:spacing w:after="0"/>
              <w:rPr>
                <w:sz w:val="20"/>
                <w:szCs w:val="20"/>
                <w:color w:val="auto"/>
              </w:rPr>
            </w:pPr>
            <w:r>
              <w:rPr>
                <w:rFonts w:ascii="Arial" w:cs="Arial" w:eastAsia="Arial" w:hAnsi="Arial"/>
                <w:sz w:val="16"/>
                <w:szCs w:val="16"/>
                <w:b w:val="1"/>
                <w:bCs w:val="1"/>
                <w:color w:val="0000EE"/>
              </w:rPr>
              <w:t>Security Ownership of Certain Beneficial Owners and Management</w:t>
            </w:r>
          </w:p>
        </w:tc>
        <w:tc>
          <w:tcPr>
            <w:tcW w:w="1480" w:type="dxa"/>
            <w:vAlign w:val="bottom"/>
            <w:gridSpan w:val="4"/>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b w:val="1"/>
                <w:bCs w:val="1"/>
                <w:color w:val="0000EE"/>
              </w:rPr>
              <w:t>26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900" w:type="dxa"/>
            <w:vAlign w:val="bottom"/>
            <w:gridSpan w:val="7"/>
          </w:tcPr>
          <w:p>
            <w:pPr>
              <w:spacing w:after="0"/>
              <w:rPr>
                <w:sz w:val="20"/>
                <w:szCs w:val="20"/>
                <w:color w:val="auto"/>
              </w:rPr>
            </w:pPr>
            <w:r>
              <w:rPr>
                <w:rFonts w:ascii="Arial" w:cs="Arial" w:eastAsia="Arial" w:hAnsi="Arial"/>
                <w:sz w:val="16"/>
                <w:szCs w:val="16"/>
                <w:b w:val="1"/>
                <w:bCs w:val="1"/>
                <w:color w:val="0000EE"/>
                <w:w w:val="97"/>
              </w:rPr>
              <w:t>Executive Compensation</w:t>
            </w:r>
          </w:p>
        </w:tc>
        <w:tc>
          <w:tcPr>
            <w:tcW w:w="3240" w:type="dxa"/>
            <w:vAlign w:val="bottom"/>
            <w:gridSpan w:val="17"/>
          </w:tcPr>
          <w:p>
            <w:pPr>
              <w:spacing w:after="0"/>
              <w:rPr>
                <w:sz w:val="22"/>
                <w:szCs w:val="22"/>
                <w:color w:val="auto"/>
              </w:rPr>
            </w:pPr>
          </w:p>
        </w:tc>
        <w:tc>
          <w:tcPr>
            <w:tcW w:w="1480" w:type="dxa"/>
            <w:vAlign w:val="bottom"/>
            <w:gridSpan w:val="4"/>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b w:val="1"/>
                <w:bCs w:val="1"/>
                <w:color w:val="0000EE"/>
              </w:rPr>
              <w:t>29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560" w:type="dxa"/>
            <w:vAlign w:val="bottom"/>
            <w:tcBorders>
              <w:left w:val="single" w:sz="8" w:color="0000EE"/>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6380" w:type="dxa"/>
            <w:vAlign w:val="bottom"/>
            <w:gridSpan w:val="27"/>
          </w:tcPr>
          <w:p>
            <w:pPr>
              <w:spacing w:after="0"/>
              <w:rPr>
                <w:sz w:val="20"/>
                <w:szCs w:val="20"/>
                <w:color w:val="auto"/>
              </w:rPr>
            </w:pPr>
            <w:r>
              <w:rPr>
                <w:rFonts w:ascii="Arial" w:cs="Arial" w:eastAsia="Arial" w:hAnsi="Arial"/>
                <w:sz w:val="16"/>
                <w:szCs w:val="16"/>
                <w:color w:val="0000EE"/>
              </w:rPr>
              <w:t>Summary Compensation Table</w:t>
            </w: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39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6380" w:type="dxa"/>
            <w:vAlign w:val="bottom"/>
            <w:gridSpan w:val="27"/>
          </w:tcPr>
          <w:p>
            <w:pPr>
              <w:spacing w:after="0"/>
              <w:rPr>
                <w:sz w:val="20"/>
                <w:szCs w:val="20"/>
                <w:color w:val="auto"/>
              </w:rPr>
            </w:pPr>
            <w:r>
              <w:rPr>
                <w:rFonts w:ascii="Arial" w:cs="Arial" w:eastAsia="Arial" w:hAnsi="Arial"/>
                <w:sz w:val="16"/>
                <w:szCs w:val="16"/>
                <w:color w:val="0000EE"/>
              </w:rPr>
              <w:t>Outstanding Equity Awards at Fiscal Year-End</w:t>
            </w: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40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4260" w:type="dxa"/>
            <w:vAlign w:val="bottom"/>
            <w:gridSpan w:val="21"/>
          </w:tcPr>
          <w:p>
            <w:pPr>
              <w:spacing w:after="0"/>
              <w:rPr>
                <w:sz w:val="20"/>
                <w:szCs w:val="20"/>
                <w:color w:val="auto"/>
              </w:rPr>
            </w:pPr>
            <w:r>
              <w:rPr>
                <w:rFonts w:ascii="Arial" w:cs="Arial" w:eastAsia="Arial" w:hAnsi="Arial"/>
                <w:sz w:val="16"/>
                <w:szCs w:val="16"/>
                <w:color w:val="0000EE"/>
              </w:rPr>
              <w:t>Potential Payments Upon Termination or Change in Control</w:t>
            </w:r>
          </w:p>
        </w:tc>
        <w:tc>
          <w:tcPr>
            <w:tcW w:w="2120" w:type="dxa"/>
            <w:vAlign w:val="bottom"/>
            <w:gridSpan w:val="6"/>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42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1740" w:type="dxa"/>
            <w:vAlign w:val="bottom"/>
            <w:gridSpan w:val="9"/>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1660" w:type="dxa"/>
            <w:vAlign w:val="bottom"/>
            <w:gridSpan w:val="6"/>
          </w:tcPr>
          <w:p>
            <w:pPr>
              <w:spacing w:after="0"/>
              <w:rPr>
                <w:sz w:val="20"/>
                <w:szCs w:val="20"/>
                <w:color w:val="auto"/>
              </w:rPr>
            </w:pPr>
            <w:r>
              <w:rPr>
                <w:rFonts w:ascii="Arial" w:cs="Arial" w:eastAsia="Arial" w:hAnsi="Arial"/>
                <w:sz w:val="16"/>
                <w:szCs w:val="16"/>
                <w:color w:val="0000EE"/>
                <w:w w:val="98"/>
              </w:rPr>
              <w:t>Director Compensation</w:t>
            </w:r>
          </w:p>
        </w:tc>
        <w:tc>
          <w:tcPr>
            <w:tcW w:w="2600" w:type="dxa"/>
            <w:vAlign w:val="bottom"/>
            <w:gridSpan w:val="15"/>
          </w:tcPr>
          <w:p>
            <w:pPr>
              <w:spacing w:after="0"/>
              <w:rPr>
                <w:sz w:val="22"/>
                <w:szCs w:val="22"/>
                <w:color w:val="auto"/>
              </w:rPr>
            </w:pPr>
          </w:p>
        </w:tc>
        <w:tc>
          <w:tcPr>
            <w:tcW w:w="2120" w:type="dxa"/>
            <w:vAlign w:val="bottom"/>
            <w:gridSpan w:val="6"/>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0000EE"/>
              </w:rPr>
              <w:t>43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900" w:type="dxa"/>
            <w:vAlign w:val="bottom"/>
            <w:gridSpan w:val="7"/>
          </w:tcPr>
          <w:p>
            <w:pPr>
              <w:spacing w:after="0"/>
              <w:rPr>
                <w:sz w:val="20"/>
                <w:szCs w:val="20"/>
                <w:color w:val="auto"/>
              </w:rPr>
            </w:pPr>
            <w:r>
              <w:rPr>
                <w:rFonts w:ascii="Arial" w:cs="Arial" w:eastAsia="Arial" w:hAnsi="Arial"/>
                <w:sz w:val="16"/>
                <w:szCs w:val="16"/>
                <w:b w:val="1"/>
                <w:bCs w:val="1"/>
                <w:color w:val="0000EE"/>
                <w:w w:val="98"/>
              </w:rPr>
              <w:t>Pay Versus Performance</w:t>
            </w:r>
          </w:p>
        </w:tc>
        <w:tc>
          <w:tcPr>
            <w:tcW w:w="4720" w:type="dxa"/>
            <w:vAlign w:val="bottom"/>
            <w:gridSpan w:val="21"/>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b w:val="1"/>
                <w:bCs w:val="1"/>
                <w:color w:val="0000EE"/>
              </w:rPr>
              <w:t>47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20" w:type="dxa"/>
            <w:vAlign w:val="bottom"/>
            <w:gridSpan w:val="28"/>
          </w:tcPr>
          <w:p>
            <w:pPr>
              <w:spacing w:after="0"/>
              <w:rPr>
                <w:sz w:val="20"/>
                <w:szCs w:val="20"/>
                <w:color w:val="auto"/>
              </w:rPr>
            </w:pPr>
            <w:r>
              <w:rPr>
                <w:rFonts w:ascii="Arial" w:cs="Arial" w:eastAsia="Arial" w:hAnsi="Arial"/>
                <w:sz w:val="16"/>
                <w:szCs w:val="16"/>
                <w:b w:val="1"/>
                <w:bCs w:val="1"/>
                <w:color w:val="0000EE"/>
              </w:rPr>
              <w:t>Certain Relationships and Related Person Transactions</w:t>
            </w:r>
          </w:p>
        </w:tc>
        <w:tc>
          <w:tcPr>
            <w:tcW w:w="220" w:type="dxa"/>
            <w:vAlign w:val="bottom"/>
            <w:gridSpan w:val="3"/>
          </w:tcPr>
          <w:p>
            <w:pPr>
              <w:jc w:val="right"/>
              <w:spacing w:after="0"/>
              <w:rPr>
                <w:sz w:val="20"/>
                <w:szCs w:val="20"/>
                <w:color w:val="auto"/>
              </w:rPr>
            </w:pPr>
            <w:r>
              <w:rPr>
                <w:rFonts w:ascii="Arial" w:cs="Arial" w:eastAsia="Arial" w:hAnsi="Arial"/>
                <w:sz w:val="16"/>
                <w:szCs w:val="16"/>
                <w:b w:val="1"/>
                <w:bCs w:val="1"/>
                <w:color w:val="0000EE"/>
              </w:rPr>
              <w:t>51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480" w:type="dxa"/>
            <w:vAlign w:val="bottom"/>
            <w:gridSpan w:val="10"/>
            <w:shd w:val="clear" w:color="auto" w:fill="0000EE"/>
          </w:tcPr>
          <w:p>
            <w:pPr>
              <w:spacing w:after="0" w:line="20" w:lineRule="exact"/>
              <w:rPr>
                <w:sz w:val="1"/>
                <w:szCs w:val="1"/>
                <w:color w:val="auto"/>
              </w:rPr>
            </w:pPr>
          </w:p>
        </w:tc>
        <w:tc>
          <w:tcPr>
            <w:tcW w:w="1740" w:type="dxa"/>
            <w:vAlign w:val="bottom"/>
            <w:gridSpan w:val="9"/>
            <w:shd w:val="clear" w:color="auto" w:fill="0000EE"/>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520" w:type="dxa"/>
            <w:vAlign w:val="bottom"/>
            <w:gridSpan w:val="12"/>
          </w:tcPr>
          <w:p>
            <w:pPr>
              <w:spacing w:after="0"/>
              <w:rPr>
                <w:sz w:val="20"/>
                <w:szCs w:val="20"/>
                <w:color w:val="auto"/>
              </w:rPr>
            </w:pPr>
            <w:r>
              <w:rPr>
                <w:rFonts w:ascii="Arial" w:cs="Arial" w:eastAsia="Arial" w:hAnsi="Arial"/>
                <w:sz w:val="16"/>
                <w:szCs w:val="16"/>
                <w:b w:val="1"/>
                <w:bCs w:val="1"/>
                <w:color w:val="0000EE"/>
              </w:rPr>
              <w:t>Householding of Proxy Materials</w:t>
            </w:r>
          </w:p>
        </w:tc>
        <w:tc>
          <w:tcPr>
            <w:tcW w:w="1740" w:type="dxa"/>
            <w:vAlign w:val="bottom"/>
            <w:gridSpan w:val="9"/>
          </w:tcPr>
          <w:p>
            <w:pPr>
              <w:spacing w:after="0"/>
              <w:rPr>
                <w:sz w:val="22"/>
                <w:szCs w:val="22"/>
                <w:color w:val="auto"/>
              </w:rPr>
            </w:pPr>
          </w:p>
        </w:tc>
        <w:tc>
          <w:tcPr>
            <w:tcW w:w="2360" w:type="dxa"/>
            <w:vAlign w:val="bottom"/>
            <w:gridSpan w:val="7"/>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b w:val="1"/>
                <w:bCs w:val="1"/>
                <w:color w:val="0000EE"/>
              </w:rPr>
              <w:t>56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480" w:type="dxa"/>
            <w:vAlign w:val="bottom"/>
            <w:gridSpan w:val="10"/>
            <w:shd w:val="clear" w:color="auto" w:fill="0000EE"/>
          </w:tcPr>
          <w:p>
            <w:pPr>
              <w:spacing w:after="0" w:line="20" w:lineRule="exact"/>
              <w:rPr>
                <w:sz w:val="1"/>
                <w:szCs w:val="1"/>
                <w:color w:val="auto"/>
              </w:rPr>
            </w:pPr>
          </w:p>
        </w:tc>
        <w:tc>
          <w:tcPr>
            <w:tcW w:w="4100" w:type="dxa"/>
            <w:vAlign w:val="bottom"/>
            <w:gridSpan w:val="1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20" w:type="dxa"/>
            <w:vAlign w:val="bottom"/>
            <w:gridSpan w:val="12"/>
          </w:tcPr>
          <w:p>
            <w:pPr>
              <w:spacing w:after="0"/>
              <w:rPr>
                <w:sz w:val="20"/>
                <w:szCs w:val="20"/>
                <w:color w:val="auto"/>
              </w:rPr>
            </w:pPr>
            <w:r>
              <w:rPr>
                <w:rFonts w:ascii="Arial" w:cs="Arial" w:eastAsia="Arial" w:hAnsi="Arial"/>
                <w:sz w:val="16"/>
                <w:szCs w:val="16"/>
                <w:b w:val="1"/>
                <w:bCs w:val="1"/>
                <w:color w:val="0000EE"/>
              </w:rPr>
              <w:t>Other Matters</w:t>
            </w:r>
          </w:p>
        </w:tc>
        <w:tc>
          <w:tcPr>
            <w:tcW w:w="4100" w:type="dxa"/>
            <w:vAlign w:val="bottom"/>
            <w:gridSpan w:val="16"/>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b w:val="1"/>
                <w:bCs w:val="1"/>
                <w:color w:val="0000EE"/>
              </w:rPr>
              <w:t>57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308610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-1544955</wp:posOffset>
            </wp:positionH>
            <wp:positionV relativeFrom="paragraph">
              <wp:posOffset>154305</wp:posOffset>
            </wp:positionV>
            <wp:extent cx="59664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2">
            <w:col w:w="1720" w:space="720"/>
            <w:col w:w="6960"/>
          </w:cols>
          <w:pgMar w:left="1240" w:top="114" w:right="1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7" w:lineRule="exact"/>
        <w:rPr>
          <w:sz w:val="20"/>
          <w:szCs w:val="20"/>
          <w:color w:val="auto"/>
        </w:rPr>
      </w:pPr>
    </w:p>
    <w:p>
      <w:pPr>
        <w:ind w:left="2380"/>
        <w:spacing w:after="0"/>
        <w:rPr>
          <w:sz w:val="20"/>
          <w:szCs w:val="20"/>
          <w:color w:val="auto"/>
        </w:rPr>
      </w:pPr>
      <w:r>
        <w:rPr>
          <w:rFonts w:ascii="Arial" w:cs="Arial" w:eastAsia="Arial" w:hAnsi="Arial"/>
          <w:sz w:val="56"/>
          <w:szCs w:val="56"/>
          <w:color w:val="auto"/>
        </w:rPr>
        <w:t>WM Technology, Inc.</w:t>
      </w:r>
    </w:p>
    <w:p>
      <w:pPr>
        <w:spacing w:after="0" w:line="76" w:lineRule="exact"/>
        <w:rPr>
          <w:sz w:val="20"/>
          <w:szCs w:val="20"/>
          <w:color w:val="auto"/>
        </w:rPr>
      </w:pPr>
    </w:p>
    <w:p>
      <w:pPr>
        <w:ind w:left="2380"/>
        <w:spacing w:after="0"/>
        <w:rPr>
          <w:sz w:val="20"/>
          <w:szCs w:val="20"/>
          <w:color w:val="auto"/>
        </w:rPr>
      </w:pPr>
      <w:r>
        <w:rPr>
          <w:rFonts w:ascii="Arial" w:cs="Arial" w:eastAsia="Arial" w:hAnsi="Arial"/>
          <w:sz w:val="58"/>
          <w:szCs w:val="58"/>
          <w:color w:val="auto"/>
        </w:rPr>
        <w:t>Proxy Statement</w:t>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22"/>
          <w:szCs w:val="22"/>
          <w:b w:val="1"/>
          <w:bCs w:val="1"/>
          <w:color w:val="auto"/>
        </w:rPr>
        <w:t>For the 2025 Annual Meeting of Stockholders to be Held at 10:00 a.m. Pacific Time on Tuesday, June 24,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We have sent you these proxy materials because the Board of Directors of WM Technology, Inc. (the “Board”) is soliciting your proxy to vote at the 2025 Annual Meeting of Stockholders (the “Annual Meeting”), including at any adjournments or postponements thereof, to be held via a live audio webcast on Tuesday, June 24, 2025 at 10:00 a.m. Pacific Time. The Annual Meeting can be accessed by visiting </w:t>
      </w:r>
      <w:r>
        <w:rPr>
          <w:rFonts w:ascii="Arial" w:cs="Arial" w:eastAsia="Arial" w:hAnsi="Arial"/>
          <w:sz w:val="16"/>
          <w:szCs w:val="16"/>
          <w:u w:val="single" w:color="auto"/>
          <w:color w:val="auto"/>
        </w:rPr>
        <w:t>www.virtualshareholdermeeting.com/MAPS2025</w:t>
      </w:r>
      <w:r>
        <w:rPr>
          <w:rFonts w:ascii="Arial" w:cs="Arial" w:eastAsia="Arial" w:hAnsi="Arial"/>
          <w:sz w:val="16"/>
          <w:szCs w:val="16"/>
          <w:color w:val="auto"/>
        </w:rPr>
        <w:t xml:space="preserve"> where you will be able to listen to the meeting live, submit questions and vote online.</w:t>
      </w:r>
    </w:p>
    <w:p>
      <w:pPr>
        <w:spacing w:after="0" w:line="10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You are invited to attend the Annual Meeting to vote on the proposals described in this proxy statement (the “Proxy Statement”). However, you do not need to attend the Annual Meeting to vote your shares. Instead, you may simply follow the instructions below to submit your proxy. The proxy materials, including this Proxy Statement and our 2024 Annual Report, are being distributed and made available on or about Tuesday, April 29, 2025. As used in this Proxy Statement, references to “we,” “us,” “our,” “WM Technology” and the “Company” refer to WM Technology, Inc. and its subsidiaries.</w:t>
      </w:r>
    </w:p>
    <w:p>
      <w:pPr>
        <w:spacing w:after="0" w:line="11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Information contained on, or that can be accessed through, our website is not incorporated by reference into this Proxy Statement and references to our website address in this Proxy Statement are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117475</wp:posOffset>
            </wp:positionV>
            <wp:extent cx="59664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300"/>
            <w:col w:w="7020"/>
          </w:cols>
          <w:pgMar w:left="1240" w:top="114" w:right="1259" w:bottom="1440" w:gutter="0" w:footer="0" w:header="0"/>
          <w:type w:val="continuous"/>
        </w:sectPr>
      </w:pPr>
    </w:p>
    <w:p>
      <w:pPr>
        <w:spacing w:after="0" w:line="305" w:lineRule="exact"/>
        <w:rPr>
          <w:sz w:val="20"/>
          <w:szCs w:val="20"/>
          <w:color w:val="auto"/>
        </w:rPr>
      </w:pPr>
    </w:p>
    <w:p>
      <w:pPr>
        <w:ind w:left="3060"/>
        <w:spacing w:after="0"/>
        <w:tabs>
          <w:tab w:leader="none" w:pos="464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7" w:lineRule="exact"/>
        <w:rPr>
          <w:sz w:val="20"/>
          <w:szCs w:val="20"/>
          <w:color w:val="auto"/>
        </w:rPr>
      </w:pPr>
    </w:p>
    <w:p>
      <w:pPr>
        <w:ind w:left="2380" w:right="900"/>
        <w:spacing w:after="0" w:line="262" w:lineRule="auto"/>
        <w:rPr>
          <w:sz w:val="20"/>
          <w:szCs w:val="20"/>
          <w:color w:val="auto"/>
        </w:rPr>
      </w:pPr>
      <w:r>
        <w:rPr>
          <w:rFonts w:ascii="Arial" w:cs="Arial" w:eastAsia="Arial" w:hAnsi="Arial"/>
          <w:sz w:val="57"/>
          <w:szCs w:val="57"/>
          <w:color w:val="auto"/>
        </w:rPr>
        <w:t>Questions and Answers About These Proxy Materials and Voting</w:t>
      </w:r>
    </w:p>
    <w:p>
      <w:pPr>
        <w:sectPr>
          <w:pgSz w:w="11900" w:h="16838" w:orient="portrait"/>
          <w:cols w:equalWidth="0" w:num="1">
            <w:col w:w="9360"/>
          </w:cols>
          <w:pgMar w:left="1240" w:top="114" w:right="129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line="241" w:lineRule="auto"/>
        <w:rPr>
          <w:sz w:val="20"/>
          <w:szCs w:val="20"/>
          <w:color w:val="auto"/>
        </w:rPr>
      </w:pPr>
      <w:r>
        <w:rPr>
          <w:rFonts w:ascii="Arial" w:cs="Arial" w:eastAsia="Arial" w:hAnsi="Arial"/>
          <w:sz w:val="22"/>
          <w:szCs w:val="22"/>
          <w:b w:val="1"/>
          <w:bCs w:val="1"/>
          <w:color w:val="auto"/>
        </w:rPr>
        <w:t>Why did I receive a notice regarding the availability of proxy materials on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69" w:lineRule="auto"/>
        <w:rPr>
          <w:sz w:val="20"/>
          <w:szCs w:val="20"/>
          <w:color w:val="auto"/>
        </w:rPr>
      </w:pPr>
      <w:r>
        <w:rPr>
          <w:rFonts w:ascii="Arial" w:cs="Arial" w:eastAsia="Arial" w:hAnsi="Arial"/>
          <w:sz w:val="21"/>
          <w:szCs w:val="21"/>
          <w:b w:val="1"/>
          <w:bCs w:val="1"/>
          <w:color w:val="auto"/>
        </w:rPr>
        <w:t>Will I receive any other proxy materials by 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is soliciting your proxy to vote at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provided some of our stockholders, including stockholders who have previously requested to receive paper copies of the proxy materials, with paper copies of the proxy materials instead of the Notice. If you received paper copies of the proxy materials, we encourage you to help us save money and reduce the environmental impact of delivering paper proxy materials to stockholders by signing up to receive all of your future proxy materials electronically.</w:t>
      </w:r>
    </w:p>
    <w:p>
      <w:pPr>
        <w:spacing w:after="0" w:line="139"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We intend to mail the Notice on or about Tuesday, April 29, 2025 to all stockholders of record entitled to vote at the annual meeting.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We may send you a proxy card, along with a second Notice, on or after Friday, May 9, 2025.</w:t>
      </w:r>
    </w:p>
    <w:p>
      <w:pPr>
        <w:spacing w:after="0" w:line="813" w:lineRule="exact"/>
        <w:rPr>
          <w:sz w:val="20"/>
          <w:szCs w:val="20"/>
          <w:color w:val="auto"/>
        </w:rPr>
      </w:pPr>
    </w:p>
    <w:p>
      <w:pPr>
        <w:sectPr>
          <w:pgSz w:w="11900" w:h="16838" w:orient="portrait"/>
          <w:cols w:equalWidth="0" w:num="2">
            <w:col w:w="2080" w:space="300"/>
            <w:col w:w="6980"/>
          </w:cols>
          <w:pgMar w:left="1240" w:top="114" w:right="1299" w:bottom="1440" w:gutter="0" w:footer="0" w:header="0"/>
          <w:type w:val="continuous"/>
        </w:sectPr>
      </w:pPr>
    </w:p>
    <w:p>
      <w:pPr>
        <w:spacing w:after="0" w:line="190" w:lineRule="exact"/>
        <w:rPr>
          <w:sz w:val="20"/>
          <w:szCs w:val="20"/>
          <w:color w:val="auto"/>
        </w:rPr>
      </w:pPr>
    </w:p>
    <w:p>
      <w:pPr>
        <w:spacing w:after="0" w:line="297" w:lineRule="auto"/>
        <w:rPr>
          <w:sz w:val="20"/>
          <w:szCs w:val="20"/>
          <w:color w:val="auto"/>
        </w:rPr>
      </w:pPr>
      <w:r>
        <w:rPr>
          <w:rFonts w:ascii="Arial" w:cs="Arial" w:eastAsia="Arial" w:hAnsi="Arial"/>
          <w:sz w:val="21"/>
          <w:szCs w:val="21"/>
          <w:b w:val="1"/>
          <w:bCs w:val="1"/>
          <w:color w:val="auto"/>
        </w:rPr>
        <w:t>How do I attend the Annual Meeting?</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The Annual Meeting will be held through a live audio webcast at </w:t>
      </w:r>
      <w:r>
        <w:rPr>
          <w:rFonts w:ascii="Arial" w:cs="Arial" w:eastAsia="Arial" w:hAnsi="Arial"/>
          <w:sz w:val="16"/>
          <w:szCs w:val="16"/>
          <w:u w:val="single" w:color="auto"/>
          <w:color w:val="auto"/>
        </w:rPr>
        <w:t>www.virtualshareholdermeeting.com/MAPS2025</w:t>
      </w:r>
      <w:r>
        <w:rPr>
          <w:rFonts w:ascii="Arial" w:cs="Arial" w:eastAsia="Arial" w:hAnsi="Arial"/>
          <w:sz w:val="16"/>
          <w:szCs w:val="16"/>
          <w:color w:val="auto"/>
        </w:rPr>
        <w:t xml:space="preserve"> . You are entitled to attend the Annual Meeting if you were a stockholder of record as of the close of business on Monday, April 28, 2025. If you attend the Annual Meeting online, you will be able to vote and submit questions at </w:t>
      </w:r>
      <w:r>
        <w:rPr>
          <w:rFonts w:ascii="Arial" w:cs="Arial" w:eastAsia="Arial" w:hAnsi="Arial"/>
          <w:sz w:val="16"/>
          <w:szCs w:val="16"/>
          <w:u w:val="single" w:color="auto"/>
          <w:color w:val="auto"/>
        </w:rPr>
        <w:t>www.virtualshareholdermeeting.com/MAPS2025</w:t>
      </w:r>
      <w:r>
        <w:rPr>
          <w:rFonts w:ascii="Arial" w:cs="Arial" w:eastAsia="Arial" w:hAnsi="Arial"/>
          <w:sz w:val="16"/>
          <w:szCs w:val="16"/>
          <w:color w:val="auto"/>
        </w:rPr>
        <w:t xml:space="preserve">. To be admitted to the Annual Meeting, you will need to visit </w:t>
      </w:r>
      <w:r>
        <w:rPr>
          <w:rFonts w:ascii="Arial" w:cs="Arial" w:eastAsia="Arial" w:hAnsi="Arial"/>
          <w:sz w:val="16"/>
          <w:szCs w:val="16"/>
          <w:u w:val="single" w:color="auto"/>
          <w:color w:val="auto"/>
        </w:rPr>
        <w:t>www.virtualshareholdermeeting.com/MAPS2025</w:t>
      </w:r>
      <w:r>
        <w:rPr>
          <w:rFonts w:ascii="Arial" w:cs="Arial" w:eastAsia="Arial" w:hAnsi="Arial"/>
          <w:sz w:val="16"/>
          <w:szCs w:val="16"/>
          <w:color w:val="auto"/>
        </w:rPr>
        <w:t xml:space="preserve"> and enter the 16-digit Control Number found next to the label “Control Number” on your Notice, proxy card or in the email sending you the Proxy Statement. If you are a beneficial owner, you should contact the bank, broker or other institution where you hold your account well in advance of the meeting if you have questions about obtaining your Control Number.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Whether or not you participate in the Annual Meeting, it is important that you vote your shares.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encourage you to access the Annual Meeting prior to the designated start time. Online check-in will begin at 9:45 a.m. Pacific Time, and you should allow reasonable time for the check-in procedures. Participation in the Annual Meeting is limited due to the capacity of the host platform and access to the meeting will be accepted on a first come, first served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130175</wp:posOffset>
            </wp:positionV>
            <wp:extent cx="5966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380"/>
            <w:col w:w="6980"/>
          </w:cols>
          <w:pgMar w:left="1240" w:top="114" w:right="1299" w:bottom="1440" w:gutter="0" w:footer="0" w:header="0"/>
          <w:type w:val="continuous"/>
        </w:sectPr>
      </w:pPr>
    </w:p>
    <w:p>
      <w:pPr>
        <w:spacing w:after="0" w:line="325" w:lineRule="exact"/>
        <w:rPr>
          <w:sz w:val="20"/>
          <w:szCs w:val="20"/>
          <w:color w:val="auto"/>
        </w:rPr>
      </w:pPr>
    </w:p>
    <w:p>
      <w:pPr>
        <w:ind w:left="3060"/>
        <w:spacing w:after="0"/>
        <w:tabs>
          <w:tab w:leader="none" w:pos="464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0"/>
          <w:szCs w:val="20"/>
          <w:color w:val="auto"/>
        </w:rPr>
      </w:pPr>
    </w:p>
    <w:p>
      <w:pPr>
        <w:spacing w:after="0" w:line="297" w:lineRule="auto"/>
        <w:rPr>
          <w:sz w:val="20"/>
          <w:szCs w:val="20"/>
          <w:color w:val="auto"/>
        </w:rPr>
      </w:pPr>
      <w:r>
        <w:rPr>
          <w:rFonts w:ascii="Arial" w:cs="Arial" w:eastAsia="Arial" w:hAnsi="Arial"/>
          <w:sz w:val="21"/>
          <w:szCs w:val="21"/>
          <w:b w:val="1"/>
          <w:bCs w:val="1"/>
          <w:color w:val="auto"/>
        </w:rPr>
        <w:t>What if I cannot find my Control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b w:val="1"/>
          <w:bCs w:val="1"/>
          <w:color w:val="auto"/>
        </w:rPr>
        <w:t>Where can I get technical assistance?</w:t>
      </w:r>
    </w:p>
    <w:p>
      <w:pPr>
        <w:spacing w:after="0" w:line="200" w:lineRule="exact"/>
        <w:rPr>
          <w:sz w:val="20"/>
          <w:szCs w:val="20"/>
          <w:color w:val="auto"/>
        </w:rPr>
      </w:pPr>
    </w:p>
    <w:p>
      <w:pPr>
        <w:spacing w:after="0" w:line="208" w:lineRule="exact"/>
        <w:rPr>
          <w:sz w:val="20"/>
          <w:szCs w:val="20"/>
          <w:color w:val="auto"/>
        </w:rPr>
      </w:pPr>
    </w:p>
    <w:p>
      <w:pPr>
        <w:ind w:right="340"/>
        <w:spacing w:after="0" w:line="241" w:lineRule="auto"/>
        <w:rPr>
          <w:sz w:val="20"/>
          <w:szCs w:val="20"/>
          <w:color w:val="auto"/>
        </w:rPr>
      </w:pPr>
      <w:r>
        <w:rPr>
          <w:rFonts w:ascii="Arial" w:cs="Arial" w:eastAsia="Arial" w:hAnsi="Arial"/>
          <w:sz w:val="22"/>
          <w:szCs w:val="22"/>
          <w:b w:val="1"/>
          <w:bCs w:val="1"/>
          <w:color w:val="auto"/>
        </w:rPr>
        <w:t>For the Annual Meeting, how do I ask questions of management and the Board?</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Please note that if you do not have your Control Number and you are a registered stockholder, you will still be able to login as a guest. To view the meeting webcast visit </w:t>
      </w:r>
      <w:r>
        <w:rPr>
          <w:rFonts w:ascii="Arial" w:cs="Arial" w:eastAsia="Arial" w:hAnsi="Arial"/>
          <w:sz w:val="16"/>
          <w:szCs w:val="16"/>
          <w:u w:val="single" w:color="auto"/>
          <w:color w:val="auto"/>
        </w:rPr>
        <w:t>www.virtualshareholdermeeting.com/MAPS2025</w:t>
      </w:r>
      <w:r>
        <w:rPr>
          <w:rFonts w:ascii="Arial" w:cs="Arial" w:eastAsia="Arial" w:hAnsi="Arial"/>
          <w:sz w:val="16"/>
          <w:szCs w:val="16"/>
          <w:color w:val="auto"/>
        </w:rPr>
        <w:t xml:space="preserve"> and register as a guest. However, if you login as a guest, you will not be able to vote your shares or ask questions during the meeting.</w:t>
      </w:r>
    </w:p>
    <w:p>
      <w:pPr>
        <w:spacing w:after="0" w:line="137" w:lineRule="exact"/>
        <w:rPr>
          <w:sz w:val="20"/>
          <w:szCs w:val="20"/>
          <w:color w:val="auto"/>
        </w:rPr>
      </w:pPr>
    </w:p>
    <w:p>
      <w:pPr>
        <w:jc w:val="both"/>
        <w:ind w:right="380"/>
        <w:spacing w:after="0" w:line="266" w:lineRule="auto"/>
        <w:rPr>
          <w:sz w:val="20"/>
          <w:szCs w:val="20"/>
          <w:color w:val="auto"/>
        </w:rPr>
      </w:pPr>
      <w:r>
        <w:rPr>
          <w:rFonts w:ascii="Arial" w:cs="Arial" w:eastAsia="Arial" w:hAnsi="Arial"/>
          <w:sz w:val="16"/>
          <w:szCs w:val="16"/>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00" w:lineRule="exact"/>
        <w:rPr>
          <w:sz w:val="20"/>
          <w:szCs w:val="20"/>
          <w:color w:val="auto"/>
        </w:rPr>
      </w:pPr>
    </w:p>
    <w:p>
      <w:pPr>
        <w:spacing w:after="0" w:line="22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If you encounter any difficulties accessing the Annual Meeting during the check-in or meeting time, please call the technical support number that will be posted on the Annual Meeting log-in page.</w:t>
      </w:r>
    </w:p>
    <w:p>
      <w:pPr>
        <w:spacing w:after="0" w:line="200" w:lineRule="exact"/>
        <w:rPr>
          <w:sz w:val="20"/>
          <w:szCs w:val="20"/>
          <w:color w:val="auto"/>
        </w:rPr>
      </w:pPr>
    </w:p>
    <w:p>
      <w:pPr>
        <w:spacing w:after="0" w:line="39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We plan to have a Q&amp;A session at the Annual Meeting. Questions may be submitted prior to the Annual Meeting through </w:t>
      </w:r>
      <w:r>
        <w:rPr>
          <w:rFonts w:ascii="Arial" w:cs="Arial" w:eastAsia="Arial" w:hAnsi="Arial"/>
          <w:sz w:val="16"/>
          <w:szCs w:val="16"/>
          <w:u w:val="single" w:color="auto"/>
          <w:color w:val="auto"/>
        </w:rPr>
        <w:t>www.virtualshareholdermeeting.com/MAPS2025</w:t>
      </w:r>
      <w:r>
        <w:rPr>
          <w:rFonts w:ascii="Arial" w:cs="Arial" w:eastAsia="Arial" w:hAnsi="Arial"/>
          <w:sz w:val="16"/>
          <w:szCs w:val="16"/>
          <w:color w:val="auto"/>
        </w:rPr>
        <w:t>. During the live Q&amp;A session of the Annual Meeting, we may answer questions as they come in to the extent relevant to the business of the Annual Meeting and as time permits. Questions that are not relevant to the proposals to be voted on at the Annual Meeting will not be responded to.</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 xml:space="preserve">We plan to address stockholder Q&amp;A at the Annual Meeting and will include as many stockholder questions as the allotted time permits. Stockholders may submit questions relevant to the business of the Annual Meeting in advance of the Annual Meeting. If you are a stockholder, you may submit a question in advance of the Annual Meeting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after logging in with your Control Number. Questions may be submitted prior to the Annual Meeting through </w:t>
      </w:r>
      <w:r>
        <w:rPr>
          <w:rFonts w:ascii="Arial" w:cs="Arial" w:eastAsia="Arial" w:hAnsi="Arial"/>
          <w:sz w:val="16"/>
          <w:szCs w:val="16"/>
          <w:u w:val="single" w:color="auto"/>
          <w:color w:val="auto"/>
        </w:rPr>
        <w:t>www.virtualshareholdermeeting.com/MAPS2025</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2160" w:space="220"/>
            <w:col w:w="7000"/>
          </w:cols>
          <w:pgMar w:left="1240" w:top="114" w:right="1279" w:bottom="1440" w:gutter="0" w:footer="0" w:header="0"/>
        </w:sectPr>
      </w:pPr>
    </w:p>
    <w:p>
      <w:pPr>
        <w:spacing w:after="0" w:line="224" w:lineRule="exact"/>
        <w:rPr>
          <w:sz w:val="20"/>
          <w:szCs w:val="20"/>
          <w:color w:val="auto"/>
        </w:rPr>
      </w:pPr>
    </w:p>
    <w:p>
      <w:pPr>
        <w:spacing w:after="0" w:line="260" w:lineRule="auto"/>
        <w:rPr>
          <w:sz w:val="20"/>
          <w:szCs w:val="20"/>
          <w:color w:val="auto"/>
        </w:rPr>
      </w:pPr>
      <w:r>
        <w:rPr>
          <w:rFonts w:ascii="Arial" w:cs="Arial" w:eastAsia="Arial" w:hAnsi="Arial"/>
          <w:sz w:val="21"/>
          <w:szCs w:val="21"/>
          <w:b w:val="1"/>
          <w:bCs w:val="1"/>
          <w:color w:val="auto"/>
        </w:rPr>
        <w:t>If I miss the annual meeting, will there be a copy posted online?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2460"/>
        <w:spacing w:after="0" w:line="286" w:lineRule="auto"/>
        <w:rPr>
          <w:sz w:val="20"/>
          <w:szCs w:val="20"/>
          <w:color w:val="auto"/>
        </w:rPr>
      </w:pPr>
      <w:r>
        <w:rPr>
          <w:rFonts w:ascii="Arial" w:cs="Arial" w:eastAsia="Arial" w:hAnsi="Arial"/>
          <w:sz w:val="16"/>
          <w:szCs w:val="16"/>
          <w:color w:val="auto"/>
        </w:rPr>
        <w:t xml:space="preserve">Yes, a replay of the annual meeting webcast will be available at </w:t>
      </w:r>
      <w:r>
        <w:rPr>
          <w:rFonts w:ascii="Arial" w:cs="Arial" w:eastAsia="Arial" w:hAnsi="Arial"/>
          <w:sz w:val="16"/>
          <w:szCs w:val="16"/>
          <w:u w:val="single" w:color="auto"/>
          <w:color w:val="auto"/>
        </w:rPr>
        <w:t>www.virtualshareholdermeeting.com/MAPS2025</w:t>
      </w:r>
      <w:r>
        <w:rPr>
          <w:rFonts w:ascii="Arial" w:cs="Arial" w:eastAsia="Arial" w:hAnsi="Arial"/>
          <w:sz w:val="16"/>
          <w:szCs w:val="16"/>
          <w:color w:val="auto"/>
        </w:rPr>
        <w:t>.</w:t>
      </w:r>
    </w:p>
    <w:p>
      <w:pPr>
        <w:spacing w:after="0" w:line="793" w:lineRule="exact"/>
        <w:rPr>
          <w:sz w:val="20"/>
          <w:szCs w:val="20"/>
          <w:color w:val="auto"/>
        </w:rPr>
      </w:pPr>
    </w:p>
    <w:p>
      <w:pPr>
        <w:sectPr>
          <w:pgSz w:w="11900" w:h="16838" w:orient="portrait"/>
          <w:cols w:equalWidth="0" w:num="2">
            <w:col w:w="1960" w:space="420"/>
            <w:col w:w="7000"/>
          </w:cols>
          <w:pgMar w:left="1240" w:top="114" w:right="1279" w:bottom="1440" w:gutter="0" w:footer="0" w:header="0"/>
          <w:type w:val="continuous"/>
        </w:sectPr>
      </w:pPr>
    </w:p>
    <w:p>
      <w:pPr>
        <w:spacing w:after="0" w:line="198" w:lineRule="exact"/>
        <w:rPr>
          <w:sz w:val="20"/>
          <w:szCs w:val="20"/>
          <w:color w:val="auto"/>
        </w:rPr>
      </w:pPr>
    </w:p>
    <w:p>
      <w:pPr>
        <w:spacing w:after="0" w:line="297" w:lineRule="auto"/>
        <w:rPr>
          <w:sz w:val="20"/>
          <w:szCs w:val="20"/>
          <w:color w:val="auto"/>
        </w:rPr>
      </w:pPr>
      <w:r>
        <w:rPr>
          <w:rFonts w:ascii="Arial" w:cs="Arial" w:eastAsia="Arial" w:hAnsi="Arial"/>
          <w:sz w:val="21"/>
          <w:szCs w:val="21"/>
          <w:b w:val="1"/>
          <w:bCs w:val="1"/>
          <w:color w:val="auto"/>
        </w:rPr>
        <w:t>Who can vote at the Annual Meeting?</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Only stockholders of record at the close of business on Monday, April 28, 2025 (the “Record Date”) will be entitled to vote at the Annual Meeting. On the Record Date, there were 105,053,766 shares of Class A Common Stock of the Company (the “Class A Common Stock”) and 49,319,542 shares of Class V Common Stock (the “Class V Common Stock”, and together with the Class A Common Stock, the “Common Stock”) outstanding and entitled to vote.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 Shares Registered in Your Name</w:t>
      </w:r>
    </w:p>
    <w:p>
      <w:pPr>
        <w:spacing w:after="0" w:line="17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 xml:space="preserve">If on Monday, April 28, 2025, your shares were registered directly in your name with the Company’s transfer agent, Continental Stock Transfer &amp; Trust Company, then you are a stockholder of record. If you are a stockholder of record, you may vote your shares at the Annual Meeting by following the instructions provided on the Notice to log in to </w:t>
      </w:r>
      <w:r>
        <w:rPr>
          <w:rFonts w:ascii="Arial" w:cs="Arial" w:eastAsia="Arial" w:hAnsi="Arial"/>
          <w:sz w:val="16"/>
          <w:szCs w:val="16"/>
          <w:u w:val="single" w:color="auto"/>
          <w:color w:val="auto"/>
        </w:rPr>
        <w:t>www.proxyvote.com</w:t>
      </w:r>
      <w:r>
        <w:rPr>
          <w:rFonts w:ascii="Arial" w:cs="Arial" w:eastAsia="Arial" w:hAnsi="Arial"/>
          <w:sz w:val="16"/>
          <w:szCs w:val="16"/>
          <w:color w:val="auto"/>
        </w:rPr>
        <w:t>. You will be asked to provide the Control Number from your Notice. Whether or not you plan to attend the Annual Meeting, we urge you to vote by proxy to ensure your vote is counted. You may still attend and vote at the Annual Meeting even if you have already voted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132715</wp:posOffset>
            </wp:positionV>
            <wp:extent cx="59664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340"/>
            <w:col w:w="7000"/>
          </w:cols>
          <w:pgMar w:left="1240" w:top="114" w:right="1279" w:bottom="1440" w:gutter="0" w:footer="0" w:header="0"/>
          <w:type w:val="continuous"/>
        </w:sectPr>
      </w:pPr>
    </w:p>
    <w:p>
      <w:pPr>
        <w:spacing w:after="0" w:line="328" w:lineRule="exact"/>
        <w:rPr>
          <w:sz w:val="20"/>
          <w:szCs w:val="20"/>
          <w:color w:val="auto"/>
        </w:rPr>
      </w:pPr>
    </w:p>
    <w:p>
      <w:pPr>
        <w:ind w:left="3060"/>
        <w:spacing w:after="0"/>
        <w:tabs>
          <w:tab w:leader="none" w:pos="464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272" w:lineRule="auto"/>
        <w:rPr>
          <w:sz w:val="20"/>
          <w:szCs w:val="20"/>
          <w:color w:val="auto"/>
        </w:rPr>
      </w:pPr>
      <w:r>
        <w:rPr>
          <w:rFonts w:ascii="Arial" w:cs="Arial" w:eastAsia="Arial" w:hAnsi="Arial"/>
          <w:sz w:val="22"/>
          <w:szCs w:val="22"/>
          <w:b w:val="1"/>
          <w:bCs w:val="1"/>
          <w:color w:val="auto"/>
        </w:rPr>
        <w:t>What matters am I voting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44" w:lineRule="auto"/>
        <w:rPr>
          <w:sz w:val="20"/>
          <w:szCs w:val="20"/>
          <w:color w:val="auto"/>
        </w:rPr>
      </w:pPr>
      <w:r>
        <w:rPr>
          <w:rFonts w:ascii="Arial" w:cs="Arial" w:eastAsia="Arial" w:hAnsi="Arial"/>
          <w:sz w:val="22"/>
          <w:szCs w:val="22"/>
          <w:b w:val="1"/>
          <w:bCs w:val="1"/>
          <w:color w:val="auto"/>
        </w:rPr>
        <w:t>What if another matter is properly brought before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Beneficial Owner: Shares Registered in the Name of Broker or Bank</w:t>
      </w:r>
    </w:p>
    <w:p>
      <w:pPr>
        <w:spacing w:after="0" w:line="17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on Monday, April 28, 2025 your shares were held, not in your name, but rather in an account at a brokerage firm, bank or other similar organization, then you are the beneficial owner of shares held in “street name” and the Notice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There are three matters scheduled for a vote:</w:t>
      </w:r>
    </w:p>
    <w:p>
      <w:pPr>
        <w:spacing w:after="0" w:line="181" w:lineRule="exact"/>
        <w:rPr>
          <w:sz w:val="20"/>
          <w:szCs w:val="20"/>
          <w:color w:val="auto"/>
        </w:rPr>
      </w:pPr>
    </w:p>
    <w:p>
      <w:pPr>
        <w:ind w:left="500" w:right="20" w:hanging="498"/>
        <w:spacing w:after="0" w:line="259" w:lineRule="auto"/>
        <w:tabs>
          <w:tab w:leader="none" w:pos="87" w:val="left"/>
        </w:tabs>
        <w:numPr>
          <w:ilvl w:val="0"/>
          <w:numId w:val="4"/>
        </w:numPr>
        <w:rPr>
          <w:rFonts w:ascii="Arial" w:cs="Arial" w:eastAsia="Arial" w:hAnsi="Arial"/>
          <w:sz w:val="16"/>
          <w:szCs w:val="16"/>
          <w:color w:val="auto"/>
        </w:rPr>
      </w:pPr>
      <w:r>
        <w:rPr>
          <w:rFonts w:ascii="Arial" w:cs="Arial" w:eastAsia="Arial" w:hAnsi="Arial"/>
          <w:sz w:val="16"/>
          <w:szCs w:val="16"/>
          <w:color w:val="auto"/>
        </w:rPr>
        <w:t>    •     To elect the two nominees for Class I directors named in the accompanying Proxy Statement, each to serve until the 2028 annual meeting of stockholders or until their successors are duly elected and qualified or until the director’s earlier death, resignation or removal (“Proposal 1”);</w:t>
      </w:r>
    </w:p>
    <w:p>
      <w:pPr>
        <w:spacing w:after="0" w:line="29" w:lineRule="exact"/>
        <w:rPr>
          <w:rFonts w:ascii="Arial" w:cs="Arial" w:eastAsia="Arial" w:hAnsi="Arial"/>
          <w:sz w:val="16"/>
          <w:szCs w:val="16"/>
          <w:color w:val="auto"/>
        </w:rPr>
      </w:pPr>
    </w:p>
    <w:p>
      <w:pPr>
        <w:ind w:left="500" w:right="80" w:hanging="498"/>
        <w:spacing w:after="0" w:line="259" w:lineRule="auto"/>
        <w:tabs>
          <w:tab w:leader="none" w:pos="87" w:val="left"/>
        </w:tabs>
        <w:numPr>
          <w:ilvl w:val="0"/>
          <w:numId w:val="4"/>
        </w:numPr>
        <w:rPr>
          <w:rFonts w:ascii="Arial" w:cs="Arial" w:eastAsia="Arial" w:hAnsi="Arial"/>
          <w:sz w:val="16"/>
          <w:szCs w:val="16"/>
          <w:color w:val="auto"/>
        </w:rPr>
      </w:pPr>
      <w:r>
        <w:rPr>
          <w:rFonts w:ascii="Arial" w:cs="Arial" w:eastAsia="Arial" w:hAnsi="Arial"/>
          <w:sz w:val="16"/>
          <w:szCs w:val="16"/>
          <w:color w:val="auto"/>
        </w:rPr>
        <w:t>    •     To approve, on a non-binding advisory basis, the compensation of our principal executive officer and our two most highly compensated executive officers (other than our principal executive officer) who were serving as our executive officers at the end of the year ending December 31, 2024 (the “Named Executive Officers”) (“Proposal 2”); and</w:t>
      </w:r>
    </w:p>
    <w:p>
      <w:pPr>
        <w:spacing w:after="0" w:line="42" w:lineRule="exact"/>
        <w:rPr>
          <w:rFonts w:ascii="Arial" w:cs="Arial" w:eastAsia="Arial" w:hAnsi="Arial"/>
          <w:sz w:val="16"/>
          <w:szCs w:val="16"/>
          <w:color w:val="auto"/>
        </w:rPr>
      </w:pPr>
    </w:p>
    <w:p>
      <w:pPr>
        <w:ind w:left="500" w:right="40" w:hanging="498"/>
        <w:spacing w:after="0" w:line="266" w:lineRule="auto"/>
        <w:tabs>
          <w:tab w:leader="none" w:pos="87" w:val="left"/>
        </w:tabs>
        <w:numPr>
          <w:ilvl w:val="0"/>
          <w:numId w:val="4"/>
        </w:numPr>
        <w:rPr>
          <w:rFonts w:ascii="Arial" w:cs="Arial" w:eastAsia="Arial" w:hAnsi="Arial"/>
          <w:sz w:val="16"/>
          <w:szCs w:val="16"/>
          <w:color w:val="auto"/>
        </w:rPr>
      </w:pPr>
      <w:r>
        <w:rPr>
          <w:rFonts w:ascii="Arial" w:cs="Arial" w:eastAsia="Arial" w:hAnsi="Arial"/>
          <w:sz w:val="16"/>
          <w:szCs w:val="16"/>
          <w:color w:val="auto"/>
        </w:rPr>
        <w:t>    •     To ratify the selection by the audit committee of the Board (the “Audit Committee”) of Moss Adams LLP (“Moss Adams”) as our independent registered public accounting firm for the year ending December 31, 2025 (“Proposal 3”).</w:t>
      </w:r>
    </w:p>
    <w:p>
      <w:pPr>
        <w:spacing w:after="0" w:line="200" w:lineRule="exact"/>
        <w:rPr>
          <w:sz w:val="20"/>
          <w:szCs w:val="20"/>
          <w:color w:val="auto"/>
        </w:rPr>
      </w:pPr>
    </w:p>
    <w:p>
      <w:pPr>
        <w:spacing w:after="0" w:line="22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Board does not know of any other matters to be brought before the Annual Meeting. If any other matters are properly brought before the meeting, it is the intention of the persons named in the accompanying proxy to vote on those matters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366395</wp:posOffset>
            </wp:positionV>
            <wp:extent cx="59664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1920" w:space="460"/>
            <w:col w:w="7000"/>
          </w:cols>
          <w:pgMar w:left="1240" w:top="114" w:right="1279" w:bottom="1440" w:gutter="0" w:footer="0" w:header="0"/>
        </w:sectPr>
      </w:pPr>
    </w:p>
    <w:p>
      <w:pPr>
        <w:spacing w:after="0" w:line="294" w:lineRule="exact"/>
        <w:rPr>
          <w:sz w:val="20"/>
          <w:szCs w:val="20"/>
          <w:color w:val="auto"/>
        </w:rPr>
      </w:pPr>
    </w:p>
    <w:p>
      <w:pPr>
        <w:ind w:left="3060"/>
        <w:spacing w:after="0"/>
        <w:tabs>
          <w:tab w:leader="none" w:pos="464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do I vote?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auto"/>
        </w:rPr>
        <w:t>You may either vote “For” all the nominees to the Board or you may “Withhold” your vote for any nominee you specify. For each of the other matters to be voted on, you may vote “For” or “Against” or abstain from voting.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auto"/>
        <w:rPr>
          <w:sz w:val="20"/>
          <w:szCs w:val="20"/>
          <w:color w:val="auto"/>
        </w:rPr>
      </w:pPr>
      <w:r>
        <w:rPr>
          <w:rFonts w:ascii="Arial" w:cs="Arial" w:eastAsia="Arial" w:hAnsi="Arial"/>
          <w:sz w:val="16"/>
          <w:szCs w:val="16"/>
          <w:color w:val="auto"/>
        </w:rPr>
        <w:t>The procedures for voting are fairly simple:</w:t>
      </w:r>
    </w:p>
    <w:p>
      <w:pPr>
        <w:spacing w:after="0"/>
        <w:rPr>
          <w:sz w:val="20"/>
          <w:szCs w:val="20"/>
          <w:color w:val="auto"/>
        </w:rPr>
      </w:pPr>
      <w:r>
        <w:rPr>
          <w:rFonts w:ascii="Arial" w:cs="Arial" w:eastAsia="Arial" w:hAnsi="Arial"/>
          <w:sz w:val="16"/>
          <w:szCs w:val="16"/>
          <w:color w:val="auto"/>
        </w:rPr>
        <w:t> </w:t>
      </w:r>
    </w:p>
    <w:p>
      <w:pPr>
        <w:spacing w:after="0" w:line="217" w:lineRule="auto"/>
        <w:rPr>
          <w:sz w:val="20"/>
          <w:szCs w:val="20"/>
          <w:color w:val="auto"/>
        </w:rPr>
      </w:pPr>
      <w:r>
        <w:rPr>
          <w:rFonts w:ascii="Arial" w:cs="Arial" w:eastAsia="Arial" w:hAnsi="Arial"/>
          <w:sz w:val="16"/>
          <w:szCs w:val="16"/>
          <w:i w:val="1"/>
          <w:iCs w:val="1"/>
          <w:color w:val="auto"/>
        </w:rPr>
        <w:t>Stockholder of Record: Shares Registered in Your Name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If you are a stockholder of record on Monday, April 28, 2025, you may vote online at the Annual Meeting, vote by proxy over the telephone, vote by proxy through the Internet or vote by proxy using a proxy card that you may request or that we may elect to deliver at a later time:</w:t>
      </w:r>
    </w:p>
    <w:p>
      <w:pPr>
        <w:spacing w:after="0" w:line="138" w:lineRule="exact"/>
        <w:rPr>
          <w:sz w:val="20"/>
          <w:szCs w:val="20"/>
          <w:color w:val="auto"/>
        </w:rPr>
      </w:pPr>
    </w:p>
    <w:p>
      <w:pPr>
        <w:ind w:left="500" w:hanging="498"/>
        <w:spacing w:after="0" w:line="259" w:lineRule="auto"/>
        <w:tabs>
          <w:tab w:leader="none" w:pos="87"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    •     To vote online during the Annual Meeting, if you are a stockholder of record as of the record date, follow the instructions at </w:t>
      </w:r>
      <w:r>
        <w:rPr>
          <w:rFonts w:ascii="Arial" w:cs="Arial" w:eastAsia="Arial" w:hAnsi="Arial"/>
          <w:sz w:val="16"/>
          <w:szCs w:val="16"/>
          <w:u w:val="single" w:color="auto"/>
          <w:color w:val="auto"/>
        </w:rPr>
        <w:t>www.virtualshareholdermeeting.com/MAPS2025</w:t>
      </w:r>
      <w:r>
        <w:rPr>
          <w:rFonts w:ascii="Arial" w:cs="Arial" w:eastAsia="Arial" w:hAnsi="Arial"/>
          <w:sz w:val="16"/>
          <w:szCs w:val="16"/>
          <w:color w:val="auto"/>
        </w:rPr>
        <w:t>. You will need to enter the 16-digit Control Number found on your Notice of Internet Availability, or notice you receive or in the email sending you the Proxy Statement.</w:t>
      </w:r>
    </w:p>
    <w:p>
      <w:pPr>
        <w:spacing w:after="0" w:line="137" w:lineRule="exact"/>
        <w:rPr>
          <w:rFonts w:ascii="Arial" w:cs="Arial" w:eastAsia="Arial" w:hAnsi="Arial"/>
          <w:sz w:val="16"/>
          <w:szCs w:val="16"/>
          <w:color w:val="auto"/>
        </w:rPr>
      </w:pPr>
    </w:p>
    <w:p>
      <w:pPr>
        <w:ind w:left="500" w:right="220" w:hanging="498"/>
        <w:spacing w:after="0" w:line="266" w:lineRule="auto"/>
        <w:tabs>
          <w:tab w:leader="none" w:pos="87"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    •     To vote prior to the Annual Meeting (until 11:59 p.m. Eastern Time on Monday, June 23, 2025), you may vote via the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 by telephone; or by completing and returning their proxy card or voting instruction form,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194945</wp:posOffset>
            </wp:positionV>
            <wp:extent cx="24828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8285" cy="171450"/>
                    </a:xfrm>
                    <a:prstGeom prst="rect">
                      <a:avLst/>
                    </a:prstGeom>
                    <a:noFill/>
                  </pic:spPr>
                </pic:pic>
              </a:graphicData>
            </a:graphic>
          </wp:anchor>
        </w:drawing>
        <w:drawing>
          <wp:anchor simplePos="0" relativeHeight="251657728" behindDoc="1" locked="0" layoutInCell="0" allowOverlap="1">
            <wp:simplePos x="0" y="0"/>
            <wp:positionH relativeFrom="column">
              <wp:posOffset>1664335</wp:posOffset>
            </wp:positionH>
            <wp:positionV relativeFrom="paragraph">
              <wp:posOffset>194945</wp:posOffset>
            </wp:positionV>
            <wp:extent cx="163195" cy="248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195" cy="248920"/>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194945</wp:posOffset>
            </wp:positionV>
            <wp:extent cx="214630" cy="231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630"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720"/>
            <w:col w:w="7000"/>
          </w:cols>
          <w:pgMar w:left="1240" w:top="114" w:right="1279" w:bottom="1440" w:gutter="0" w:footer="0" w:header="0"/>
        </w:sect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 </w:t>
      </w:r>
    </w:p>
    <w:p>
      <w:pPr>
        <w:spacing w:after="0" w:line="275"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auto"/>
        </w:rPr>
        <w:t>By Mail</w:t>
      </w:r>
    </w:p>
    <w:p>
      <w:pPr>
        <w:spacing w:after="0" w:line="27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To vote using the proxy card</w:t>
      </w:r>
    </w:p>
    <w:p>
      <w:pPr>
        <w:spacing w:after="0" w:line="21"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that may have been</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delivered to you, simply</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complete, sign and date the</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proxy card and return it</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promptly in the envelope</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provided. If you return your</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signed proxy card to us</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before the Annual Meeting,</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we will vote your shares as</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you direct.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Telephone</w:t>
      </w:r>
    </w:p>
    <w:p>
      <w:pPr>
        <w:spacing w:after="0" w:line="2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vote over the telephone, dial toll-free 1-800-690-6903 using a touch-tone phone and follow the recorded instructions. You will be asked to provide the Control Number from the Notice. Your vote must be received by 11:59 p.m. Eastern Time on Monday, June 23, 2025 to be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Internet</w:t>
      </w:r>
    </w:p>
    <w:p>
      <w:pPr>
        <w:spacing w:after="0" w:line="2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To vote through the internet, go to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and follow the instructions to submit your vote on an electronic proxy card. You will be asked to provide the company number and Control Number from your Notice. Your vote must be received by 11:59 p.m. Eastern Time on Monday, June 23, 2025 to be counted.</w:t>
      </w:r>
    </w:p>
    <w:p>
      <w:pPr>
        <w:spacing w:after="0" w:line="200" w:lineRule="exact"/>
        <w:rPr>
          <w:sz w:val="20"/>
          <w:szCs w:val="20"/>
          <w:color w:val="auto"/>
        </w:rPr>
      </w:pPr>
    </w:p>
    <w:p>
      <w:pPr>
        <w:sectPr>
          <w:pgSz w:w="11900" w:h="16838" w:orient="portrait"/>
          <w:cols w:equalWidth="0" w:num="3">
            <w:col w:w="4400" w:space="420"/>
            <w:col w:w="2100" w:space="360"/>
            <w:col w:w="2100"/>
          </w:cols>
          <w:pgMar w:left="1240" w:top="114" w:right="1279" w:bottom="1440" w:gutter="0" w:footer="0" w:header="0"/>
          <w:type w:val="continuous"/>
        </w:sectPr>
      </w:pPr>
    </w:p>
    <w:p>
      <w:pPr>
        <w:spacing w:after="0" w:line="216" w:lineRule="exact"/>
        <w:rPr>
          <w:sz w:val="20"/>
          <w:szCs w:val="20"/>
          <w:color w:val="auto"/>
        </w:rPr>
      </w:pPr>
    </w:p>
    <w:p>
      <w:pPr>
        <w:ind w:left="2380"/>
        <w:spacing w:after="0"/>
        <w:rPr>
          <w:sz w:val="20"/>
          <w:szCs w:val="20"/>
          <w:color w:val="auto"/>
        </w:rPr>
      </w:pPr>
      <w:r>
        <w:rPr>
          <w:rFonts w:ascii="Arial" w:cs="Arial" w:eastAsia="Arial" w:hAnsi="Arial"/>
          <w:sz w:val="16"/>
          <w:szCs w:val="16"/>
          <w:i w:val="1"/>
          <w:iCs w:val="1"/>
          <w:color w:val="auto"/>
        </w:rPr>
        <w:t>Beneficial Owner: Shares Registered in the Name of Broker or Bank</w:t>
      </w:r>
    </w:p>
    <w:p>
      <w:pPr>
        <w:spacing w:after="0" w:line="179" w:lineRule="exact"/>
        <w:rPr>
          <w:sz w:val="20"/>
          <w:szCs w:val="20"/>
          <w:color w:val="auto"/>
        </w:rPr>
      </w:pPr>
    </w:p>
    <w:p>
      <w:pPr>
        <w:ind w:left="2380" w:right="20"/>
        <w:spacing w:after="0" w:line="250" w:lineRule="auto"/>
        <w:rPr>
          <w:sz w:val="20"/>
          <w:szCs w:val="20"/>
          <w:color w:val="auto"/>
        </w:rPr>
      </w:pPr>
      <w:r>
        <w:rPr>
          <w:rFonts w:ascii="Arial" w:cs="Arial" w:eastAsia="Arial" w:hAnsi="Arial"/>
          <w:sz w:val="16"/>
          <w:szCs w:val="16"/>
          <w:color w:val="auto"/>
        </w:rPr>
        <w:t>If you are a beneficial owner of shares registered in the name of your broker, bank or other agent, you should have received a Notice containing voting instructions from that organization rather than from the Company. You must follow the voting instructions provided by your broker, bank or other nominee in order to direct your broker, bank or other nominee on how to vote your shares. Beneficial owners of shares held in street name should generally be able to vote by returning a voting instruction form, or by telephone or on the Internet. However, the availability of telephone and Internet voting will depend on the voting process of your broker, bank or other nominee. As discussed above, if you are a beneficial owner of shares held in street name, you may not vote your shares live at the Annual Meeting unless you obtain a legal proxy from your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59664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3060"/>
        <w:spacing w:after="0"/>
        <w:tabs>
          <w:tab w:leader="none" w:pos="464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2380" w:right="60"/>
        <w:spacing w:after="0" w:line="259" w:lineRule="auto"/>
        <w:rPr>
          <w:sz w:val="20"/>
          <w:szCs w:val="20"/>
          <w:color w:val="auto"/>
        </w:rPr>
      </w:pPr>
      <w:r>
        <w:rPr>
          <w:rFonts w:ascii="Arial" w:cs="Arial" w:eastAsia="Arial" w:hAnsi="Arial"/>
          <w:sz w:val="16"/>
          <w:szCs w:val="16"/>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22"/>
          <w:szCs w:val="22"/>
          <w:b w:val="1"/>
          <w:bCs w:val="1"/>
          <w:color w:val="auto"/>
        </w:rPr>
        <w:t>How many votes do I have?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b w:val="1"/>
          <w:bCs w:val="1"/>
          <w:color w:val="auto"/>
        </w:rPr>
        <w:t>If I am a stockholder of record and I do not vote, or if I return a proxy card or otherwise vote without giving specific voting instructions, what happens?</w:t>
      </w:r>
    </w:p>
    <w:p>
      <w:pPr>
        <w:spacing w:after="0" w:line="200" w:lineRule="exact"/>
        <w:rPr>
          <w:sz w:val="20"/>
          <w:szCs w:val="20"/>
          <w:color w:val="auto"/>
        </w:rPr>
      </w:pPr>
    </w:p>
    <w:p>
      <w:pPr>
        <w:spacing w:after="0" w:line="214" w:lineRule="exact"/>
        <w:rPr>
          <w:sz w:val="20"/>
          <w:szCs w:val="20"/>
          <w:color w:val="auto"/>
        </w:rPr>
      </w:pPr>
    </w:p>
    <w:p>
      <w:pPr>
        <w:ind w:right="80"/>
        <w:spacing w:after="0" w:line="237" w:lineRule="auto"/>
        <w:rPr>
          <w:sz w:val="20"/>
          <w:szCs w:val="20"/>
          <w:color w:val="auto"/>
        </w:rPr>
      </w:pPr>
      <w:r>
        <w:rPr>
          <w:rFonts w:ascii="Arial" w:cs="Arial" w:eastAsia="Arial" w:hAnsi="Arial"/>
          <w:sz w:val="22"/>
          <w:szCs w:val="22"/>
          <w:b w:val="1"/>
          <w:bCs w:val="1"/>
          <w:color w:val="auto"/>
        </w:rPr>
        <w:t>If I am a beneficial owner of shares held in street name and I do not provide my broker or bank with voting instructions, what happens?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On each matter to be voted upon, you have one vote for each share of Class A Common Stock and each share of Class V Common Stock you own as of Monday, April 28, 2025. Holders of Class A Common Stock and Class V Common Stock will vote together as one class on all proposals.</w:t>
      </w:r>
    </w:p>
    <w:p>
      <w:pPr>
        <w:spacing w:after="0" w:line="200" w:lineRule="exact"/>
        <w:rPr>
          <w:sz w:val="20"/>
          <w:szCs w:val="20"/>
          <w:color w:val="auto"/>
        </w:rPr>
      </w:pPr>
    </w:p>
    <w:p>
      <w:pPr>
        <w:spacing w:after="0" w:line="23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If you are a stockholder of record and do not vote by completing your proxy card, by telephone, through the internet or online at the Annual Meeting, your shares will not be voted.</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applicable, “For” the election of both nominees for director, “For” the advisory approval of executive compensation and “For” the ratification of the selection by the Audit Committee of Moss Adams LLP as our independent registered public accounting firm for the year ending December 31, 2025. If any other matter is properly presented at the meeting, your proxyholder (one of the individuals named on your proxy card) will vote your shares using his or her best judgment.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If you are a beneficial owner of shares held in street name and you do not instruct your broker, bank or other agent how to vote your shares, your broker, bank or other agent may still be able to vote your shares in its discretion. In this regard, brokers, banks and other securities intermediaries may use their discretion to vote your “uninstructed” shares with respect to matters considered to be “routine”, but not with respect to “non-routine” matters. In this regard, Proposals 1 and 2 are considered to be “non-routine” meaning that your broker may not vote your shares on those proposals in the absence of your voting instructions. However, Proposal 3 is considered to be a “routine” matter meaning that if you do not return voting instructions to your broker by its deadline, your shares may be voted by your broker in its discretion on Proposal 3.</w:t>
      </w:r>
    </w:p>
    <w:p>
      <w:pPr>
        <w:spacing w:after="0" w:line="147"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i w:val="1"/>
          <w:iCs w:val="1"/>
          <w:color w:val="auto"/>
        </w:rPr>
        <w:t xml:space="preserve">If you are a beneficial owner of shares held in street name, in order to ensure your shares are voted in the way you would prefer, you </w:t>
      </w:r>
      <w:r>
        <w:rPr>
          <w:rFonts w:ascii="Arial" w:cs="Arial" w:eastAsia="Arial" w:hAnsi="Arial"/>
          <w:sz w:val="16"/>
          <w:szCs w:val="16"/>
          <w:b w:val="1"/>
          <w:bCs w:val="1"/>
          <w:i w:val="1"/>
          <w:iCs w:val="1"/>
          <w:u w:val="single" w:color="auto"/>
          <w:color w:val="auto"/>
        </w:rPr>
        <w:t>must</w:t>
      </w:r>
      <w:r>
        <w:rPr>
          <w:rFonts w:ascii="Arial" w:cs="Arial" w:eastAsia="Arial" w:hAnsi="Arial"/>
          <w:sz w:val="16"/>
          <w:szCs w:val="16"/>
          <w:b w:val="1"/>
          <w:bCs w:val="1"/>
          <w:i w:val="1"/>
          <w:iCs w:val="1"/>
          <w:color w:val="auto"/>
        </w:rPr>
        <w:t xml:space="preserve"> provide voting instructions to your broker, bank or other agent by the deadline provided in the materials you receive from your broker, bank or other agent.</w:t>
      </w:r>
    </w:p>
    <w:p>
      <w:pPr>
        <w:spacing w:after="0" w:line="200" w:lineRule="exact"/>
        <w:rPr>
          <w:sz w:val="20"/>
          <w:szCs w:val="20"/>
          <w:color w:val="auto"/>
        </w:rPr>
      </w:pPr>
    </w:p>
    <w:p>
      <w:pPr>
        <w:sectPr>
          <w:pgSz w:w="11900" w:h="16838" w:orient="portrait"/>
          <w:cols w:equalWidth="0" w:num="2">
            <w:col w:w="2160" w:space="220"/>
            <w:col w:w="7020"/>
          </w:cols>
          <w:pgMar w:left="1240" w:top="114" w:right="1259" w:bottom="1440" w:gutter="0" w:footer="0" w:header="0"/>
          <w:type w:val="continuous"/>
        </w:sectPr>
      </w:pPr>
    </w:p>
    <w:p>
      <w:pPr>
        <w:spacing w:after="0" w:line="209" w:lineRule="exact"/>
        <w:rPr>
          <w:sz w:val="20"/>
          <w:szCs w:val="20"/>
          <w:color w:val="auto"/>
        </w:rPr>
      </w:pPr>
    </w:p>
    <w:p>
      <w:pPr>
        <w:spacing w:after="0" w:line="297" w:lineRule="auto"/>
        <w:rPr>
          <w:sz w:val="20"/>
          <w:szCs w:val="20"/>
          <w:color w:val="auto"/>
        </w:rPr>
      </w:pPr>
      <w:r>
        <w:rPr>
          <w:rFonts w:ascii="Arial" w:cs="Arial" w:eastAsia="Arial" w:hAnsi="Arial"/>
          <w:sz w:val="21"/>
          <w:szCs w:val="21"/>
          <w:b w:val="1"/>
          <w:bCs w:val="1"/>
          <w:color w:val="auto"/>
        </w:rPr>
        <w:t>What are “broker non-votes”?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 “broker non-vote” occurs when your broker submits a proxy for the meeting with respect to “routine” matters but does not vote on “non-routine” matters because you did not provide voting instructions on these matters. These un-voted shares with respect to the “non-routine” matters are counted as “broker non-votes.” Proposals 1 and 2 are considered to be “non-routine”, and are proposals for which brokers do not have discretionary voting authority. We therefore expect broker non-votes to exist in connection with those proposals. Proposal 3 is a “routine” matter and therefore broker non-votes are not expected to exist in connection with this proposal.</w:t>
      </w:r>
    </w:p>
    <w:p>
      <w:pPr>
        <w:spacing w:after="0" w:line="143"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b w:val="1"/>
          <w:bCs w:val="1"/>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114935</wp:posOffset>
            </wp:positionV>
            <wp:extent cx="59664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620"/>
            <w:col w:w="7020"/>
          </w:cols>
          <w:pgMar w:left="1240" w:top="114" w:right="1259" w:bottom="1440" w:gutter="0" w:footer="0" w:header="0"/>
          <w:type w:val="continuous"/>
        </w:sectPr>
      </w:pPr>
    </w:p>
    <w:p>
      <w:pPr>
        <w:spacing w:after="0" w:line="300" w:lineRule="exact"/>
        <w:rPr>
          <w:sz w:val="20"/>
          <w:szCs w:val="20"/>
          <w:color w:val="auto"/>
        </w:rPr>
      </w:pPr>
    </w:p>
    <w:p>
      <w:pPr>
        <w:ind w:left="3060"/>
        <w:spacing w:after="0"/>
        <w:tabs>
          <w:tab w:leader="none" w:pos="464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b w:val="1"/>
          <w:bCs w:val="1"/>
          <w:color w:val="auto"/>
        </w:rPr>
        <w:t>Who is paying for this proxy solicitation?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b w:val="1"/>
          <w:bCs w:val="1"/>
          <w:color w:val="auto"/>
        </w:rPr>
        <w:t>What does it mean if I receive more than one Notice?</w:t>
      </w:r>
    </w:p>
    <w:p>
      <w:pPr>
        <w:spacing w:after="0" w:line="200" w:lineRule="exact"/>
        <w:rPr>
          <w:sz w:val="20"/>
          <w:szCs w:val="20"/>
          <w:color w:val="auto"/>
        </w:rPr>
      </w:pP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21"/>
          <w:szCs w:val="21"/>
          <w:b w:val="1"/>
          <w:bCs w:val="1"/>
          <w:color w:val="auto"/>
        </w:rPr>
        <w:t>Can I change my vote after submitting my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60"/>
        <w:spacing w:after="0" w:line="297" w:lineRule="auto"/>
        <w:rPr>
          <w:sz w:val="20"/>
          <w:szCs w:val="20"/>
          <w:color w:val="auto"/>
        </w:rPr>
      </w:pPr>
      <w:r>
        <w:rPr>
          <w:rFonts w:ascii="Arial" w:cs="Arial" w:eastAsia="Arial" w:hAnsi="Arial"/>
          <w:sz w:val="21"/>
          <w:szCs w:val="21"/>
          <w:b w:val="1"/>
          <w:bCs w:val="1"/>
          <w:color w:val="auto"/>
        </w:rPr>
        <w:t>How are votes counted?</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00" w:lineRule="exact"/>
        <w:rPr>
          <w:sz w:val="20"/>
          <w:szCs w:val="20"/>
          <w:color w:val="auto"/>
        </w:rPr>
      </w:pPr>
    </w:p>
    <w:p>
      <w:pPr>
        <w:spacing w:after="0" w:line="23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If you receive more than one Notice, your shares may be registered in more than one name or in different accounts. Please follow the voting instructions on the Notices to ensure that all of your shares are voted.</w:t>
      </w:r>
    </w:p>
    <w:p>
      <w:pPr>
        <w:spacing w:after="0" w:line="200" w:lineRule="exact"/>
        <w:rPr>
          <w:sz w:val="20"/>
          <w:szCs w:val="20"/>
          <w:color w:val="auto"/>
        </w:rPr>
      </w:pPr>
    </w:p>
    <w:p>
      <w:pPr>
        <w:spacing w:after="0" w:line="392" w:lineRule="exact"/>
        <w:rPr>
          <w:sz w:val="20"/>
          <w:szCs w:val="20"/>
          <w:color w:val="auto"/>
        </w:rPr>
      </w:pPr>
    </w:p>
    <w:p>
      <w:pPr>
        <w:ind w:right="2960"/>
        <w:spacing w:after="0" w:line="220" w:lineRule="auto"/>
        <w:rPr>
          <w:sz w:val="20"/>
          <w:szCs w:val="20"/>
          <w:color w:val="auto"/>
        </w:rPr>
      </w:pPr>
      <w:r>
        <w:rPr>
          <w:rFonts w:ascii="Arial" w:cs="Arial" w:eastAsia="Arial" w:hAnsi="Arial"/>
          <w:sz w:val="16"/>
          <w:szCs w:val="16"/>
          <w:i w:val="1"/>
          <w:iCs w:val="1"/>
          <w:color w:val="auto"/>
        </w:rPr>
        <w:t xml:space="preserve">Stockholder of Record: Shares Registered in Your Name </w:t>
      </w:r>
      <w:r>
        <w:rPr>
          <w:rFonts w:ascii="Arial" w:cs="Arial" w:eastAsia="Arial" w:hAnsi="Arial"/>
          <w:sz w:val="16"/>
          <w:szCs w:val="16"/>
          <w:color w:val="auto"/>
        </w:rPr>
        <w:t> </w:t>
      </w:r>
    </w:p>
    <w:p>
      <w:pPr>
        <w:spacing w:after="0" w:line="1"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Yes. You can revoke your proxy at any time before the final vote at the meeting. If you are the record holder of your shares, you may revoke your proxy in any one of the following ways:</w:t>
      </w:r>
    </w:p>
    <w:p>
      <w:pPr>
        <w:spacing w:after="0" w:line="131" w:lineRule="exact"/>
        <w:rPr>
          <w:sz w:val="20"/>
          <w:szCs w:val="20"/>
          <w:color w:val="auto"/>
        </w:rPr>
      </w:pPr>
    </w:p>
    <w:p>
      <w:pPr>
        <w:ind w:left="80" w:hanging="78"/>
        <w:spacing w:after="0"/>
        <w:tabs>
          <w:tab w:leader="none" w:pos="80" w:val="left"/>
        </w:tabs>
        <w:numPr>
          <w:ilvl w:val="0"/>
          <w:numId w:val="6"/>
        </w:numPr>
        <w:rPr>
          <w:rFonts w:ascii="Arial" w:cs="Arial" w:eastAsia="Arial" w:hAnsi="Arial"/>
          <w:sz w:val="15"/>
          <w:szCs w:val="15"/>
          <w:color w:val="auto"/>
        </w:rPr>
      </w:pPr>
      <w:r>
        <w:rPr>
          <w:rFonts w:ascii="Arial" w:cs="Arial" w:eastAsia="Arial" w:hAnsi="Arial"/>
          <w:sz w:val="15"/>
          <w:szCs w:val="15"/>
          <w:color w:val="auto"/>
        </w:rPr>
        <w:t>    •     You may submit another properly completed proxy card with a later date.</w:t>
      </w:r>
    </w:p>
    <w:p>
      <w:pPr>
        <w:spacing w:after="0" w:line="84" w:lineRule="exact"/>
        <w:rPr>
          <w:rFonts w:ascii="Arial" w:cs="Arial" w:eastAsia="Arial" w:hAnsi="Arial"/>
          <w:sz w:val="15"/>
          <w:szCs w:val="15"/>
          <w:color w:val="auto"/>
        </w:rPr>
      </w:pPr>
    </w:p>
    <w:p>
      <w:pPr>
        <w:ind w:left="80" w:hanging="78"/>
        <w:spacing w:after="0"/>
        <w:tabs>
          <w:tab w:leader="none" w:pos="80" w:val="left"/>
        </w:tabs>
        <w:numPr>
          <w:ilvl w:val="0"/>
          <w:numId w:val="6"/>
        </w:numPr>
        <w:rPr>
          <w:rFonts w:ascii="Arial" w:cs="Arial" w:eastAsia="Arial" w:hAnsi="Arial"/>
          <w:sz w:val="15"/>
          <w:szCs w:val="15"/>
          <w:color w:val="auto"/>
        </w:rPr>
      </w:pPr>
      <w:r>
        <w:rPr>
          <w:rFonts w:ascii="Arial" w:cs="Arial" w:eastAsia="Arial" w:hAnsi="Arial"/>
          <w:sz w:val="15"/>
          <w:szCs w:val="15"/>
          <w:color w:val="auto"/>
        </w:rPr>
        <w:t>    •     You may grant a subsequent proxy by telephone or through the internet.</w:t>
      </w:r>
    </w:p>
    <w:p>
      <w:pPr>
        <w:spacing w:after="0" w:line="97" w:lineRule="exact"/>
        <w:rPr>
          <w:rFonts w:ascii="Arial" w:cs="Arial" w:eastAsia="Arial" w:hAnsi="Arial"/>
          <w:sz w:val="15"/>
          <w:szCs w:val="15"/>
          <w:color w:val="auto"/>
        </w:rPr>
      </w:pPr>
    </w:p>
    <w:p>
      <w:pPr>
        <w:ind w:left="500" w:hanging="498"/>
        <w:spacing w:after="0" w:line="259" w:lineRule="auto"/>
        <w:tabs>
          <w:tab w:leader="none" w:pos="87" w:val="left"/>
        </w:tabs>
        <w:numPr>
          <w:ilvl w:val="0"/>
          <w:numId w:val="6"/>
        </w:numPr>
        <w:rPr>
          <w:rFonts w:ascii="Arial" w:cs="Arial" w:eastAsia="Arial" w:hAnsi="Arial"/>
          <w:sz w:val="16"/>
          <w:szCs w:val="16"/>
          <w:color w:val="auto"/>
        </w:rPr>
      </w:pPr>
      <w:r>
        <w:rPr>
          <w:rFonts w:ascii="Arial" w:cs="Arial" w:eastAsia="Arial" w:hAnsi="Arial"/>
          <w:sz w:val="16"/>
          <w:szCs w:val="16"/>
          <w:color w:val="auto"/>
        </w:rPr>
        <w:t>    •     You may send a timely written notice that you are revoking your proxy to WM Technology, Inc., Attn: Corporate Secretary at 41 Discovery, Irvine, California 92618. Such notice will be considered timely if it is received at the indicated address by the close of business on the business day one week preceding the date of the Annual Meeting.</w:t>
      </w:r>
    </w:p>
    <w:p>
      <w:pPr>
        <w:spacing w:after="0" w:line="29" w:lineRule="exact"/>
        <w:rPr>
          <w:rFonts w:ascii="Arial" w:cs="Arial" w:eastAsia="Arial" w:hAnsi="Arial"/>
          <w:sz w:val="16"/>
          <w:szCs w:val="16"/>
          <w:color w:val="auto"/>
        </w:rPr>
      </w:pPr>
    </w:p>
    <w:p>
      <w:pPr>
        <w:ind w:left="80" w:hanging="78"/>
        <w:spacing w:after="0"/>
        <w:tabs>
          <w:tab w:leader="none" w:pos="80" w:val="left"/>
        </w:tabs>
        <w:numPr>
          <w:ilvl w:val="0"/>
          <w:numId w:val="6"/>
        </w:numPr>
        <w:rPr>
          <w:rFonts w:ascii="Arial" w:cs="Arial" w:eastAsia="Arial" w:hAnsi="Arial"/>
          <w:sz w:val="15"/>
          <w:szCs w:val="15"/>
          <w:color w:val="auto"/>
        </w:rPr>
      </w:pPr>
      <w:r>
        <w:rPr>
          <w:rFonts w:ascii="Arial" w:cs="Arial" w:eastAsia="Arial" w:hAnsi="Arial"/>
          <w:sz w:val="15"/>
          <w:szCs w:val="15"/>
          <w:color w:val="auto"/>
        </w:rPr>
        <w:t>    •     You may attend the Annual Meeting and vote online. Simply attending the meeting will not,</w:t>
      </w:r>
    </w:p>
    <w:p>
      <w:pPr>
        <w:ind w:left="500"/>
        <w:spacing w:after="0" w:line="218" w:lineRule="auto"/>
        <w:rPr>
          <w:sz w:val="20"/>
          <w:szCs w:val="20"/>
          <w:color w:val="auto"/>
        </w:rPr>
      </w:pPr>
      <w:r>
        <w:rPr>
          <w:rFonts w:ascii="Arial" w:cs="Arial" w:eastAsia="Arial" w:hAnsi="Arial"/>
          <w:sz w:val="16"/>
          <w:szCs w:val="16"/>
          <w:color w:val="auto"/>
        </w:rPr>
        <w:t>by itself, revoke your proxy.</w:t>
      </w:r>
    </w:p>
    <w:p>
      <w:pPr>
        <w:spacing w:after="0"/>
        <w:rPr>
          <w:sz w:val="20"/>
          <w:szCs w:val="20"/>
          <w:color w:val="auto"/>
        </w:rPr>
      </w:pPr>
      <w:r>
        <w:rPr>
          <w:rFonts w:ascii="Arial" w:cs="Arial" w:eastAsia="Arial" w:hAnsi="Arial"/>
          <w:sz w:val="16"/>
          <w:szCs w:val="16"/>
          <w:color w:val="auto"/>
        </w:rPr>
        <w:t> </w:t>
      </w:r>
    </w:p>
    <w:p>
      <w:pPr>
        <w:spacing w:after="0" w:line="182" w:lineRule="auto"/>
        <w:rPr>
          <w:sz w:val="20"/>
          <w:szCs w:val="20"/>
          <w:color w:val="auto"/>
        </w:rPr>
      </w:pPr>
      <w:r>
        <w:rPr>
          <w:rFonts w:ascii="Arial" w:cs="Arial" w:eastAsia="Arial" w:hAnsi="Arial"/>
          <w:sz w:val="16"/>
          <w:szCs w:val="16"/>
          <w:color w:val="auto"/>
        </w:rPr>
        <w:t>Your most current proxy card or telephone or internet proxy is the one that is counted.</w:t>
      </w:r>
    </w:p>
    <w:p>
      <w:pPr>
        <w:spacing w:after="0"/>
        <w:rPr>
          <w:sz w:val="20"/>
          <w:szCs w:val="20"/>
          <w:color w:val="auto"/>
        </w:rPr>
      </w:pPr>
      <w:r>
        <w:rPr>
          <w:rFonts w:ascii="Arial" w:cs="Arial" w:eastAsia="Arial" w:hAnsi="Arial"/>
          <w:sz w:val="16"/>
          <w:szCs w:val="16"/>
          <w:color w:val="auto"/>
        </w:rPr>
        <w:t> </w:t>
      </w:r>
    </w:p>
    <w:p>
      <w:pPr>
        <w:spacing w:after="0" w:line="182" w:lineRule="auto"/>
        <w:rPr>
          <w:sz w:val="20"/>
          <w:szCs w:val="20"/>
          <w:color w:val="auto"/>
        </w:rPr>
      </w:pPr>
      <w:r>
        <w:rPr>
          <w:rFonts w:ascii="Arial" w:cs="Arial" w:eastAsia="Arial" w:hAnsi="Arial"/>
          <w:sz w:val="16"/>
          <w:szCs w:val="16"/>
          <w:i w:val="1"/>
          <w:iCs w:val="1"/>
          <w:color w:val="auto"/>
        </w:rPr>
        <w:t>Beneficial Owner: Shares Registered in the Name of Broker or Bank</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If your shares are held by your broker, bank as a nominee or other agent, you should follow the instructions provided by your broker, bank or other agent.</w:t>
      </w:r>
    </w:p>
    <w:p>
      <w:pPr>
        <w:spacing w:after="0" w:line="200" w:lineRule="exact"/>
        <w:rPr>
          <w:sz w:val="20"/>
          <w:szCs w:val="20"/>
          <w:color w:val="auto"/>
        </w:rPr>
      </w:pPr>
    </w:p>
    <w:p>
      <w:pPr>
        <w:spacing w:after="0" w:line="22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Votes will be counted by the inspector of election appointed for the Annual Meeting, who will separately count, for the proposal to elect directors, votes “For,” “Withhold” and broker non-votes; and, with respect to the other proposals, votes “For” and “Against,” abstentions and, if applicable, broker non-votes. Abstentions will be counted towards the vote total for each of Proposals 2 and 3, and will have the same effect as “Against” votes. Broker non-votes on Proposal 1 and 2 will have no effect and will not be counted towards the vote total for any of those proposals. Proposal 3 is considered a “routine” matter, accordingly, if you hold your shares in street name and do not provide voting instructions to your broker, bank, or other agent that holds your shares, your broker, bank, or other agent has discretionary authority to vote your shares on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126365</wp:posOffset>
            </wp:positionV>
            <wp:extent cx="59664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240"/>
            <w:col w:w="7020"/>
          </w:cols>
          <w:pgMar w:left="1240" w:top="114" w:right="1259" w:bottom="1440" w:gutter="0" w:footer="0" w:header="0"/>
        </w:sectPr>
      </w:pPr>
    </w:p>
    <w:p>
      <w:pPr>
        <w:spacing w:after="0" w:line="319" w:lineRule="exact"/>
        <w:rPr>
          <w:sz w:val="20"/>
          <w:szCs w:val="20"/>
          <w:color w:val="auto"/>
        </w:rPr>
      </w:pPr>
    </w:p>
    <w:p>
      <w:pPr>
        <w:ind w:left="3060"/>
        <w:spacing w:after="0"/>
        <w:tabs>
          <w:tab w:leader="none" w:pos="464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0"/>
          <w:szCs w:val="20"/>
          <w:color w:val="auto"/>
        </w:rPr>
      </w:pPr>
    </w:p>
    <w:p>
      <w:pPr>
        <w:spacing w:after="0" w:line="269" w:lineRule="auto"/>
        <w:rPr>
          <w:sz w:val="20"/>
          <w:szCs w:val="20"/>
          <w:color w:val="auto"/>
        </w:rPr>
      </w:pPr>
      <w:r>
        <w:rPr>
          <w:rFonts w:ascii="Arial" w:cs="Arial" w:eastAsia="Arial" w:hAnsi="Arial"/>
          <w:sz w:val="21"/>
          <w:szCs w:val="21"/>
          <w:b w:val="1"/>
          <w:bCs w:val="1"/>
          <w:color w:val="auto"/>
        </w:rPr>
        <w:t>How many votes are needed to approve each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spacing w:after="0" w:line="297" w:lineRule="auto"/>
        <w:rPr>
          <w:sz w:val="20"/>
          <w:szCs w:val="20"/>
          <w:color w:val="auto"/>
        </w:rPr>
      </w:pPr>
      <w:r>
        <w:rPr>
          <w:rFonts w:ascii="Arial" w:cs="Arial" w:eastAsia="Arial" w:hAnsi="Arial"/>
          <w:sz w:val="21"/>
          <w:szCs w:val="21"/>
          <w:b w:val="1"/>
          <w:bCs w:val="1"/>
          <w:color w:val="auto"/>
        </w:rPr>
        <w:t>What is the quorum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b w:val="1"/>
          <w:bCs w:val="1"/>
          <w:color w:val="auto"/>
        </w:rPr>
        <w:t>How can I find out the results of the voting at the annual meeting?</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Proposal 1: For the election of directors, the two Class I nominees receiving the most “For” votes will be elected. Only votes “For” will affect the outcome. “Withhold” votes and broker non-votes will have no effect on this proposal.</w:t>
      </w:r>
    </w:p>
    <w:p>
      <w:pPr>
        <w:spacing w:after="0" w:line="13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Proposal 2: The advisory vote, on a non-binding basis, on the compensation of our Named Executive Officers for the year ended 2024 will be considered to be approved if it receives “For” votes from the holders of a majority in voting power of shares of Common Stock present by remote communication at the meeting or represented by proxy and entitled to vote on the matter. If you “Abstain” from voting, it will have the same effect as an “Against” vote. Broker non-votes will have no effect on this proposal.</w:t>
      </w:r>
    </w:p>
    <w:p>
      <w:pPr>
        <w:spacing w:after="0" w:line="14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Proposal 3: To ratify the selection of Moss Adams LLP as our independent registered public accounting firm for the year ending December 31, 2025, the proposal must receive “For” votes from the holders of a majority in voting power of the shares of Common Stock present by remote communication at the meeting or represented by proxy and entitled to vote on the matter. If you “Abstain” from voting, it will have the same effect as an “Against” vote. 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spacing w:after="0" w:line="200" w:lineRule="exact"/>
        <w:rPr>
          <w:sz w:val="20"/>
          <w:szCs w:val="20"/>
          <w:color w:val="auto"/>
        </w:rPr>
      </w:pPr>
    </w:p>
    <w:p>
      <w:pPr>
        <w:spacing w:after="0" w:line="253"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 majority in voting power of the shares of Common Stock entitled to vote are present by remote communication at the Annual Meeting or represented by proxy. On the record date, there were 154,373,308 shares of Common Stock outstanding and entitled to vote.</w:t>
      </w:r>
    </w:p>
    <w:p>
      <w:pPr>
        <w:spacing w:after="0" w:line="2"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b w:val="1"/>
          <w:bCs w:val="1"/>
          <w:color w:val="auto"/>
        </w:rPr>
        <w:t xml:space="preserve">Thus, the holders of 77,186,655 shares of Common Stock must be present by remote communication at the meeting or represented by proxy at the Annual Meeting to have a quorum. </w:t>
      </w:r>
      <w:r>
        <w:rPr>
          <w:rFonts w:ascii="Arial" w:cs="Arial" w:eastAsia="Arial" w:hAnsi="Arial"/>
          <w:sz w:val="16"/>
          <w:szCs w:val="16"/>
          <w:color w:val="auto"/>
        </w:rPr>
        <w:t>Broker non-votes and abstentions are counted for purposes of determining whether a</w:t>
      </w:r>
      <w:r>
        <w:rPr>
          <w:rFonts w:ascii="Arial" w:cs="Arial" w:eastAsia="Arial" w:hAnsi="Arial"/>
          <w:sz w:val="16"/>
          <w:szCs w:val="16"/>
          <w:b w:val="1"/>
          <w:bCs w:val="1"/>
          <w:color w:val="auto"/>
        </w:rPr>
        <w:t xml:space="preserve"> </w:t>
      </w:r>
      <w:r>
        <w:rPr>
          <w:rFonts w:ascii="Arial" w:cs="Arial" w:eastAsia="Arial" w:hAnsi="Arial"/>
          <w:sz w:val="16"/>
          <w:szCs w:val="16"/>
          <w:color w:val="auto"/>
        </w:rPr>
        <w:t>quorum is present.</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Abstentions and broker non-votes will be counted towards the quorum requirement. If there is no quorum, the holders of a majority in voting power of the shares of Common Stock present by remote communication at the meeting or represented by proxy may adjourn the meeting to another date.</w:t>
      </w:r>
    </w:p>
    <w:p>
      <w:pPr>
        <w:spacing w:after="0" w:line="200" w:lineRule="exact"/>
        <w:rPr>
          <w:sz w:val="20"/>
          <w:szCs w:val="20"/>
          <w:color w:val="auto"/>
        </w:rPr>
      </w:pP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124460</wp:posOffset>
            </wp:positionV>
            <wp:extent cx="59664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280"/>
            <w:col w:w="7020"/>
          </w:cols>
          <w:pgMar w:left="1240" w:top="114" w:right="1259" w:bottom="1440" w:gutter="0" w:footer="0" w:header="0"/>
        </w:sectPr>
      </w:pPr>
    </w:p>
    <w:p>
      <w:pPr>
        <w:spacing w:after="0" w:line="315" w:lineRule="exact"/>
        <w:rPr>
          <w:sz w:val="20"/>
          <w:szCs w:val="20"/>
          <w:color w:val="auto"/>
        </w:rPr>
      </w:pPr>
    </w:p>
    <w:p>
      <w:pPr>
        <w:ind w:left="3060"/>
        <w:spacing w:after="0"/>
        <w:tabs>
          <w:tab w:leader="none" w:pos="464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When are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w:t>
      </w:r>
    </w:p>
    <w:p>
      <w:pPr>
        <w:spacing w:after="0" w:line="230" w:lineRule="auto"/>
        <w:rPr>
          <w:sz w:val="20"/>
          <w:szCs w:val="20"/>
          <w:color w:val="auto"/>
        </w:rPr>
      </w:pPr>
      <w:r>
        <w:rPr>
          <w:rFonts w:ascii="Arial" w:cs="Arial" w:eastAsia="Arial" w:hAnsi="Arial"/>
          <w:sz w:val="22"/>
          <w:szCs w:val="22"/>
          <w:b w:val="1"/>
          <w:bCs w:val="1"/>
          <w:color w:val="auto"/>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nominations</w:t>
      </w:r>
    </w:p>
    <w:p>
      <w:pPr>
        <w:spacing w:after="0" w:line="231" w:lineRule="auto"/>
        <w:rPr>
          <w:sz w:val="20"/>
          <w:szCs w:val="20"/>
          <w:color w:val="auto"/>
        </w:rPr>
      </w:pPr>
      <w:r>
        <w:rPr>
          <w:rFonts w:ascii="Arial" w:cs="Arial" w:eastAsia="Arial" w:hAnsi="Arial"/>
          <w:sz w:val="22"/>
          <w:szCs w:val="22"/>
          <w:b w:val="1"/>
          <w:bCs w:val="1"/>
          <w:color w:val="auto"/>
        </w:rPr>
        <w:t>due for next year’s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by Tuesday, December 30, 2025, to WM Technology, Inc., Attn: Corporate Secretary, 41 Discovery, Irvine, California 92618. If you wish to submit a proposal (including a director nomination) at the meeting that is not to be included in next year’s proxy materials, you must do so by submitting your proposal in writing which must be received by the Corporate Secretary not earlier than the close of business on the 120th day and not later than the close of business on the 90th day prior to the anniversary of the preceding year’s annual meeting of stockholders. Therefore, we must receive notice of such a proposal or nomination for the 2026 Annual Meeting no earlier than the close of business on Tuesday, February 24, 2026 and no later than the close of business on Thursday, March 26, 2026. The notice must contain the information required by the Amended and Restated Bylaws of the Company (the “Bylaws”). In the event that the date of the 2026 Annual Meeting is not within 30 days before or delayed by more than 60 days from the first anniversary of the preceding year’s annual meeting of stockholders, or no annual meeting was held during the preceding year, then the Corporate Secretary must receive such written notice not earlier than the close of business on the 120th day prior to the 2026 Annual Meeting and not later than the close of business on the later of the 90th day prior to 2026 Annual Meeting or the closing of business on the tenth day following the day on which public announcement of the date of such meeting is first made. In addition, stockholders who intend to solicit proxies in support of director nominees other than WM Technology, Inc.’s nominees must also comply with the additional requirements of Rule 14a-19(b) promulgated under the Securities Exchange Act of 1934, as amended (the “Exchange Act”), no later than Saturday, April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131445</wp:posOffset>
            </wp:positionV>
            <wp:extent cx="59664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220"/>
            <w:col w:w="7020"/>
          </w:cols>
          <w:pgMar w:left="1240" w:top="114" w:right="1259" w:bottom="1440" w:gutter="0" w:footer="0" w:header="0"/>
        </w:sectPr>
      </w:pPr>
    </w:p>
    <w:p>
      <w:pPr>
        <w:spacing w:after="0" w:line="326" w:lineRule="exact"/>
        <w:rPr>
          <w:sz w:val="20"/>
          <w:szCs w:val="20"/>
          <w:color w:val="auto"/>
        </w:rPr>
      </w:pPr>
    </w:p>
    <w:p>
      <w:pPr>
        <w:ind w:left="3060"/>
        <w:spacing w:after="0"/>
        <w:tabs>
          <w:tab w:leader="none" w:pos="464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ind w:right="4240"/>
        <w:spacing w:after="0" w:line="282" w:lineRule="auto"/>
        <w:rPr>
          <w:sz w:val="20"/>
          <w:szCs w:val="20"/>
          <w:color w:val="auto"/>
        </w:rPr>
      </w:pPr>
      <w:r>
        <w:rPr>
          <w:rFonts w:ascii="Arial" w:cs="Arial" w:eastAsia="Arial" w:hAnsi="Arial"/>
          <w:sz w:val="57"/>
          <w:szCs w:val="57"/>
          <w:color w:val="auto"/>
        </w:rPr>
        <w:t>Proposal No. 1 Election of Directors</w:t>
      </w:r>
    </w:p>
    <w:p>
      <w:pPr>
        <w:spacing w:after="0" w:line="3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Pursuant to our Certificate of Incorporation (the “Certificate of Incorporation”) and Bylaws, the Board is divided into three classes, with only one class of directors being elected in each year and each class, Class I, Class II and Class III, serving a three-year term. Each Class I director has a term that expires at this Annual Meeting, each Class II director has a term that expires at the Company’s 2026 annual meeting of stockholders and each Class III director has a term that expires at the Company’s 2027 annual meeting of stockholders, or in each case until their respective successors are duly elected and qualified, or until their earlier death, resignation, or removal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or until such director’s earlier death, disqualification, resignation or removal.</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Board presently has seven members. There are two directors in the class whose term of office expires in 2025. Mr. Bay is currently a director who was previously elected by the stockholders. Mr. Ibbott is currently a director who was recommended for nomination to the Company’s Board by the Nominating and Corporate Governance Committee of the Company whose nomination was approved by the Board pursuant to the Bylaws. If elected at the Annual Meeting, each of these nominees would serve until the 2028 annual meeting and until his or her successor has been duly elected and qualified, or, if sooner, until the director’s death, resignation or removal. Our policy is to encourage directors and nominees for director to attend the Annual Meeting. Four of the current directors attended the 2024 Annual Meeting of Stockholders.</w:t>
      </w:r>
    </w:p>
    <w:p>
      <w:pPr>
        <w:spacing w:after="0" w:line="12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Directors are elected by a plurality of the votes cast of the shares present online at meeting or represented by proxy and entitled to vote on the election of directors. Accordingly, the two nominees receiving the highest number of affirmative votes will be elected. Shares represented by executed proxies will be voted, if authority to do so is not withheld, for the election of the two nominees named below. If any nominee becomes unavailable for election as a result of an unexpected occurrence, shares that would have been voted for that nominee will instead be voted for the election of a substitute nominee proposed by us, if any. Each person nominated for election has agreed to serve if elected. Our management has no reason to believe that any nominee will be unable to serve.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brief biography of each nominee and each director whose term will continue after the Annual Meeting.</w:t>
      </w:r>
    </w:p>
    <w:p>
      <w:pPr>
        <w:spacing w:after="0" w:line="288" w:lineRule="exact"/>
        <w:rPr>
          <w:sz w:val="20"/>
          <w:szCs w:val="20"/>
          <w:color w:val="auto"/>
        </w:rPr>
      </w:pPr>
    </w:p>
    <w:p>
      <w:pPr>
        <w:ind w:right="300"/>
        <w:spacing w:after="0" w:line="272" w:lineRule="auto"/>
        <w:rPr>
          <w:sz w:val="20"/>
          <w:szCs w:val="20"/>
          <w:color w:val="auto"/>
        </w:rPr>
      </w:pPr>
      <w:r>
        <w:rPr>
          <w:rFonts w:ascii="Arial" w:cs="Arial" w:eastAsia="Arial" w:hAnsi="Arial"/>
          <w:sz w:val="22"/>
          <w:szCs w:val="22"/>
          <w:b w:val="1"/>
          <w:bCs w:val="1"/>
          <w:color w:val="40C0C0"/>
        </w:rPr>
        <w:t>Class I Director Nominees for Election for a Three-Year Term Expiring at the 2028 Annual Meeting</w:t>
      </w:r>
    </w:p>
    <w:p>
      <w:pPr>
        <w:spacing w:after="0" w:line="89"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Anthony Bay</w:t>
      </w:r>
      <w:r>
        <w:rPr>
          <w:rFonts w:ascii="Arial" w:cs="Arial" w:eastAsia="Arial" w:hAnsi="Arial"/>
          <w:sz w:val="16"/>
          <w:szCs w:val="16"/>
          <w:color w:val="auto"/>
        </w:rPr>
        <w:t>. Mr. Bay, age 69, has served as a member of the Board since March 2022. Prior to joining the Board, Mr. Bay served</w:t>
      </w:r>
      <w:r>
        <w:rPr>
          <w:rFonts w:ascii="Arial" w:cs="Arial" w:eastAsia="Arial" w:hAnsi="Arial"/>
          <w:sz w:val="16"/>
          <w:szCs w:val="16"/>
          <w:i w:val="1"/>
          <w:iCs w:val="1"/>
          <w:color w:val="auto"/>
        </w:rPr>
        <w:t xml:space="preserve"> </w:t>
      </w:r>
      <w:r>
        <w:rPr>
          <w:rFonts w:ascii="Arial" w:cs="Arial" w:eastAsia="Arial" w:hAnsi="Arial"/>
          <w:sz w:val="16"/>
          <w:szCs w:val="16"/>
          <w:color w:val="auto"/>
        </w:rPr>
        <w:t>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213360</wp:posOffset>
            </wp:positionV>
            <wp:extent cx="59664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Mr. Bay was selected to serve on the Board based on his business experience as a founder, chief executive officer and various leadership positions of technology companies, and as a director of private and publicly-listed companies.</w:t>
      </w:r>
    </w:p>
    <w:p>
      <w:pPr>
        <w:spacing w:after="0" w:line="10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i w:val="1"/>
          <w:iCs w:val="1"/>
          <w:color w:val="auto"/>
        </w:rPr>
        <w:t>Glen Ibbott</w:t>
      </w:r>
      <w:r>
        <w:rPr>
          <w:rFonts w:ascii="Arial" w:cs="Arial" w:eastAsia="Arial" w:hAnsi="Arial"/>
          <w:sz w:val="16"/>
          <w:szCs w:val="16"/>
          <w:color w:val="auto"/>
        </w:rPr>
        <w:t>. Mr. Ibbott, age 62, has served as a member of the Board since October 2024. Since February 2024, Mr. Ibbott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founder of GK Financial Ventures, a financial consulting company. From May 2017 to February 2024, Mr. Ibbott served as the Chief Financial Officer of Aurora Cannabis Inc., a Nasdaq and TSX-listed global cannabis company. From 2015 to 2017, Mr. Ibbott served as the Chief Financial Officer of QLT Inc., a Nasdaq and TSX-listed biotechnology company. From 2010 to August 2014, Mr. Ibbott served as the Vice President of Finance at Nordion Inc., a NYSE and TSX listed health science company. Prior to his time at Nordion, Mr. Ibbott held senior finance positions at various publicly-listed biotech and specialty pharmaceutical companies. Earlier in his career, he worked within the audit and technology practice of KPMG LLP, a consulting and accounting firm. Mr. Ibbott holds MBAs from both Cornell University and Queen’s University, an undergraduate degree in Business Administration (Accounting) from Simon Fraser University, and is Chartered Professional Accountant.</w:t>
      </w:r>
    </w:p>
    <w:p>
      <w:pPr>
        <w:spacing w:after="0" w:line="13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Mr. Ibbott was selected to serve on the Board based on his business experience as a chief financial officer and various leadership positions in publicly-listed companies, and his experience in the cannabis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4114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1480" cy="6858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40C0C0"/>
        </w:rPr>
        <w:t>VOTE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Recommends a Vote “For” Each Named Nominee.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Class II Directors Continuing in Office Until the 2026 Annual Meeting</w:t>
      </w:r>
    </w:p>
    <w:p>
      <w:pPr>
        <w:spacing w:after="0" w:line="166"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Tony Aquila</w:t>
      </w:r>
      <w:r>
        <w:rPr>
          <w:rFonts w:ascii="Arial" w:cs="Arial" w:eastAsia="Arial" w:hAnsi="Arial"/>
          <w:sz w:val="16"/>
          <w:szCs w:val="16"/>
          <w:color w:val="auto"/>
        </w:rPr>
        <w:t>. Mr. Aquila, age 60, has served as a member of the Board since June 2021. Since April 2021, Mr. Aquila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Chief Executive Officer of Canoo, Inc., a mobility technology company, and as the Executive Chairman of the Board of Canoo since December 2020. In January 2025, Canoo filed for Chapter 7 bankruptcy.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has also served as a member of the Arkansas Council on Future Mobility since February 2022 and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 since January 2020, RocketRoute Limited, a global aviation services company, since March 2020, and APG Avionics LLC, an aviation data and software company for the general aviation market, since September 2020. From November 2018 to July 2020, Mr. Aquila served as the Global Chairperson of Sportradar Group, a sports data and content company. Mr. Aquila has also served as a director of Guardianship Services Inc., a nonprofit organization providing guardianship and support services to at-risk adults in Tarrant County, Texas since October 2020.</w:t>
      </w:r>
    </w:p>
    <w:p>
      <w:pPr>
        <w:spacing w:after="0" w:line="1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Mr. Aquila was selected to serve on the Board based on his business experience as a founder, inventor, chief executive officer and director of publicly-listed companies and his investing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59664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i w:val="1"/>
          <w:iCs w:val="1"/>
          <w:color w:val="auto"/>
        </w:rPr>
        <w:t>Brenda Freeman</w:t>
      </w:r>
      <w:r>
        <w:rPr>
          <w:rFonts w:ascii="Arial" w:cs="Arial" w:eastAsia="Arial" w:hAnsi="Arial"/>
          <w:sz w:val="16"/>
          <w:szCs w:val="16"/>
          <w:color w:val="auto"/>
        </w:rPr>
        <w:t>. Ms. Freeman, age 60, has served as a member of the Board since June 2021. Ms. Freeman founded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President of Joyeux Advisory Group LLC, a firm providing advisory services to early-stage startups and Fortune 500 companies, since January 2018.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Blue Apron Holdings, Inc. since October 2020 (which became privately owned in November 2023), of Caleres, Inc. since April 2017 and of Avnet, Inc. since November 2018. Ms. Freeman previously served on the board of directors of Herman Miller, Inc. from January 2016 to June 2019 and on the board of directors of RTW Retailwinds, Inc. from April 2019 to April 2020. Ms. Freeman holds a B.S. degree in chemical engineering and an M.B.A degree from the University of Maryland.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Ms. Freeman was selected to serve on the Board based on her business experience and technology industry expertise.</w:t>
      </w:r>
    </w:p>
    <w:p>
      <w:pPr>
        <w:spacing w:after="0" w:line="167"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Olga Gonzalez</w:t>
      </w:r>
      <w:r>
        <w:rPr>
          <w:rFonts w:ascii="Arial" w:cs="Arial" w:eastAsia="Arial" w:hAnsi="Arial"/>
          <w:sz w:val="16"/>
          <w:szCs w:val="16"/>
          <w:color w:val="auto"/>
        </w:rPr>
        <w:t>. Ms. Gonzalez, age 58, has served as a member of the Board since June 2021. Since April 2023, Ms. Gonzalez</w:t>
      </w:r>
      <w:r>
        <w:rPr>
          <w:rFonts w:ascii="Arial" w:cs="Arial" w:eastAsia="Arial" w:hAnsi="Arial"/>
          <w:sz w:val="16"/>
          <w:szCs w:val="16"/>
          <w:i w:val="1"/>
          <w:iCs w:val="1"/>
          <w:color w:val="auto"/>
        </w:rPr>
        <w:t xml:space="preserve"> </w:t>
      </w:r>
      <w:r>
        <w:rPr>
          <w:rFonts w:ascii="Arial" w:cs="Arial" w:eastAsia="Arial" w:hAnsi="Arial"/>
          <w:sz w:val="16"/>
          <w:szCs w:val="16"/>
          <w:color w:val="auto"/>
        </w:rPr>
        <w:t>has served as CEO and President of Wild Fork USA. Prior to that, from April 2022 to April 2023 and January 2021 to April 2022, Ms. Gonzalez served as Global COO and Global Business Leader, respectively,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Previously,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Ms. Gonzalez was selected to serve on the Board based on her business experience and financial expertise.</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Class III Directors Continuing in Office Until the 2027 Annual Meeting</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i w:val="1"/>
          <w:iCs w:val="1"/>
          <w:color w:val="auto"/>
        </w:rPr>
        <w:t>Douglas Francis</w:t>
      </w:r>
      <w:r>
        <w:rPr>
          <w:rFonts w:ascii="Arial" w:cs="Arial" w:eastAsia="Arial" w:hAnsi="Arial"/>
          <w:sz w:val="16"/>
          <w:szCs w:val="16"/>
          <w:color w:val="auto"/>
        </w:rPr>
        <w:t>. Mr. Francis, age 47, has served as a member of the Board since June 2021, and our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since November 2024, and prior to that as our Executive Chair since 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127"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Mr. Francis was selected to serve on the Board based on his perspective, experience and institutional knowledge as WMH’s co-founder and his long tenure as WMH’s President and Chief Executive Officer.</w:t>
      </w:r>
    </w:p>
    <w:p>
      <w:pPr>
        <w:spacing w:after="0" w:line="102"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i w:val="1"/>
          <w:iCs w:val="1"/>
          <w:color w:val="auto"/>
        </w:rPr>
        <w:t>Scott Gordon</w:t>
      </w:r>
      <w:r>
        <w:rPr>
          <w:rFonts w:ascii="Arial" w:cs="Arial" w:eastAsia="Arial" w:hAnsi="Arial"/>
          <w:sz w:val="16"/>
          <w:szCs w:val="16"/>
          <w:color w:val="auto"/>
        </w:rPr>
        <w:t>. Mr. Gordon, age 63, has served as a member of the Board since June 2021. Since October 2024, Mr. Gordon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a Partner of Chicago Atlantic. Prior to that, from March 2019 to October 2024, Mr. Gordon was the Chief Executive Officer and Chairperson of the board of directors of Silver Spike Capital. Similarly, he served in the same capacities for Silver Spike Acquisition Corp. from its inception until June 2021. Since 2016, Mr. Gordon has been the co-founder and the Chairperson of Egg 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59664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also held leadership positions at Bank of America and ING Capital. Mr. Gordon was a founding member of the Emerging Markets business at JP Morgan where he worked upon graduating from Bowdoin College in 1983.</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Mr. Gordon was selected to serve on the Board based on his experience in emerging markets and in the cannabis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ind w:right="400"/>
        <w:spacing w:after="0" w:line="255" w:lineRule="auto"/>
        <w:rPr>
          <w:sz w:val="20"/>
          <w:szCs w:val="20"/>
          <w:color w:val="auto"/>
        </w:rPr>
      </w:pPr>
      <w:r>
        <w:rPr>
          <w:rFonts w:ascii="Arial" w:cs="Arial" w:eastAsia="Arial" w:hAnsi="Arial"/>
          <w:sz w:val="58"/>
          <w:szCs w:val="58"/>
          <w:color w:val="auto"/>
        </w:rPr>
        <w:t>Information Regarding the Board of Directors and Corporate Governance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Director Independence</w:t>
      </w:r>
    </w:p>
    <w:p>
      <w:pPr>
        <w:spacing w:after="0" w:line="16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As required under the Nasdaq Stock Market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325"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Messrs. Aquila, Bay, Gordon and Ibbott and Mses. Freeman and Gonzalez. In making this determination, the Board found that none of these directors or nominees for director had a material or other disqualifying relationship with the Company.</w:t>
      </w:r>
    </w:p>
    <w:p>
      <w:pPr>
        <w:spacing w:after="0" w:line="128"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 director, and the transactions involving them described in the section titled “Related Person Transactions” that occurred during any 12-month period within the last three fiscal years.</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Board Leadership Structure</w:t>
      </w:r>
    </w:p>
    <w:p>
      <w:pPr>
        <w:spacing w:after="0" w:line="166"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The Board is currently chaired by the Chief Executive Officer of the Company, Mr. Francis, who has an active role in leading the Company as our principal executive officer and member of the Board. Ms. Freeman continues to serve as our lead independent director.</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Company believes that during this turbulent period in the cannabis sector, it is valuable to have Mr. Francis in the combined positions of principal executive officer and Chairperson of the Board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126"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The Board appointed Ms. Freeman as the lead independent director to help reinforce the independence of the Board as a whole. The position of lead independent director has been structured to serve as an effective balance to a combined principal executive officer and Chairperson of the Board: the lead independent director is empowered to, among other duties and responsibilities, approve agendas and meeting schedules for regular Board meetings, preside over Board meetings in the absence of the Chief Executive Officer, preside over and establish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59664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agendas for meetings of the independent directors, act as liaison between the Board chair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Board chair, for example, by facilitating the inclusion on meeting agendas of matters of concern to the independent directors.</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Role of the Board in Risk Oversight</w:t>
      </w:r>
    </w:p>
    <w:p>
      <w:pPr>
        <w:spacing w:after="0" w:line="166" w:lineRule="exact"/>
        <w:rPr>
          <w:sz w:val="20"/>
          <w:szCs w:val="20"/>
          <w:color w:val="auto"/>
        </w:rPr>
      </w:pPr>
    </w:p>
    <w:p>
      <w:pPr>
        <w:ind w:right="420"/>
        <w:spacing w:after="0" w:line="254" w:lineRule="auto"/>
        <w:rPr>
          <w:sz w:val="20"/>
          <w:szCs w:val="20"/>
          <w:color w:val="auto"/>
        </w:rPr>
      </w:pPr>
      <w:r>
        <w:rPr>
          <w:rFonts w:ascii="Arial" w:cs="Arial" w:eastAsia="Arial" w:hAnsi="Arial"/>
          <w:sz w:val="16"/>
          <w:szCs w:val="16"/>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12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12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 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enterprise risk assessment and management policies, procedures and practices (including, together with assistance from the Technology Committee, those risks related to information security, cybersecurity and data protection), as 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9664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Meetings of the Board of Directors</w:t>
      </w:r>
    </w:p>
    <w:p>
      <w:pPr>
        <w:spacing w:after="0" w:line="166"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The Board met eight times during 2024. All directors, except Mr. Aquila, attended 75% or more of the aggregate number of meetings of the Board and of the committees on which they served, held during the portion of the last fiscal year for which they were a director or member.</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As required under applicable Nasdaq listing standards, in 2024, the Company’s independent directors met five times in regularly scheduled executive sessions at which only independent directors were present.</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Information Regarding Committees of the Board of Directors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2024 for each of the standing Board committees: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4000" w:type="dxa"/>
            <w:vAlign w:val="bottom"/>
            <w:shd w:val="clear" w:color="auto" w:fill="000000"/>
          </w:tcPr>
          <w:p>
            <w:pPr>
              <w:spacing w:after="0"/>
              <w:rPr>
                <w:sz w:val="24"/>
                <w:szCs w:val="24"/>
                <w:color w:val="auto"/>
              </w:rPr>
            </w:pPr>
          </w:p>
        </w:tc>
        <w:tc>
          <w:tcPr>
            <w:tcW w:w="1240" w:type="dxa"/>
            <w:vAlign w:val="bottom"/>
            <w:shd w:val="clear" w:color="auto" w:fill="000000"/>
          </w:tcPr>
          <w:p>
            <w:pPr>
              <w:spacing w:after="0"/>
              <w:rPr>
                <w:sz w:val="24"/>
                <w:szCs w:val="24"/>
                <w:color w:val="auto"/>
              </w:rPr>
            </w:pPr>
          </w:p>
        </w:tc>
        <w:tc>
          <w:tcPr>
            <w:tcW w:w="1480" w:type="dxa"/>
            <w:vAlign w:val="bottom"/>
            <w:shd w:val="clear" w:color="auto" w:fill="000000"/>
          </w:tcPr>
          <w:p>
            <w:pPr>
              <w:spacing w:after="0"/>
              <w:rPr>
                <w:sz w:val="24"/>
                <w:szCs w:val="24"/>
                <w:color w:val="auto"/>
              </w:rPr>
            </w:pPr>
          </w:p>
        </w:tc>
        <w:tc>
          <w:tcPr>
            <w:tcW w:w="14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rPr>
              <w:t>Nominating and</w:t>
            </w:r>
          </w:p>
        </w:tc>
        <w:tc>
          <w:tcPr>
            <w:tcW w:w="1240" w:type="dxa"/>
            <w:vAlign w:val="bottom"/>
            <w:shd w:val="clear" w:color="auto" w:fill="000000"/>
          </w:tcPr>
          <w:p>
            <w:pPr>
              <w:spacing w:after="0"/>
              <w:rPr>
                <w:sz w:val="24"/>
                <w:szCs w:val="24"/>
                <w:color w:val="auto"/>
              </w:rPr>
            </w:pPr>
          </w:p>
        </w:tc>
      </w:tr>
      <w:tr>
        <w:trPr>
          <w:trHeight w:val="162"/>
        </w:trPr>
        <w:tc>
          <w:tcPr>
            <w:tcW w:w="4000" w:type="dxa"/>
            <w:vAlign w:val="bottom"/>
            <w:shd w:val="clear" w:color="auto" w:fill="000000"/>
          </w:tcPr>
          <w:p>
            <w:pPr>
              <w:spacing w:after="0"/>
              <w:rPr>
                <w:sz w:val="14"/>
                <w:szCs w:val="14"/>
                <w:color w:val="auto"/>
              </w:rPr>
            </w:pPr>
          </w:p>
        </w:tc>
        <w:tc>
          <w:tcPr>
            <w:tcW w:w="1240" w:type="dxa"/>
            <w:vAlign w:val="bottom"/>
            <w:shd w:val="clear" w:color="auto" w:fill="000000"/>
          </w:tcPr>
          <w:p>
            <w:pPr>
              <w:spacing w:after="0"/>
              <w:rPr>
                <w:sz w:val="14"/>
                <w:szCs w:val="14"/>
                <w:color w:val="auto"/>
              </w:rPr>
            </w:pPr>
          </w:p>
        </w:tc>
        <w:tc>
          <w:tcPr>
            <w:tcW w:w="1480" w:type="dxa"/>
            <w:vAlign w:val="bottom"/>
            <w:shd w:val="clear" w:color="auto" w:fill="000000"/>
          </w:tcPr>
          <w:p>
            <w:pPr>
              <w:spacing w:after="0"/>
              <w:rPr>
                <w:sz w:val="14"/>
                <w:szCs w:val="14"/>
                <w:color w:val="auto"/>
              </w:rPr>
            </w:pPr>
          </w:p>
        </w:tc>
        <w:tc>
          <w:tcPr>
            <w:tcW w:w="14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rPr>
              <w:t>Corporate</w:t>
            </w:r>
          </w:p>
        </w:tc>
        <w:tc>
          <w:tcPr>
            <w:tcW w:w="1240" w:type="dxa"/>
            <w:vAlign w:val="bottom"/>
            <w:shd w:val="clear" w:color="auto" w:fill="000000"/>
          </w:tcPr>
          <w:p>
            <w:pPr>
              <w:spacing w:after="0"/>
              <w:rPr>
                <w:sz w:val="14"/>
                <w:szCs w:val="14"/>
                <w:color w:val="auto"/>
              </w:rPr>
            </w:pPr>
          </w:p>
        </w:tc>
      </w:tr>
      <w:tr>
        <w:trPr>
          <w:trHeight w:val="185"/>
        </w:trPr>
        <w:tc>
          <w:tcPr>
            <w:tcW w:w="400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Director</w:t>
            </w:r>
          </w:p>
        </w:tc>
        <w:tc>
          <w:tcPr>
            <w:tcW w:w="1240" w:type="dxa"/>
            <w:vAlign w:val="bottom"/>
            <w:shd w:val="clear" w:color="auto" w:fill="000000"/>
          </w:tcPr>
          <w:p>
            <w:pPr>
              <w:jc w:val="center"/>
              <w:ind w:left="148"/>
              <w:spacing w:after="0"/>
              <w:rPr>
                <w:sz w:val="20"/>
                <w:szCs w:val="20"/>
                <w:color w:val="auto"/>
              </w:rPr>
            </w:pPr>
            <w:r>
              <w:rPr>
                <w:rFonts w:ascii="Arial" w:cs="Arial" w:eastAsia="Arial" w:hAnsi="Arial"/>
                <w:sz w:val="14"/>
                <w:szCs w:val="14"/>
                <w:b w:val="1"/>
                <w:bCs w:val="1"/>
                <w:color w:val="FFFFFF"/>
              </w:rPr>
              <w:t>Audit</w:t>
            </w:r>
          </w:p>
        </w:tc>
        <w:tc>
          <w:tcPr>
            <w:tcW w:w="1480" w:type="dxa"/>
            <w:vAlign w:val="bottom"/>
            <w:shd w:val="clear" w:color="auto" w:fill="000000"/>
          </w:tcPr>
          <w:p>
            <w:pPr>
              <w:jc w:val="center"/>
              <w:ind w:left="128"/>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rPr>
              <w:t>Governance</w:t>
            </w:r>
          </w:p>
        </w:tc>
        <w:tc>
          <w:tcPr>
            <w:tcW w:w="12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rPr>
              <w:t>Technology</w:t>
            </w:r>
          </w:p>
        </w:tc>
      </w:tr>
      <w:tr>
        <w:trPr>
          <w:trHeight w:val="189"/>
        </w:trPr>
        <w:tc>
          <w:tcPr>
            <w:tcW w:w="400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40C0C0"/>
              </w:rPr>
              <w:t>Tony Aquila</w:t>
            </w:r>
          </w:p>
        </w:tc>
        <w:tc>
          <w:tcPr>
            <w:tcW w:w="1240" w:type="dxa"/>
            <w:vAlign w:val="bottom"/>
            <w:tcBorders>
              <w:bottom w:val="single" w:sz="8" w:color="999999"/>
            </w:tcBorders>
          </w:tcPr>
          <w:p>
            <w:pPr>
              <w:spacing w:after="0"/>
              <w:rPr>
                <w:sz w:val="16"/>
                <w:szCs w:val="16"/>
                <w:color w:val="auto"/>
              </w:rPr>
            </w:pPr>
          </w:p>
        </w:tc>
        <w:tc>
          <w:tcPr>
            <w:tcW w:w="1480" w:type="dxa"/>
            <w:vAlign w:val="bottom"/>
            <w:tcBorders>
              <w:bottom w:val="single" w:sz="8" w:color="999999"/>
            </w:tcBorders>
          </w:tcPr>
          <w:p>
            <w:pPr>
              <w:jc w:val="center"/>
              <w:ind w:left="128"/>
              <w:spacing w:after="0"/>
              <w:rPr>
                <w:sz w:val="20"/>
                <w:szCs w:val="20"/>
                <w:color w:val="auto"/>
              </w:rPr>
            </w:pPr>
            <w:r>
              <w:rPr>
                <w:rFonts w:ascii="Arial" w:cs="Arial" w:eastAsia="Arial" w:hAnsi="Arial"/>
                <w:sz w:val="14"/>
                <w:szCs w:val="14"/>
                <w:color w:val="auto"/>
                <w:w w:val="89"/>
              </w:rPr>
              <w:t>X    </w:t>
            </w:r>
          </w:p>
        </w:tc>
        <w:tc>
          <w:tcPr>
            <w:tcW w:w="1440" w:type="dxa"/>
            <w:vAlign w:val="bottom"/>
            <w:tcBorders>
              <w:bottom w:val="single" w:sz="8" w:color="999999"/>
            </w:tcBorders>
          </w:tcPr>
          <w:p>
            <w:pPr>
              <w:spacing w:after="0"/>
              <w:rPr>
                <w:sz w:val="16"/>
                <w:szCs w:val="16"/>
                <w:color w:val="auto"/>
              </w:rPr>
            </w:pPr>
          </w:p>
        </w:tc>
        <w:tc>
          <w:tcPr>
            <w:tcW w:w="1240" w:type="dxa"/>
            <w:vAlign w:val="bottom"/>
            <w:tcBorders>
              <w:bottom w:val="single" w:sz="8" w:color="999999"/>
            </w:tcBorders>
          </w:tcPr>
          <w:p>
            <w:pPr>
              <w:spacing w:after="0"/>
              <w:rPr>
                <w:sz w:val="16"/>
                <w:szCs w:val="16"/>
                <w:color w:val="auto"/>
              </w:rPr>
            </w:pPr>
          </w:p>
        </w:tc>
      </w:tr>
      <w:tr>
        <w:trPr>
          <w:trHeight w:val="183"/>
        </w:trPr>
        <w:tc>
          <w:tcPr>
            <w:tcW w:w="400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40C0C0"/>
              </w:rPr>
              <w:t>Anthony Bay</w:t>
            </w:r>
          </w:p>
        </w:tc>
        <w:tc>
          <w:tcPr>
            <w:tcW w:w="1240" w:type="dxa"/>
            <w:vAlign w:val="bottom"/>
            <w:tcBorders>
              <w:bottom w:val="single" w:sz="8" w:color="999999"/>
            </w:tcBorders>
          </w:tcPr>
          <w:p>
            <w:pPr>
              <w:jc w:val="center"/>
              <w:ind w:left="168"/>
              <w:spacing w:after="0"/>
              <w:rPr>
                <w:sz w:val="20"/>
                <w:szCs w:val="20"/>
                <w:color w:val="auto"/>
              </w:rPr>
            </w:pPr>
            <w:r>
              <w:rPr>
                <w:rFonts w:ascii="Arial" w:cs="Arial" w:eastAsia="Arial" w:hAnsi="Arial"/>
                <w:sz w:val="14"/>
                <w:szCs w:val="14"/>
                <w:color w:val="auto"/>
                <w:w w:val="89"/>
              </w:rPr>
              <w:t>X    </w:t>
            </w:r>
          </w:p>
        </w:tc>
        <w:tc>
          <w:tcPr>
            <w:tcW w:w="1480" w:type="dxa"/>
            <w:vAlign w:val="bottom"/>
            <w:tcBorders>
              <w:bottom w:val="single" w:sz="8" w:color="999999"/>
            </w:tcBorders>
          </w:tcPr>
          <w:p>
            <w:pPr>
              <w:jc w:val="center"/>
              <w:ind w:left="128"/>
              <w:spacing w:after="0"/>
              <w:rPr>
                <w:sz w:val="20"/>
                <w:szCs w:val="20"/>
                <w:color w:val="auto"/>
              </w:rPr>
            </w:pPr>
            <w:r>
              <w:rPr>
                <w:rFonts w:ascii="Arial" w:cs="Arial" w:eastAsia="Arial" w:hAnsi="Arial"/>
                <w:sz w:val="14"/>
                <w:szCs w:val="14"/>
                <w:color w:val="auto"/>
                <w:w w:val="98"/>
              </w:rPr>
              <w:t>X**</w:t>
            </w:r>
          </w:p>
        </w:tc>
        <w:tc>
          <w:tcPr>
            <w:tcW w:w="1440" w:type="dxa"/>
            <w:vAlign w:val="bottom"/>
            <w:tcBorders>
              <w:bottom w:val="single" w:sz="8" w:color="999999"/>
            </w:tcBorders>
          </w:tcPr>
          <w:p>
            <w:pPr>
              <w:spacing w:after="0"/>
              <w:rPr>
                <w:sz w:val="15"/>
                <w:szCs w:val="15"/>
                <w:color w:val="auto"/>
              </w:rPr>
            </w:pPr>
          </w:p>
        </w:tc>
        <w:tc>
          <w:tcPr>
            <w:tcW w:w="1240" w:type="dxa"/>
            <w:vAlign w:val="bottom"/>
            <w:tcBorders>
              <w:bottom w:val="single" w:sz="8" w:color="999999"/>
            </w:tcBorders>
          </w:tcPr>
          <w:p>
            <w:pPr>
              <w:jc w:val="center"/>
              <w:spacing w:after="0"/>
              <w:rPr>
                <w:sz w:val="20"/>
                <w:szCs w:val="20"/>
                <w:color w:val="auto"/>
              </w:rPr>
            </w:pPr>
            <w:r>
              <w:rPr>
                <w:rFonts w:ascii="Arial" w:cs="Arial" w:eastAsia="Arial" w:hAnsi="Arial"/>
                <w:sz w:val="14"/>
                <w:szCs w:val="14"/>
                <w:color w:val="auto"/>
                <w:w w:val="98"/>
              </w:rPr>
              <w:t>X**</w:t>
            </w:r>
          </w:p>
        </w:tc>
      </w:tr>
      <w:tr>
        <w:trPr>
          <w:trHeight w:val="183"/>
        </w:trPr>
        <w:tc>
          <w:tcPr>
            <w:tcW w:w="400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40C0C0"/>
              </w:rPr>
              <w:t>Douglas Francis*</w:t>
            </w:r>
          </w:p>
        </w:tc>
        <w:tc>
          <w:tcPr>
            <w:tcW w:w="1240" w:type="dxa"/>
            <w:vAlign w:val="bottom"/>
            <w:tcBorders>
              <w:bottom w:val="single" w:sz="8" w:color="999999"/>
            </w:tcBorders>
          </w:tcPr>
          <w:p>
            <w:pPr>
              <w:spacing w:after="0"/>
              <w:rPr>
                <w:sz w:val="15"/>
                <w:szCs w:val="15"/>
                <w:color w:val="auto"/>
              </w:rPr>
            </w:pPr>
          </w:p>
        </w:tc>
        <w:tc>
          <w:tcPr>
            <w:tcW w:w="1480" w:type="dxa"/>
            <w:vAlign w:val="bottom"/>
            <w:tcBorders>
              <w:bottom w:val="single" w:sz="8" w:color="999999"/>
            </w:tcBorders>
          </w:tcPr>
          <w:p>
            <w:pPr>
              <w:spacing w:after="0"/>
              <w:rPr>
                <w:sz w:val="15"/>
                <w:szCs w:val="15"/>
                <w:color w:val="auto"/>
              </w:rPr>
            </w:pPr>
          </w:p>
        </w:tc>
        <w:tc>
          <w:tcPr>
            <w:tcW w:w="1440" w:type="dxa"/>
            <w:vAlign w:val="bottom"/>
            <w:tcBorders>
              <w:bottom w:val="single" w:sz="8" w:color="999999"/>
            </w:tcBorders>
          </w:tcPr>
          <w:p>
            <w:pPr>
              <w:spacing w:after="0"/>
              <w:rPr>
                <w:sz w:val="15"/>
                <w:szCs w:val="15"/>
                <w:color w:val="auto"/>
              </w:rPr>
            </w:pPr>
          </w:p>
        </w:tc>
        <w:tc>
          <w:tcPr>
            <w:tcW w:w="1240" w:type="dxa"/>
            <w:vAlign w:val="bottom"/>
            <w:tcBorders>
              <w:bottom w:val="single" w:sz="8" w:color="999999"/>
            </w:tcBorders>
          </w:tcPr>
          <w:p>
            <w:pPr>
              <w:jc w:val="center"/>
              <w:spacing w:after="0"/>
              <w:rPr>
                <w:sz w:val="20"/>
                <w:szCs w:val="20"/>
                <w:color w:val="auto"/>
              </w:rPr>
            </w:pPr>
            <w:r>
              <w:rPr>
                <w:rFonts w:ascii="Arial" w:cs="Arial" w:eastAsia="Arial" w:hAnsi="Arial"/>
                <w:sz w:val="14"/>
                <w:szCs w:val="14"/>
                <w:color w:val="auto"/>
                <w:w w:val="89"/>
              </w:rPr>
              <w:t>X    </w:t>
            </w:r>
          </w:p>
        </w:tc>
      </w:tr>
      <w:tr>
        <w:trPr>
          <w:trHeight w:val="183"/>
        </w:trPr>
        <w:tc>
          <w:tcPr>
            <w:tcW w:w="400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40C0C0"/>
              </w:rPr>
              <w:t>Brenda Freeman</w:t>
            </w:r>
          </w:p>
        </w:tc>
        <w:tc>
          <w:tcPr>
            <w:tcW w:w="1240" w:type="dxa"/>
            <w:vAlign w:val="bottom"/>
            <w:tcBorders>
              <w:bottom w:val="single" w:sz="8" w:color="999999"/>
            </w:tcBorders>
          </w:tcPr>
          <w:p>
            <w:pPr>
              <w:jc w:val="center"/>
              <w:ind w:left="168"/>
              <w:spacing w:after="0"/>
              <w:rPr>
                <w:sz w:val="20"/>
                <w:szCs w:val="20"/>
                <w:color w:val="auto"/>
              </w:rPr>
            </w:pPr>
            <w:r>
              <w:rPr>
                <w:rFonts w:ascii="Arial" w:cs="Arial" w:eastAsia="Arial" w:hAnsi="Arial"/>
                <w:sz w:val="14"/>
                <w:szCs w:val="14"/>
                <w:color w:val="auto"/>
                <w:w w:val="89"/>
              </w:rPr>
              <w:t>X    </w:t>
            </w:r>
          </w:p>
        </w:tc>
        <w:tc>
          <w:tcPr>
            <w:tcW w:w="1480" w:type="dxa"/>
            <w:vAlign w:val="bottom"/>
            <w:tcBorders>
              <w:bottom w:val="single" w:sz="8" w:color="999999"/>
            </w:tcBorders>
          </w:tcPr>
          <w:p>
            <w:pPr>
              <w:spacing w:after="0"/>
              <w:rPr>
                <w:sz w:val="15"/>
                <w:szCs w:val="15"/>
                <w:color w:val="auto"/>
              </w:rPr>
            </w:pPr>
          </w:p>
        </w:tc>
        <w:tc>
          <w:tcPr>
            <w:tcW w:w="1440" w:type="dxa"/>
            <w:vAlign w:val="bottom"/>
            <w:tcBorders>
              <w:bottom w:val="single" w:sz="8" w:color="999999"/>
            </w:tcBorders>
          </w:tcPr>
          <w:p>
            <w:pPr>
              <w:jc w:val="center"/>
              <w:spacing w:after="0"/>
              <w:rPr>
                <w:sz w:val="20"/>
                <w:szCs w:val="20"/>
                <w:color w:val="auto"/>
              </w:rPr>
            </w:pPr>
            <w:r>
              <w:rPr>
                <w:rFonts w:ascii="Arial" w:cs="Arial" w:eastAsia="Arial" w:hAnsi="Arial"/>
                <w:sz w:val="14"/>
                <w:szCs w:val="14"/>
                <w:color w:val="auto"/>
              </w:rPr>
              <w:t>X**</w:t>
            </w:r>
          </w:p>
        </w:tc>
        <w:tc>
          <w:tcPr>
            <w:tcW w:w="1240" w:type="dxa"/>
            <w:vAlign w:val="bottom"/>
            <w:tcBorders>
              <w:bottom w:val="single" w:sz="8" w:color="999999"/>
            </w:tcBorders>
          </w:tcPr>
          <w:p>
            <w:pPr>
              <w:spacing w:after="0"/>
              <w:rPr>
                <w:sz w:val="15"/>
                <w:szCs w:val="15"/>
                <w:color w:val="auto"/>
              </w:rPr>
            </w:pPr>
          </w:p>
        </w:tc>
      </w:tr>
      <w:tr>
        <w:trPr>
          <w:trHeight w:val="209"/>
        </w:trPr>
        <w:tc>
          <w:tcPr>
            <w:tcW w:w="4000" w:type="dxa"/>
            <w:vAlign w:val="bottom"/>
            <w:tcBorders>
              <w:bottom w:val="single" w:sz="8" w:color="999999"/>
            </w:tcBorders>
          </w:tcPr>
          <w:p>
            <w:pPr>
              <w:ind w:left="80"/>
              <w:spacing w:after="0" w:line="210" w:lineRule="exact"/>
              <w:rPr>
                <w:sz w:val="20"/>
                <w:szCs w:val="20"/>
                <w:color w:val="auto"/>
              </w:rPr>
            </w:pPr>
            <w:r>
              <w:rPr>
                <w:rFonts w:ascii="Arial" w:cs="Arial" w:eastAsia="Arial" w:hAnsi="Arial"/>
                <w:sz w:val="14"/>
                <w:szCs w:val="14"/>
                <w:color w:val="40C0C0"/>
              </w:rPr>
              <w:t>Olga Gonzalez</w:t>
            </w:r>
            <w:r>
              <w:rPr>
                <w:rFonts w:ascii="Arial" w:cs="Arial" w:eastAsia="Arial" w:hAnsi="Arial"/>
                <w:sz w:val="23"/>
                <w:szCs w:val="23"/>
                <w:color w:val="40C0C0"/>
                <w:vertAlign w:val="superscript"/>
              </w:rPr>
              <w:t>1</w:t>
            </w:r>
          </w:p>
        </w:tc>
        <w:tc>
          <w:tcPr>
            <w:tcW w:w="1240" w:type="dxa"/>
            <w:vAlign w:val="bottom"/>
            <w:tcBorders>
              <w:bottom w:val="single" w:sz="8" w:color="999999"/>
            </w:tcBorders>
          </w:tcPr>
          <w:p>
            <w:pPr>
              <w:jc w:val="center"/>
              <w:ind w:left="148"/>
              <w:spacing w:after="0"/>
              <w:rPr>
                <w:sz w:val="20"/>
                <w:szCs w:val="20"/>
                <w:color w:val="auto"/>
              </w:rPr>
            </w:pPr>
            <w:r>
              <w:rPr>
                <w:rFonts w:ascii="Arial" w:cs="Arial" w:eastAsia="Arial" w:hAnsi="Arial"/>
                <w:sz w:val="14"/>
                <w:szCs w:val="14"/>
                <w:color w:val="auto"/>
              </w:rPr>
              <w:t>X**</w:t>
            </w:r>
          </w:p>
        </w:tc>
        <w:tc>
          <w:tcPr>
            <w:tcW w:w="1480" w:type="dxa"/>
            <w:vAlign w:val="bottom"/>
            <w:tcBorders>
              <w:bottom w:val="single" w:sz="8" w:color="999999"/>
            </w:tcBorders>
          </w:tcPr>
          <w:p>
            <w:pPr>
              <w:spacing w:after="0"/>
              <w:rPr>
                <w:sz w:val="18"/>
                <w:szCs w:val="18"/>
                <w:color w:val="auto"/>
              </w:rPr>
            </w:pPr>
          </w:p>
        </w:tc>
        <w:tc>
          <w:tcPr>
            <w:tcW w:w="1440" w:type="dxa"/>
            <w:vAlign w:val="bottom"/>
            <w:tcBorders>
              <w:bottom w:val="single" w:sz="8" w:color="999999"/>
            </w:tcBorders>
          </w:tcPr>
          <w:p>
            <w:pPr>
              <w:spacing w:after="0"/>
              <w:rPr>
                <w:sz w:val="18"/>
                <w:szCs w:val="18"/>
                <w:color w:val="auto"/>
              </w:rPr>
            </w:pPr>
          </w:p>
        </w:tc>
        <w:tc>
          <w:tcPr>
            <w:tcW w:w="1240" w:type="dxa"/>
            <w:vAlign w:val="bottom"/>
            <w:tcBorders>
              <w:bottom w:val="single" w:sz="8" w:color="999999"/>
            </w:tcBorders>
          </w:tcPr>
          <w:p>
            <w:pPr>
              <w:spacing w:after="0"/>
              <w:rPr>
                <w:sz w:val="18"/>
                <w:szCs w:val="18"/>
                <w:color w:val="auto"/>
              </w:rPr>
            </w:pPr>
          </w:p>
        </w:tc>
      </w:tr>
      <w:tr>
        <w:trPr>
          <w:trHeight w:val="183"/>
        </w:trPr>
        <w:tc>
          <w:tcPr>
            <w:tcW w:w="400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40C0C0"/>
              </w:rPr>
              <w:t>Scott Gordon</w:t>
            </w:r>
          </w:p>
        </w:tc>
        <w:tc>
          <w:tcPr>
            <w:tcW w:w="1240" w:type="dxa"/>
            <w:vAlign w:val="bottom"/>
            <w:tcBorders>
              <w:bottom w:val="single" w:sz="8" w:color="999999"/>
            </w:tcBorders>
          </w:tcPr>
          <w:p>
            <w:pPr>
              <w:spacing w:after="0"/>
              <w:rPr>
                <w:sz w:val="15"/>
                <w:szCs w:val="15"/>
                <w:color w:val="auto"/>
              </w:rPr>
            </w:pPr>
          </w:p>
        </w:tc>
        <w:tc>
          <w:tcPr>
            <w:tcW w:w="1480" w:type="dxa"/>
            <w:vAlign w:val="bottom"/>
            <w:tcBorders>
              <w:bottom w:val="single" w:sz="8" w:color="999999"/>
            </w:tcBorders>
          </w:tcPr>
          <w:p>
            <w:pPr>
              <w:jc w:val="center"/>
              <w:ind w:left="128"/>
              <w:spacing w:after="0"/>
              <w:rPr>
                <w:sz w:val="20"/>
                <w:szCs w:val="20"/>
                <w:color w:val="auto"/>
              </w:rPr>
            </w:pPr>
            <w:r>
              <w:rPr>
                <w:rFonts w:ascii="Arial" w:cs="Arial" w:eastAsia="Arial" w:hAnsi="Arial"/>
                <w:sz w:val="14"/>
                <w:szCs w:val="14"/>
                <w:color w:val="auto"/>
                <w:w w:val="89"/>
              </w:rPr>
              <w:t>X    </w:t>
            </w:r>
          </w:p>
        </w:tc>
        <w:tc>
          <w:tcPr>
            <w:tcW w:w="1440" w:type="dxa"/>
            <w:vAlign w:val="bottom"/>
            <w:tcBorders>
              <w:bottom w:val="single" w:sz="8" w:color="999999"/>
            </w:tcBorders>
          </w:tcPr>
          <w:p>
            <w:pPr>
              <w:ind w:left="600"/>
              <w:spacing w:after="0"/>
              <w:rPr>
                <w:sz w:val="20"/>
                <w:szCs w:val="20"/>
                <w:color w:val="auto"/>
              </w:rPr>
            </w:pPr>
            <w:r>
              <w:rPr>
                <w:rFonts w:ascii="Arial" w:cs="Arial" w:eastAsia="Arial" w:hAnsi="Arial"/>
                <w:sz w:val="14"/>
                <w:szCs w:val="14"/>
                <w:color w:val="auto"/>
              </w:rPr>
              <w:t>X    </w:t>
            </w:r>
          </w:p>
        </w:tc>
        <w:tc>
          <w:tcPr>
            <w:tcW w:w="1240" w:type="dxa"/>
            <w:vAlign w:val="bottom"/>
            <w:tcBorders>
              <w:bottom w:val="single" w:sz="8" w:color="999999"/>
            </w:tcBorders>
          </w:tcPr>
          <w:p>
            <w:pPr>
              <w:spacing w:after="0"/>
              <w:rPr>
                <w:sz w:val="15"/>
                <w:szCs w:val="15"/>
                <w:color w:val="auto"/>
              </w:rPr>
            </w:pPr>
          </w:p>
        </w:tc>
      </w:tr>
      <w:tr>
        <w:trPr>
          <w:trHeight w:val="210"/>
        </w:trPr>
        <w:tc>
          <w:tcPr>
            <w:tcW w:w="4000" w:type="dxa"/>
            <w:vAlign w:val="bottom"/>
            <w:tcBorders>
              <w:bottom w:val="single" w:sz="8" w:color="999999"/>
            </w:tcBorders>
          </w:tcPr>
          <w:p>
            <w:pPr>
              <w:ind w:left="80"/>
              <w:spacing w:after="0" w:line="210" w:lineRule="exact"/>
              <w:rPr>
                <w:sz w:val="20"/>
                <w:szCs w:val="20"/>
                <w:color w:val="auto"/>
              </w:rPr>
            </w:pPr>
            <w:r>
              <w:rPr>
                <w:rFonts w:ascii="Arial" w:cs="Arial" w:eastAsia="Arial" w:hAnsi="Arial"/>
                <w:sz w:val="14"/>
                <w:szCs w:val="14"/>
                <w:color w:val="40C0C0"/>
              </w:rPr>
              <w:t>Glen Ibbott</w:t>
            </w:r>
            <w:r>
              <w:rPr>
                <w:rFonts w:ascii="Arial" w:cs="Arial" w:eastAsia="Arial" w:hAnsi="Arial"/>
                <w:sz w:val="23"/>
                <w:szCs w:val="23"/>
                <w:color w:val="40C0C0"/>
                <w:vertAlign w:val="superscript"/>
              </w:rPr>
              <w:t>1</w:t>
            </w:r>
          </w:p>
        </w:tc>
        <w:tc>
          <w:tcPr>
            <w:tcW w:w="1240" w:type="dxa"/>
            <w:vAlign w:val="bottom"/>
            <w:tcBorders>
              <w:bottom w:val="single" w:sz="8" w:color="999999"/>
            </w:tcBorders>
          </w:tcPr>
          <w:p>
            <w:pPr>
              <w:jc w:val="center"/>
              <w:ind w:left="168"/>
              <w:spacing w:after="0"/>
              <w:rPr>
                <w:sz w:val="20"/>
                <w:szCs w:val="20"/>
                <w:color w:val="auto"/>
              </w:rPr>
            </w:pPr>
            <w:r>
              <w:rPr>
                <w:rFonts w:ascii="Arial" w:cs="Arial" w:eastAsia="Arial" w:hAnsi="Arial"/>
                <w:sz w:val="14"/>
                <w:szCs w:val="14"/>
                <w:color w:val="auto"/>
                <w:w w:val="89"/>
              </w:rPr>
              <w:t>X    </w:t>
            </w:r>
          </w:p>
        </w:tc>
        <w:tc>
          <w:tcPr>
            <w:tcW w:w="1480" w:type="dxa"/>
            <w:vAlign w:val="bottom"/>
            <w:tcBorders>
              <w:bottom w:val="single" w:sz="8" w:color="999999"/>
            </w:tcBorders>
          </w:tcPr>
          <w:p>
            <w:pPr>
              <w:jc w:val="center"/>
              <w:ind w:left="128"/>
              <w:spacing w:after="0"/>
              <w:rPr>
                <w:sz w:val="20"/>
                <w:szCs w:val="20"/>
                <w:color w:val="auto"/>
              </w:rPr>
            </w:pPr>
            <w:r>
              <w:rPr>
                <w:rFonts w:ascii="Arial" w:cs="Arial" w:eastAsia="Arial" w:hAnsi="Arial"/>
                <w:sz w:val="14"/>
                <w:szCs w:val="14"/>
                <w:color w:val="auto"/>
                <w:w w:val="89"/>
              </w:rPr>
              <w:t>X    </w:t>
            </w:r>
          </w:p>
        </w:tc>
        <w:tc>
          <w:tcPr>
            <w:tcW w:w="1440" w:type="dxa"/>
            <w:vAlign w:val="bottom"/>
            <w:tcBorders>
              <w:bottom w:val="single" w:sz="8" w:color="999999"/>
            </w:tcBorders>
          </w:tcPr>
          <w:p>
            <w:pPr>
              <w:spacing w:after="0"/>
              <w:rPr>
                <w:sz w:val="18"/>
                <w:szCs w:val="18"/>
                <w:color w:val="auto"/>
              </w:rPr>
            </w:pPr>
          </w:p>
        </w:tc>
        <w:tc>
          <w:tcPr>
            <w:tcW w:w="1240" w:type="dxa"/>
            <w:vAlign w:val="bottom"/>
            <w:tcBorders>
              <w:bottom w:val="single" w:sz="8" w:color="999999"/>
            </w:tcBorders>
          </w:tcPr>
          <w:p>
            <w:pPr>
              <w:spacing w:after="0"/>
              <w:rPr>
                <w:sz w:val="18"/>
                <w:szCs w:val="18"/>
                <w:color w:val="auto"/>
              </w:rPr>
            </w:pPr>
          </w:p>
        </w:tc>
      </w:tr>
      <w:tr>
        <w:trPr>
          <w:trHeight w:val="188"/>
        </w:trPr>
        <w:tc>
          <w:tcPr>
            <w:tcW w:w="4000" w:type="dxa"/>
            <w:vAlign w:val="bottom"/>
          </w:tcPr>
          <w:p>
            <w:pPr>
              <w:ind w:left="80"/>
              <w:spacing w:after="0"/>
              <w:rPr>
                <w:sz w:val="20"/>
                <w:szCs w:val="20"/>
                <w:color w:val="auto"/>
              </w:rPr>
            </w:pPr>
            <w:r>
              <w:rPr>
                <w:rFonts w:ascii="Arial" w:cs="Arial" w:eastAsia="Arial" w:hAnsi="Arial"/>
                <w:sz w:val="14"/>
                <w:szCs w:val="14"/>
                <w:color w:val="40C0C0"/>
              </w:rPr>
              <w:t>Total meetings in the year ended December 31, 2024</w:t>
            </w:r>
          </w:p>
        </w:tc>
        <w:tc>
          <w:tcPr>
            <w:tcW w:w="1240" w:type="dxa"/>
            <w:vAlign w:val="bottom"/>
          </w:tcPr>
          <w:p>
            <w:pPr>
              <w:jc w:val="center"/>
              <w:ind w:left="168"/>
              <w:spacing w:after="0"/>
              <w:rPr>
                <w:sz w:val="20"/>
                <w:szCs w:val="20"/>
                <w:color w:val="auto"/>
              </w:rPr>
            </w:pPr>
            <w:r>
              <w:rPr>
                <w:rFonts w:ascii="Arial" w:cs="Arial" w:eastAsia="Arial" w:hAnsi="Arial"/>
                <w:sz w:val="14"/>
                <w:szCs w:val="14"/>
                <w:color w:val="auto"/>
                <w:w w:val="95"/>
              </w:rPr>
              <w:t>8    </w:t>
            </w:r>
          </w:p>
        </w:tc>
        <w:tc>
          <w:tcPr>
            <w:tcW w:w="1480" w:type="dxa"/>
            <w:vAlign w:val="bottom"/>
          </w:tcPr>
          <w:p>
            <w:pPr>
              <w:jc w:val="center"/>
              <w:ind w:left="148"/>
              <w:spacing w:after="0"/>
              <w:rPr>
                <w:sz w:val="20"/>
                <w:szCs w:val="20"/>
                <w:color w:val="auto"/>
              </w:rPr>
            </w:pPr>
            <w:r>
              <w:rPr>
                <w:rFonts w:ascii="Arial" w:cs="Arial" w:eastAsia="Arial" w:hAnsi="Arial"/>
                <w:sz w:val="14"/>
                <w:szCs w:val="14"/>
                <w:color w:val="auto"/>
                <w:w w:val="87"/>
              </w:rPr>
              <w:t>8    </w:t>
            </w:r>
          </w:p>
        </w:tc>
        <w:tc>
          <w:tcPr>
            <w:tcW w:w="1440" w:type="dxa"/>
            <w:vAlign w:val="bottom"/>
          </w:tcPr>
          <w:p>
            <w:pPr>
              <w:ind w:left="600"/>
              <w:spacing w:after="0"/>
              <w:rPr>
                <w:sz w:val="20"/>
                <w:szCs w:val="20"/>
                <w:color w:val="auto"/>
              </w:rPr>
            </w:pPr>
            <w:r>
              <w:rPr>
                <w:rFonts w:ascii="Arial" w:cs="Arial" w:eastAsia="Arial" w:hAnsi="Arial"/>
                <w:sz w:val="14"/>
                <w:szCs w:val="14"/>
                <w:color w:val="auto"/>
              </w:rPr>
              <w:t>3    </w:t>
            </w:r>
          </w:p>
        </w:tc>
        <w:tc>
          <w:tcPr>
            <w:tcW w:w="1240" w:type="dxa"/>
            <w:vAlign w:val="bottom"/>
          </w:tcPr>
          <w:p>
            <w:pPr>
              <w:jc w:val="center"/>
              <w:spacing w:after="0"/>
              <w:rPr>
                <w:sz w:val="20"/>
                <w:szCs w:val="20"/>
                <w:color w:val="auto"/>
              </w:rPr>
            </w:pPr>
            <w:r>
              <w:rPr>
                <w:rFonts w:ascii="Arial" w:cs="Arial" w:eastAsia="Arial" w:hAnsi="Arial"/>
                <w:sz w:val="14"/>
                <w:szCs w:val="14"/>
                <w:color w:val="auto"/>
                <w:w w:val="87"/>
              </w:rPr>
              <w:t>3    </w:t>
            </w:r>
          </w:p>
        </w:tc>
      </w:tr>
      <w:tr>
        <w:trPr>
          <w:trHeight w:val="35"/>
        </w:trPr>
        <w:tc>
          <w:tcPr>
            <w:tcW w:w="40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right="7640" w:firstLine="6"/>
        <w:spacing w:after="0" w:line="363" w:lineRule="auto"/>
        <w:tabs>
          <w:tab w:leader="none" w:pos="243"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Chairperson of the Board ** Committee Chairperson</w:t>
      </w:r>
    </w:p>
    <w:p>
      <w:pPr>
        <w:spacing w:after="0" w:line="1" w:lineRule="exact"/>
        <w:rPr>
          <w:sz w:val="20"/>
          <w:szCs w:val="20"/>
          <w:color w:val="auto"/>
        </w:rPr>
      </w:pPr>
    </w:p>
    <w:p>
      <w:pPr>
        <w:ind w:left="240" w:right="20" w:hanging="234"/>
        <w:spacing w:after="0" w:line="252" w:lineRule="auto"/>
        <w:tabs>
          <w:tab w:leader="none" w:pos="24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Ms. Gonzalez served as Chairperson of the Audit Committee until March 6, 2025, and Mr. Ibbott was appointed as Chairperson of the Audit Committee on March 6, 2025</w:t>
      </w:r>
    </w:p>
    <w:p>
      <w:pPr>
        <w:spacing w:after="0" w:line="12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 with the exception of Mr. Francis.</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Audit Committee</w:t>
      </w:r>
    </w:p>
    <w:p>
      <w:pPr>
        <w:spacing w:after="0" w:line="16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Audit Committee consists of Mses. Gonzalez and Freeman and Messrs. Bay and Ibbott. The Board has determined that each of the members of the Audit Committee satisfy the independence requirements of Rule 5605(c)(2)(A)(i) and (ii) of the Nasdaq listing standards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named Mr. Ibbott as the Chairperson of the Audit Committee on March 6, 2025; Ms. Gonzalez served as the Chairperson of the Audit Committee prior to this date. The Board determined that Ms. Gonzalez and Messrs. Ibbott and Bay qualify as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59664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financial experts within the meaning of SEC regulations and meets the financial sophistication requirements of Nasdaq listing rules. In making this determination, the Board considered Mr. Ibbott’s formal education and previous experience in financial roles. Both our independent registered public accounting firm and management periodically will meet privately with our Audit Committee. The Audit Committee met eight times during 2024.</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functions of this committee include, among other things, to:</w:t>
      </w:r>
    </w:p>
    <w:p>
      <w:pPr>
        <w:spacing w:after="0" w:line="73" w:lineRule="exact"/>
        <w:rPr>
          <w:sz w:val="20"/>
          <w:szCs w:val="20"/>
          <w:color w:val="auto"/>
        </w:rPr>
      </w:pPr>
    </w:p>
    <w:p>
      <w:pPr>
        <w:ind w:left="600" w:right="100" w:hanging="288"/>
        <w:spacing w:after="0" w:line="286"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approve the hiring, discharging and compensation of our independent registered public accounting firm; oversee the work of our independent registered public accounting firm;</w:t>
      </w:r>
    </w:p>
    <w:p>
      <w:pPr>
        <w:spacing w:after="0" w:line="20" w:lineRule="exact"/>
        <w:rPr>
          <w:rFonts w:ascii="Arial" w:cs="Arial" w:eastAsia="Arial" w:hAnsi="Arial"/>
          <w:sz w:val="16"/>
          <w:szCs w:val="16"/>
          <w:color w:val="auto"/>
        </w:rPr>
      </w:pPr>
    </w:p>
    <w:p>
      <w:pPr>
        <w:ind w:left="600" w:right="240" w:hanging="288"/>
        <w:spacing w:after="0" w:line="286"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approve engagements of the independent registered public accounting firm to render any audit or permissible non-audit services;</w:t>
      </w:r>
    </w:p>
    <w:p>
      <w:pPr>
        <w:spacing w:after="0" w:line="7" w:lineRule="exact"/>
        <w:rPr>
          <w:rFonts w:ascii="Arial" w:cs="Arial" w:eastAsia="Arial" w:hAnsi="Arial"/>
          <w:sz w:val="16"/>
          <w:szCs w:val="16"/>
          <w:color w:val="auto"/>
        </w:rPr>
      </w:pPr>
    </w:p>
    <w:p>
      <w:pPr>
        <w:ind w:left="600" w:hanging="28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the qualifications, independence and performance of the independent registered public accounting firm;</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our financial statements and review our critical accounting policies and estimates;</w:t>
      </w:r>
    </w:p>
    <w:p>
      <w:pPr>
        <w:spacing w:after="0" w:line="86" w:lineRule="exact"/>
        <w:rPr>
          <w:rFonts w:ascii="Arial" w:cs="Arial" w:eastAsia="Arial" w:hAnsi="Arial"/>
          <w:sz w:val="16"/>
          <w:szCs w:val="16"/>
          <w:color w:val="auto"/>
        </w:rPr>
      </w:pPr>
    </w:p>
    <w:p>
      <w:pPr>
        <w:ind w:left="600" w:hanging="28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and approve related party transactions;</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the adequacy and effectiveness of our internal controls; and</w:t>
      </w:r>
    </w:p>
    <w:p>
      <w:pPr>
        <w:spacing w:after="0" w:line="72" w:lineRule="exact"/>
        <w:rPr>
          <w:rFonts w:ascii="Arial" w:cs="Arial" w:eastAsia="Arial" w:hAnsi="Arial"/>
          <w:sz w:val="16"/>
          <w:szCs w:val="16"/>
          <w:color w:val="auto"/>
        </w:rPr>
      </w:pPr>
    </w:p>
    <w:p>
      <w:pPr>
        <w:ind w:left="600" w:right="60" w:hanging="288"/>
        <w:spacing w:after="0" w:line="266"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Report of the Audit Committee of the Board of Directors</w:t>
      </w:r>
      <w:r>
        <w:rPr>
          <w:rFonts w:ascii="Arial" w:cs="Arial" w:eastAsia="Arial" w:hAnsi="Arial"/>
          <w:sz w:val="35"/>
          <w:szCs w:val="35"/>
          <w:b w:val="1"/>
          <w:bCs w:val="1"/>
          <w:color w:val="40C0C0"/>
          <w:vertAlign w:val="superscript"/>
        </w:rPr>
        <w:t>(1)</w:t>
      </w:r>
    </w:p>
    <w:p>
      <w:pPr>
        <w:spacing w:after="0" w:line="7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Audit Committee has reviewed and discussed the audited financial statements for the fiscal year ended December 31, 2024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Glen Ibbott (Chairperson)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Brenda Freeman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Olga Gonzalez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Anthony Bay</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Compensation Committee</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Compensation Committee consists of Messrs. Aquila, Bay, Ibbott Gordon. We named Mr. Bay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eight times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822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6" w:lineRule="exact"/>
        <w:rPr>
          <w:sz w:val="20"/>
          <w:szCs w:val="20"/>
          <w:color w:val="auto"/>
        </w:rPr>
      </w:pPr>
    </w:p>
    <w:p>
      <w:pPr>
        <w:ind w:left="240" w:right="60" w:hanging="234"/>
        <w:spacing w:after="0" w:line="200" w:lineRule="auto"/>
        <w:tabs>
          <w:tab w:leader="none" w:pos="240" w:val="left"/>
        </w:tabs>
        <w:numPr>
          <w:ilvl w:val="0"/>
          <w:numId w:val="10"/>
        </w:numPr>
        <w:rPr>
          <w:rFonts w:ascii="Arial" w:cs="Arial" w:eastAsia="Arial" w:hAnsi="Arial"/>
          <w:sz w:val="20"/>
          <w:szCs w:val="20"/>
          <w:b w:val="1"/>
          <w:bCs w:val="1"/>
          <w:color w:val="auto"/>
          <w:vertAlign w:val="superscript"/>
        </w:rPr>
      </w:pPr>
      <w:r>
        <w:rPr>
          <w:rFonts w:ascii="Arial" w:cs="Arial" w:eastAsia="Arial" w:hAnsi="Arial"/>
          <w:sz w:val="13"/>
          <w:szCs w:val="13"/>
          <w:b w:val="1"/>
          <w:bCs w:val="1"/>
          <w:color w:val="auto"/>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9664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functions of the Compensation Committee include, among other things, to:</w:t>
      </w:r>
    </w:p>
    <w:p>
      <w:pPr>
        <w:spacing w:after="0" w:line="73" w:lineRule="exact"/>
        <w:rPr>
          <w:sz w:val="20"/>
          <w:szCs w:val="20"/>
          <w:color w:val="auto"/>
        </w:rPr>
      </w:pPr>
    </w:p>
    <w:p>
      <w:pPr>
        <w:ind w:left="600" w:hanging="28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 and recommend policies relating to compensation and benefits of our officers and employees;</w:t>
      </w:r>
    </w:p>
    <w:p>
      <w:pPr>
        <w:spacing w:after="0" w:line="72" w:lineRule="exact"/>
        <w:rPr>
          <w:rFonts w:ascii="Arial" w:cs="Arial" w:eastAsia="Arial" w:hAnsi="Arial"/>
          <w:sz w:val="16"/>
          <w:szCs w:val="16"/>
          <w:color w:val="auto"/>
        </w:rPr>
      </w:pPr>
    </w:p>
    <w:p>
      <w:pPr>
        <w:ind w:left="600" w:hanging="288"/>
        <w:spacing w:after="0" w:line="286"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 and approve corporate goals and objectives relevant to compensation of our chief executive officer and other senior officers;</w:t>
      </w:r>
    </w:p>
    <w:p>
      <w:pPr>
        <w:spacing w:after="0" w:line="20" w:lineRule="exact"/>
        <w:rPr>
          <w:rFonts w:ascii="Arial" w:cs="Arial" w:eastAsia="Arial" w:hAnsi="Arial"/>
          <w:sz w:val="16"/>
          <w:szCs w:val="16"/>
          <w:color w:val="auto"/>
        </w:rPr>
      </w:pPr>
    </w:p>
    <w:p>
      <w:pPr>
        <w:ind w:left="600" w:hanging="28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 the performance of our officers in light of established goals and objectives;</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recommend compensation of our officers based on its evaluations; and</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administer the issuance of stock options and other awards under our stock plans.</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Compensation Committee Processes and Procedures</w:t>
      </w:r>
    </w:p>
    <w:p>
      <w:pPr>
        <w:spacing w:after="0" w:line="16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 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13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During the past fiscal year, after taking into consideration those factors prescribed by the SEC and Nasdaq, the Compensation Committee engaged Compensia Inc. (“Compensia”) as compensation consultants.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2024, Compensia provided the following services:</w:t>
      </w:r>
    </w:p>
    <w:p>
      <w:pPr>
        <w:spacing w:after="0" w:line="73" w:lineRule="exact"/>
        <w:rPr>
          <w:sz w:val="20"/>
          <w:szCs w:val="20"/>
          <w:color w:val="auto"/>
        </w:rPr>
      </w:pPr>
    </w:p>
    <w:p>
      <w:pPr>
        <w:ind w:left="600" w:hanging="28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assisted the Compensation Committee in refreshing our compensation peer group;</w:t>
      </w:r>
    </w:p>
    <w:p>
      <w:pPr>
        <w:spacing w:after="0" w:line="72" w:lineRule="exact"/>
        <w:rPr>
          <w:rFonts w:ascii="Arial" w:cs="Arial" w:eastAsia="Arial" w:hAnsi="Arial"/>
          <w:sz w:val="16"/>
          <w:szCs w:val="16"/>
          <w:color w:val="auto"/>
        </w:rPr>
      </w:pPr>
    </w:p>
    <w:p>
      <w:pPr>
        <w:ind w:left="600" w:right="20" w:hanging="288"/>
        <w:spacing w:after="0" w:line="266"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and</w:t>
      </w:r>
    </w:p>
    <w:p>
      <w:pPr>
        <w:spacing w:after="0" w:line="36" w:lineRule="exact"/>
        <w:rPr>
          <w:rFonts w:ascii="Arial" w:cs="Arial" w:eastAsia="Arial" w:hAnsi="Arial"/>
          <w:sz w:val="16"/>
          <w:szCs w:val="16"/>
          <w:color w:val="auto"/>
        </w:rPr>
      </w:pPr>
    </w:p>
    <w:p>
      <w:pPr>
        <w:ind w:left="600" w:right="260" w:hanging="288"/>
        <w:spacing w:after="0" w:line="286"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provided guidance on other compensation topics including clawback programs, equity design and programs, burn rates and overhang levels, and ad hoc market data and practices.</w:t>
      </w:r>
    </w:p>
    <w:p>
      <w:pPr>
        <w:spacing w:after="0" w:line="7" w:lineRule="exact"/>
        <w:rPr>
          <w:rFonts w:ascii="Arial" w:cs="Arial" w:eastAsia="Arial" w:hAnsi="Arial"/>
          <w:sz w:val="16"/>
          <w:szCs w:val="16"/>
          <w:color w:val="auto"/>
        </w:rPr>
      </w:pPr>
    </w:p>
    <w:p>
      <w:pPr>
        <w:ind w:left="600" w:hanging="28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provided ad hoc advice and support throughout the year</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59664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129"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2024.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Nominating and Corporate Governance Committee</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Nominating and Corporate Governance Committee consists of Ms. Freeman and Mr. Gordon. Ms. Freeman serves as the Chairperson of the Nominating and Corporate Governance Committee. The Board has determined that each of the members of the Nominating and Corporate Governance Committee satisfies the independence requirements of Nasdaq. The Nominating and Corporate Governance Committee met three times during 2024.</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functions of the Nominating and Corporate Governance Committee include, among other things, to:</w:t>
      </w:r>
    </w:p>
    <w:p>
      <w:pPr>
        <w:spacing w:after="0" w:line="73" w:lineRule="exact"/>
        <w:rPr>
          <w:sz w:val="20"/>
          <w:szCs w:val="20"/>
          <w:color w:val="auto"/>
        </w:rPr>
      </w:pPr>
    </w:p>
    <w:p>
      <w:pPr>
        <w:ind w:left="600" w:hanging="288"/>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 and make recommendations regarding the organization and governance of the Board and its committees;</w:t>
      </w:r>
    </w:p>
    <w:p>
      <w:pPr>
        <w:spacing w:after="0" w:line="72" w:lineRule="exact"/>
        <w:rPr>
          <w:rFonts w:ascii="Arial" w:cs="Arial" w:eastAsia="Arial" w:hAnsi="Arial"/>
          <w:sz w:val="16"/>
          <w:szCs w:val="16"/>
          <w:color w:val="auto"/>
        </w:rPr>
      </w:pPr>
    </w:p>
    <w:p>
      <w:pPr>
        <w:ind w:left="600" w:right="440" w:hanging="288"/>
        <w:spacing w:after="0" w:line="286"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assess the performance of members of the Board and make recommendations regarding committee and chairperson assignments;</w:t>
      </w:r>
    </w:p>
    <w:p>
      <w:pPr>
        <w:spacing w:after="0" w:line="20" w:lineRule="exact"/>
        <w:rPr>
          <w:rFonts w:ascii="Arial" w:cs="Arial" w:eastAsia="Arial" w:hAnsi="Arial"/>
          <w:sz w:val="16"/>
          <w:szCs w:val="16"/>
          <w:color w:val="auto"/>
        </w:rPr>
      </w:pPr>
    </w:p>
    <w:p>
      <w:pPr>
        <w:ind w:left="600" w:hanging="288"/>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recommend desired qualifications for Board membership and conduct searches for potential members of the Board; and</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and make recommendations with regard to our corporate governance guidelines.</w:t>
      </w:r>
    </w:p>
    <w:p>
      <w:pPr>
        <w:spacing w:after="0" w:line="16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age, skills, diversity (including gender, racial and ethnic diversity), and such other factors as it deems appropriate, given the current needs of the Board and the Company, to maintain a balance of knowledge, experience and capability.</w:t>
      </w:r>
    </w:p>
    <w:p>
      <w:pPr>
        <w:spacing w:after="0" w:line="3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59664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and Corporate Governance Committee also takes into account the results of the Board’s self-evaluation, conducted annually on a group and individual basis and every three years, conducted with an outside advisor.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2024, the Nominating and Corporate Governance Committee paid fees to Vcheck Global LLC, Athena Alliance, Rich Talent Group and True Capital Partners, LLC to assist in the process of identifying or evaluating director candidates.</w:t>
      </w:r>
    </w:p>
    <w:p>
      <w:pPr>
        <w:spacing w:after="0" w:line="32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Technology Committee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Technology Committee consists of Messrs. Bay and Francis. Mr. Bay serves as the Chairperson of the Technology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Technology Committee met three times during 2024.</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The functions of the Technology Committee include, among other things, to:</w:t>
      </w:r>
    </w:p>
    <w:p>
      <w:pPr>
        <w:spacing w:after="0" w:line="73" w:lineRule="exact"/>
        <w:rPr>
          <w:sz w:val="20"/>
          <w:szCs w:val="20"/>
          <w:color w:val="auto"/>
        </w:rPr>
      </w:pPr>
    </w:p>
    <w:p>
      <w:pPr>
        <w:ind w:left="600" w:right="380" w:hanging="288"/>
        <w:spacing w:after="0" w:line="286"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 and make recommendations regarding our major technology developments, technology related systems and architecture;</w:t>
      </w:r>
    </w:p>
    <w:p>
      <w:pPr>
        <w:spacing w:after="0" w:line="7" w:lineRule="exact"/>
        <w:rPr>
          <w:rFonts w:ascii="Arial" w:cs="Arial" w:eastAsia="Arial" w:hAnsi="Arial"/>
          <w:sz w:val="16"/>
          <w:szCs w:val="16"/>
          <w:color w:val="auto"/>
        </w:rPr>
      </w:pPr>
    </w:p>
    <w:p>
      <w:pPr>
        <w:ind w:left="600" w:right="180" w:hanging="288"/>
        <w:spacing w:after="0" w:line="286"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oversee the formulation, definition, tracking, retention and reporting of our key metrics, performance indicators and other operational data, and help ensure effective internal and disclosure controls related to such data;</w:t>
      </w:r>
    </w:p>
    <w:p>
      <w:pPr>
        <w:spacing w:after="0" w:line="20" w:lineRule="exact"/>
        <w:rPr>
          <w:rFonts w:ascii="Arial" w:cs="Arial" w:eastAsia="Arial" w:hAnsi="Arial"/>
          <w:sz w:val="16"/>
          <w:szCs w:val="16"/>
          <w:color w:val="auto"/>
        </w:rPr>
      </w:pPr>
    </w:p>
    <w:p>
      <w:pPr>
        <w:ind w:left="600" w:right="20" w:hanging="288"/>
        <w:spacing w:after="0" w:line="286"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provide guidance regarding significant emerging technology issues and trends that may affect our business and strategies; and.</w:t>
      </w:r>
    </w:p>
    <w:p>
      <w:pPr>
        <w:spacing w:after="0" w:line="7" w:lineRule="exact"/>
        <w:rPr>
          <w:rFonts w:ascii="Arial" w:cs="Arial" w:eastAsia="Arial" w:hAnsi="Arial"/>
          <w:sz w:val="16"/>
          <w:szCs w:val="16"/>
          <w:color w:val="auto"/>
        </w:rPr>
      </w:pPr>
    </w:p>
    <w:p>
      <w:pPr>
        <w:ind w:left="600" w:right="500" w:hanging="288"/>
        <w:spacing w:after="0" w:line="286"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and provide guidance regarding our technology risk management, including our policies and procedures with respect to technology and its uses including cybersecurity, reporting and data system management.</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Stockholder Communications with the Board of Directors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59664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Code of Conduct</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Corporate Governance Guidelines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Insider Trading Policy</w:t>
      </w:r>
    </w:p>
    <w:p>
      <w:pPr>
        <w:spacing w:after="0" w:line="16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have adopted an Insider Trading Policy governing the purchase, sale, and/or other dispositions of the Company’s securities by employees, directors, other applicable members of management and designated consultants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In addition, it is the Company’s intent to comply with applicable laws and regulations relating to insider trading.</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Hedging and Pledging Policy</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59664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Proposal No. 2</w:t>
      </w:r>
    </w:p>
    <w:p>
      <w:pPr>
        <w:spacing w:after="0" w:line="53" w:lineRule="exact"/>
        <w:rPr>
          <w:sz w:val="20"/>
          <w:szCs w:val="20"/>
          <w:color w:val="auto"/>
        </w:rPr>
      </w:pPr>
    </w:p>
    <w:p>
      <w:pPr>
        <w:spacing w:after="0" w:line="248" w:lineRule="auto"/>
        <w:rPr>
          <w:sz w:val="20"/>
          <w:szCs w:val="20"/>
          <w:color w:val="auto"/>
        </w:rPr>
      </w:pPr>
      <w:r>
        <w:rPr>
          <w:rFonts w:ascii="Arial" w:cs="Arial" w:eastAsia="Arial" w:hAnsi="Arial"/>
          <w:sz w:val="57"/>
          <w:szCs w:val="57"/>
          <w:color w:val="auto"/>
        </w:rPr>
        <w:t>Advisory Vote, on a Non-Binding Basis, to Approve the Compensation of Our Named Executive Officers for the Year Ended 2024</w:t>
      </w:r>
    </w:p>
    <w:p>
      <w:pPr>
        <w:spacing w:after="0" w:line="120" w:lineRule="exact"/>
        <w:rPr>
          <w:sz w:val="20"/>
          <w:szCs w:val="20"/>
          <w:color w:val="auto"/>
        </w:rPr>
      </w:pPr>
    </w:p>
    <w:p>
      <w:pPr>
        <w:ind w:right="40"/>
        <w:spacing w:after="0" w:line="326" w:lineRule="auto"/>
        <w:rPr>
          <w:sz w:val="20"/>
          <w:szCs w:val="20"/>
          <w:color w:val="auto"/>
        </w:rPr>
      </w:pPr>
      <w:r>
        <w:rPr>
          <w:rFonts w:ascii="Arial" w:cs="Arial" w:eastAsia="Arial" w:hAnsi="Arial"/>
          <w:sz w:val="16"/>
          <w:szCs w:val="16"/>
          <w:color w:val="auto"/>
        </w:rPr>
        <w:t>Pursuant to Section 14A of the Exchange Act, at the 2022 Annual Meeting of Stockholders, our stockholders indicated their preference that the Company solicit a non-binding advisory vote on the compensation of the Named Executive Officers, commonly referred to as a “say-on-pay vote,” every year. The Board has adopted a policy that is consistent with that preference. In accordance with that policy, this year, the Company is again asking our stockholders to approve, on an advisory basis, the compensation of the Company’s Named Executive Officers as disclosed in this proxy statement in accordance with SEC rules.</w:t>
      </w:r>
    </w:p>
    <w:p>
      <w:pPr>
        <w:spacing w:after="0" w:line="87" w:lineRule="exact"/>
        <w:rPr>
          <w:sz w:val="20"/>
          <w:szCs w:val="20"/>
          <w:color w:val="auto"/>
        </w:rPr>
      </w:pPr>
    </w:p>
    <w:p>
      <w:pPr>
        <w:ind w:right="120"/>
        <w:spacing w:after="0" w:line="322"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Executive Compensation section, the compensation tables, and the related narrative disclosure contained in this Proxy Statement. As discussed in those disclosures, the Company believes that its compensation policies and decisions are reasonable, competitive, and appropriately balance the goals of attracting, motivating, rewarding, and retaining its Named Executive Officers with the goal of aligning their interests with those of the stockholders. Compensation of the Company’s Named Executive Officers is designed to enable the Company to attract and retain talented and experienced executives to lead the Company successfully in a competitive environment.</w:t>
      </w:r>
    </w:p>
    <w:p>
      <w:pPr>
        <w:spacing w:after="0" w:line="104" w:lineRule="exact"/>
        <w:rPr>
          <w:sz w:val="20"/>
          <w:szCs w:val="20"/>
          <w:color w:val="auto"/>
        </w:rPr>
      </w:pPr>
    </w:p>
    <w:p>
      <w:pPr>
        <w:ind w:right="400"/>
        <w:spacing w:after="0" w:line="336" w:lineRule="auto"/>
        <w:rPr>
          <w:sz w:val="20"/>
          <w:szCs w:val="20"/>
          <w:color w:val="auto"/>
        </w:rPr>
      </w:pPr>
      <w:r>
        <w:rPr>
          <w:rFonts w:ascii="Arial" w:cs="Arial" w:eastAsia="Arial" w:hAnsi="Arial"/>
          <w:sz w:val="16"/>
          <w:szCs w:val="16"/>
          <w:color w:val="auto"/>
        </w:rPr>
        <w:t>Accordingly, the Board is asking the Company’s stockholders to indicate their support for the compensation of the Company’s Named Executive Officers as described in this Proxy Statement by casting a non-binding advisory vote “FOR” the following resolution:</w:t>
      </w:r>
    </w:p>
    <w:p>
      <w:pPr>
        <w:spacing w:after="0" w:line="78" w:lineRule="exact"/>
        <w:rPr>
          <w:sz w:val="20"/>
          <w:szCs w:val="20"/>
          <w:color w:val="auto"/>
        </w:rPr>
      </w:pPr>
    </w:p>
    <w:p>
      <w:pPr>
        <w:ind w:left="360" w:right="120"/>
        <w:spacing w:after="0" w:line="356"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compensation tables and narrative discussion is hereby APPROVED.”</w:t>
      </w:r>
    </w:p>
    <w:p>
      <w:pPr>
        <w:spacing w:after="0" w:line="62" w:lineRule="exact"/>
        <w:rPr>
          <w:sz w:val="20"/>
          <w:szCs w:val="20"/>
          <w:color w:val="auto"/>
        </w:rPr>
      </w:pPr>
    </w:p>
    <w:p>
      <w:pPr>
        <w:spacing w:after="0" w:line="330" w:lineRule="auto"/>
        <w:rPr>
          <w:sz w:val="20"/>
          <w:szCs w:val="20"/>
          <w:color w:val="auto"/>
        </w:rPr>
      </w:pPr>
      <w:r>
        <w:rPr>
          <w:rFonts w:ascii="Arial" w:cs="Arial" w:eastAsia="Arial" w:hAnsi="Arial"/>
          <w:sz w:val="16"/>
          <w:szCs w:val="16"/>
          <w:color w:val="auto"/>
        </w:rPr>
        <w:t>Because the vote is advisory, it is not binding on the Board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95" w:lineRule="exact"/>
        <w:rPr>
          <w:sz w:val="20"/>
          <w:szCs w:val="20"/>
          <w:color w:val="auto"/>
        </w:rPr>
      </w:pPr>
    </w:p>
    <w:p>
      <w:pPr>
        <w:ind w:right="180"/>
        <w:spacing w:after="0" w:line="330" w:lineRule="auto"/>
        <w:rPr>
          <w:sz w:val="20"/>
          <w:szCs w:val="20"/>
          <w:color w:val="auto"/>
        </w:rPr>
      </w:pPr>
      <w:r>
        <w:rPr>
          <w:rFonts w:ascii="Arial" w:cs="Arial" w:eastAsia="Arial" w:hAnsi="Arial"/>
          <w:sz w:val="16"/>
          <w:szCs w:val="16"/>
          <w:color w:val="auto"/>
        </w:rPr>
        <w:t>Advisory approval of this proposal requires the vote of the holders of a majority in voting power of the shares of Common Stock present or represented by proxy and entitled to vote on the matter at the Annual Meeting. Unless the Board decides to modify its policy regarding the frequency of soliciting advisory votes on the compensation of the Company’s Named Executive Officers, the next scheduled say-on-pay vote will be at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189230</wp:posOffset>
            </wp:positionV>
            <wp:extent cx="41148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1480" cy="6858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40C0C0"/>
        </w:rPr>
        <w:t>VOTE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Recommends a Vote “For”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59664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Proposal No. 3</w:t>
      </w:r>
    </w:p>
    <w:p>
      <w:pPr>
        <w:spacing w:after="0" w:line="47" w:lineRule="exact"/>
        <w:rPr>
          <w:sz w:val="20"/>
          <w:szCs w:val="20"/>
          <w:color w:val="auto"/>
        </w:rPr>
      </w:pPr>
    </w:p>
    <w:p>
      <w:pPr>
        <w:spacing w:after="0"/>
        <w:rPr>
          <w:sz w:val="20"/>
          <w:szCs w:val="20"/>
          <w:color w:val="auto"/>
        </w:rPr>
      </w:pPr>
      <w:r>
        <w:rPr>
          <w:rFonts w:ascii="Arial" w:cs="Arial" w:eastAsia="Arial" w:hAnsi="Arial"/>
          <w:sz w:val="58"/>
          <w:szCs w:val="58"/>
          <w:color w:val="auto"/>
        </w:rPr>
        <w:t>Ratification of Selection of</w:t>
      </w:r>
    </w:p>
    <w:p>
      <w:pPr>
        <w:spacing w:after="0" w:line="238" w:lineRule="auto"/>
        <w:rPr>
          <w:sz w:val="20"/>
          <w:szCs w:val="20"/>
          <w:color w:val="auto"/>
        </w:rPr>
      </w:pPr>
      <w:r>
        <w:rPr>
          <w:rFonts w:ascii="Arial" w:cs="Arial" w:eastAsia="Arial" w:hAnsi="Arial"/>
          <w:sz w:val="58"/>
          <w:szCs w:val="58"/>
          <w:color w:val="auto"/>
        </w:rPr>
        <w:t>Independent Registered Public</w:t>
      </w:r>
    </w:p>
    <w:p>
      <w:pPr>
        <w:spacing w:after="0"/>
        <w:rPr>
          <w:sz w:val="20"/>
          <w:szCs w:val="20"/>
          <w:color w:val="auto"/>
        </w:rPr>
      </w:pPr>
      <w:r>
        <w:rPr>
          <w:rFonts w:ascii="Arial" w:cs="Arial" w:eastAsia="Arial" w:hAnsi="Arial"/>
          <w:sz w:val="58"/>
          <w:szCs w:val="58"/>
          <w:color w:val="auto"/>
        </w:rPr>
        <w:t>Accounting Firm</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Audit Committee has selected Moss Adams as our independent registered public accounting firm for the year ending December 31, 2025 and has further directed that management submit the selection of its independent registered public accounting firm for ratification by the stockholders at the annual meeting. Moss Adams has audited our financial statements since the year ended December 31, 2023. Representatives of Moss Adams are expected to be present at the Annual Meeting. They will have an opportunity to make a statement if they so desire and will be available to respond to appropriate questions.</w:t>
      </w:r>
    </w:p>
    <w:p>
      <w:pPr>
        <w:spacing w:after="0" w:line="126"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Neither our Bylaws nor other governing documents or law require stockholder ratification of the selection of Moss Adams as our independent registered public accounting firm. However, the Audit Committee is submitting the selection of Moss Adams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for us and our stockholders.</w:t>
      </w:r>
    </w:p>
    <w:p>
      <w:pPr>
        <w:spacing w:after="0" w:line="12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affirmative vote of the holders of a majority in voting power of the shares present by remote communication or represented by proxy and entitled to vote on the matter at the annual meeting will be required to ratify the selection of Moss Adams.</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Change in Independent Registered Accounting Firm</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August 2, 2023, the Audit Committee approved the engagement of Moss Adams as our independent registered public accounting firm to audit our consolidated financial statements for the year ending December 31, 2023, in place of Baker Tilly US, LLP (“Baker Tilly”). As previously disclosed, on June 8, 2023, we were notified by Baker Tilly of its decision to resign as our independent registered public accounting firm due to staffing constraints within Baker Tilly, effective immediately following the filing of our Quarterly Report on Form 10-Q for the quarter ended June 30, 2023. The audit reports of Baker Tilly relating to the Company’s financial statements as of and for the year ended December 31, 2022 did not contain any adverse opinion or disclaimer of opinion and were not qualified or modified as to uncertainty, audit scope, or accounting principles.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2022 and the subsequent interim period through June 14, 2023, there were no</w:t>
      </w:r>
    </w:p>
    <w:p>
      <w:pPr>
        <w:spacing w:after="0" w:line="21" w:lineRule="exact"/>
        <w:rPr>
          <w:sz w:val="20"/>
          <w:szCs w:val="20"/>
          <w:color w:val="auto"/>
        </w:rPr>
      </w:pPr>
    </w:p>
    <w:p>
      <w:pPr>
        <w:ind w:right="20" w:firstLine="6"/>
        <w:spacing w:after="0" w:line="248" w:lineRule="auto"/>
        <w:tabs>
          <w:tab w:leader="none" w:pos="1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disagreements, within the meaning of Item 304(a)(1)(iv) of Regulation S-K promulgated under the Securities Exchange Act of 1934, as amended (“Regulation S-K”), and the related instructions thereto, with Baker Tilly on any matter of accounting principles or practices, financial statement disclosure, or auditing scope or procedure, which disagreements, if not resolved to the satisfaction of Baker Tilly, would have caused Baker Tilly to make reference to the subject matter of the disagreements in connection with its reports; or (ii) reportable events within the meaning of Item 304(a)(1)(v) of Regulation S-K and the related instructions thereto, except that as disclosed in the Company’s Annual Report on Form 10-K for the year ended December 31, 2022, the Company reported that its internal control over financial reporting was not effective as of December 31, 2022 due to a material weakness in its internal controls resulting from ineffective information technology general controls in the areas of user access and program change-management over certain information technology systems that support its financial reporting processes.</w:t>
      </w:r>
    </w:p>
    <w:p>
      <w:pPr>
        <w:spacing w:after="0" w:line="136"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Baker Tilly did not seek the Company’s consent to its decision to resign as the Company’s independent registered public accounting firm. As a result, the Board or Audit Committee did not recommend or approve such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59664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We previously provided Baker Tilly with a copy of the foregoing disclosures and received from Baker Tilly a letter addressed to the SEC stating that it agreed with the statements made by the Company as set forth in Item 4.01 of the Current Report on Form 8-K dated June 14, 2023. The letter from Baker Tilly was filed as Exhibit 16.1 to our Current Report on Form 8-K filed with the SEC on June 14, 2023.</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Principal Accountant Fees and Services</w:t>
      </w:r>
    </w:p>
    <w:p>
      <w:pPr>
        <w:spacing w:after="0" w:line="16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 represents aggregate fees billed to the Company for the years ended December 31, 2024 and 2023, by Moss Adams, the Company’s principal accountant, and Baker Tilly, the Company’s previous principal accountant.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6020" w:type="dxa"/>
            <w:vAlign w:val="bottom"/>
            <w:shd w:val="clear" w:color="auto" w:fill="000000"/>
          </w:tcPr>
          <w:p>
            <w:pPr>
              <w:spacing w:after="0"/>
              <w:rPr>
                <w:sz w:val="24"/>
                <w:szCs w:val="24"/>
                <w:color w:val="auto"/>
              </w:rPr>
            </w:pPr>
          </w:p>
        </w:tc>
        <w:tc>
          <w:tcPr>
            <w:tcW w:w="3380" w:type="dxa"/>
            <w:vAlign w:val="bottom"/>
            <w:gridSpan w:val="2"/>
            <w:shd w:val="clear" w:color="auto" w:fill="000000"/>
          </w:tcPr>
          <w:p>
            <w:pPr>
              <w:jc w:val="right"/>
              <w:ind w:right="448"/>
              <w:spacing w:after="0"/>
              <w:rPr>
                <w:sz w:val="20"/>
                <w:szCs w:val="20"/>
                <w:color w:val="auto"/>
              </w:rPr>
            </w:pPr>
            <w:r>
              <w:rPr>
                <w:rFonts w:ascii="Arial" w:cs="Arial" w:eastAsia="Arial" w:hAnsi="Arial"/>
                <w:sz w:val="14"/>
                <w:szCs w:val="14"/>
                <w:b w:val="1"/>
                <w:bCs w:val="1"/>
                <w:color w:val="FFFFFF"/>
              </w:rPr>
              <w:t>Year Ended December 31</w:t>
            </w:r>
          </w:p>
        </w:tc>
      </w:tr>
      <w:tr>
        <w:trPr>
          <w:trHeight w:val="36"/>
        </w:trPr>
        <w:tc>
          <w:tcPr>
            <w:tcW w:w="6020" w:type="dxa"/>
            <w:vAlign w:val="bottom"/>
            <w:shd w:val="clear" w:color="auto" w:fill="000000"/>
          </w:tcPr>
          <w:p>
            <w:pPr>
              <w:spacing w:after="0"/>
              <w:rPr>
                <w:sz w:val="3"/>
                <w:szCs w:val="3"/>
                <w:color w:val="auto"/>
              </w:rPr>
            </w:pPr>
          </w:p>
        </w:tc>
        <w:tc>
          <w:tcPr>
            <w:tcW w:w="1860" w:type="dxa"/>
            <w:vAlign w:val="bottom"/>
            <w:shd w:val="clear" w:color="auto" w:fill="000000"/>
          </w:tcPr>
          <w:p>
            <w:pPr>
              <w:spacing w:after="0"/>
              <w:rPr>
                <w:sz w:val="3"/>
                <w:szCs w:val="3"/>
                <w:color w:val="auto"/>
              </w:rPr>
            </w:pPr>
          </w:p>
        </w:tc>
        <w:tc>
          <w:tcPr>
            <w:tcW w:w="1520" w:type="dxa"/>
            <w:vAlign w:val="bottom"/>
            <w:shd w:val="clear" w:color="auto" w:fill="000000"/>
          </w:tcPr>
          <w:p>
            <w:pPr>
              <w:spacing w:after="0"/>
              <w:rPr>
                <w:sz w:val="3"/>
                <w:szCs w:val="3"/>
                <w:color w:val="auto"/>
              </w:rPr>
            </w:pPr>
          </w:p>
        </w:tc>
      </w:tr>
      <w:tr>
        <w:trPr>
          <w:trHeight w:val="257"/>
        </w:trPr>
        <w:tc>
          <w:tcPr>
            <w:tcW w:w="6020" w:type="dxa"/>
            <w:vAlign w:val="bottom"/>
            <w:tcBorders>
              <w:bottom w:val="single" w:sz="8" w:color="auto"/>
            </w:tcBorders>
            <w:shd w:val="clear" w:color="auto" w:fill="000000"/>
          </w:tcPr>
          <w:p>
            <w:pPr>
              <w:spacing w:after="0"/>
              <w:rPr>
                <w:sz w:val="22"/>
                <w:szCs w:val="22"/>
                <w:color w:val="auto"/>
              </w:rPr>
            </w:pPr>
          </w:p>
        </w:tc>
        <w:tc>
          <w:tcPr>
            <w:tcW w:w="1860" w:type="dxa"/>
            <w:vAlign w:val="bottom"/>
            <w:tcBorders>
              <w:bottom w:val="single" w:sz="8" w:color="auto"/>
            </w:tcBorders>
            <w:shd w:val="clear" w:color="auto" w:fill="000000"/>
          </w:tcPr>
          <w:p>
            <w:pPr>
              <w:jc w:val="right"/>
              <w:ind w:right="548"/>
              <w:spacing w:after="0"/>
              <w:rPr>
                <w:sz w:val="20"/>
                <w:szCs w:val="20"/>
                <w:color w:val="auto"/>
              </w:rPr>
            </w:pPr>
            <w:r>
              <w:rPr>
                <w:rFonts w:ascii="Arial" w:cs="Arial" w:eastAsia="Arial" w:hAnsi="Arial"/>
                <w:sz w:val="14"/>
                <w:szCs w:val="14"/>
                <w:b w:val="1"/>
                <w:bCs w:val="1"/>
                <w:color w:val="FFFFFF"/>
              </w:rPr>
              <w:t>2024</w:t>
            </w:r>
          </w:p>
        </w:tc>
        <w:tc>
          <w:tcPr>
            <w:tcW w:w="1520" w:type="dxa"/>
            <w:vAlign w:val="bottom"/>
            <w:tcBorders>
              <w:bottom w:val="single" w:sz="8" w:color="auto"/>
            </w:tcBorders>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2023</w:t>
            </w:r>
          </w:p>
        </w:tc>
      </w:tr>
      <w:tr>
        <w:trPr>
          <w:trHeight w:val="297"/>
        </w:trPr>
        <w:tc>
          <w:tcPr>
            <w:tcW w:w="6020" w:type="dxa"/>
            <w:vAlign w:val="bottom"/>
            <w:tcBorders>
              <w:bottom w:val="single" w:sz="8" w:color="999999"/>
            </w:tcBorders>
          </w:tcPr>
          <w:p>
            <w:pPr>
              <w:ind w:left="160"/>
              <w:spacing w:after="0"/>
              <w:rPr>
                <w:sz w:val="20"/>
                <w:szCs w:val="20"/>
                <w:color w:val="auto"/>
              </w:rPr>
            </w:pPr>
            <w:r>
              <w:rPr>
                <w:rFonts w:ascii="Arial" w:cs="Arial" w:eastAsia="Arial" w:hAnsi="Arial"/>
                <w:sz w:val="14"/>
                <w:szCs w:val="14"/>
                <w:b w:val="1"/>
                <w:bCs w:val="1"/>
                <w:color w:val="40C0C0"/>
              </w:rPr>
              <w:t>Audit Fees</w:t>
            </w:r>
            <w:r>
              <w:rPr>
                <w:rFonts w:ascii="Arial" w:cs="Arial" w:eastAsia="Arial" w:hAnsi="Arial"/>
                <w:sz w:val="23"/>
                <w:szCs w:val="23"/>
                <w:b w:val="1"/>
                <w:bCs w:val="1"/>
                <w:color w:val="40C0C0"/>
                <w:vertAlign w:val="superscript"/>
              </w:rPr>
              <w:t>(1)</w:t>
            </w:r>
          </w:p>
        </w:tc>
        <w:tc>
          <w:tcPr>
            <w:tcW w:w="1860" w:type="dxa"/>
            <w:vAlign w:val="bottom"/>
            <w:tcBorders>
              <w:bottom w:val="single" w:sz="8" w:color="999999"/>
            </w:tcBorders>
          </w:tcPr>
          <w:p>
            <w:pPr>
              <w:jc w:val="right"/>
              <w:ind w:right="608"/>
              <w:spacing w:after="0"/>
              <w:rPr>
                <w:sz w:val="20"/>
                <w:szCs w:val="20"/>
                <w:color w:val="auto"/>
              </w:rPr>
            </w:pPr>
            <w:r>
              <w:rPr>
                <w:rFonts w:ascii="Arial" w:cs="Arial" w:eastAsia="Arial" w:hAnsi="Arial"/>
                <w:sz w:val="14"/>
                <w:szCs w:val="14"/>
                <w:color w:val="auto"/>
              </w:rPr>
              <w:t>$1,813,868</w:t>
            </w:r>
          </w:p>
        </w:tc>
        <w:tc>
          <w:tcPr>
            <w:tcW w:w="152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$2,106,100</w:t>
            </w:r>
          </w:p>
        </w:tc>
      </w:tr>
      <w:tr>
        <w:trPr>
          <w:trHeight w:val="290"/>
        </w:trPr>
        <w:tc>
          <w:tcPr>
            <w:tcW w:w="6020" w:type="dxa"/>
            <w:vAlign w:val="bottom"/>
            <w:tcBorders>
              <w:bottom w:val="single" w:sz="8" w:color="999999"/>
            </w:tcBorders>
          </w:tcPr>
          <w:p>
            <w:pPr>
              <w:ind w:left="160"/>
              <w:spacing w:after="0"/>
              <w:rPr>
                <w:sz w:val="20"/>
                <w:szCs w:val="20"/>
                <w:color w:val="auto"/>
              </w:rPr>
            </w:pPr>
            <w:r>
              <w:rPr>
                <w:rFonts w:ascii="Arial" w:cs="Arial" w:eastAsia="Arial" w:hAnsi="Arial"/>
                <w:sz w:val="14"/>
                <w:szCs w:val="14"/>
                <w:b w:val="1"/>
                <w:bCs w:val="1"/>
                <w:color w:val="40C0C0"/>
              </w:rPr>
              <w:t>Audit-Related Fees</w:t>
            </w:r>
            <w:r>
              <w:rPr>
                <w:rFonts w:ascii="Arial" w:cs="Arial" w:eastAsia="Arial" w:hAnsi="Arial"/>
                <w:sz w:val="23"/>
                <w:szCs w:val="23"/>
                <w:b w:val="1"/>
                <w:bCs w:val="1"/>
                <w:color w:val="40C0C0"/>
                <w:vertAlign w:val="superscript"/>
              </w:rPr>
              <w:t>(2)</w:t>
            </w:r>
          </w:p>
        </w:tc>
        <w:tc>
          <w:tcPr>
            <w:tcW w:w="1860" w:type="dxa"/>
            <w:vAlign w:val="bottom"/>
            <w:tcBorders>
              <w:bottom w:val="single" w:sz="8" w:color="999999"/>
            </w:tcBorders>
          </w:tcPr>
          <w:p>
            <w:pPr>
              <w:jc w:val="right"/>
              <w:ind w:right="608"/>
              <w:spacing w:after="0"/>
              <w:rPr>
                <w:sz w:val="20"/>
                <w:szCs w:val="20"/>
                <w:color w:val="auto"/>
              </w:rPr>
            </w:pPr>
            <w:r>
              <w:rPr>
                <w:rFonts w:ascii="Arial" w:cs="Arial" w:eastAsia="Arial" w:hAnsi="Arial"/>
                <w:sz w:val="14"/>
                <w:szCs w:val="14"/>
                <w:color w:val="auto"/>
              </w:rPr>
              <w:t>$75,000</w:t>
            </w:r>
          </w:p>
        </w:tc>
        <w:tc>
          <w:tcPr>
            <w:tcW w:w="1520" w:type="dxa"/>
            <w:vAlign w:val="bottom"/>
            <w:tcBorders>
              <w:bottom w:val="single" w:sz="8" w:color="999999"/>
            </w:tcBorders>
          </w:tcPr>
          <w:p>
            <w:pPr>
              <w:jc w:val="right"/>
              <w:ind w:right="128"/>
              <w:spacing w:after="0"/>
              <w:rPr>
                <w:sz w:val="20"/>
                <w:szCs w:val="20"/>
                <w:color w:val="auto"/>
              </w:rPr>
            </w:pPr>
            <w:r>
              <w:rPr>
                <w:rFonts w:ascii="Arial" w:cs="Arial" w:eastAsia="Arial" w:hAnsi="Arial"/>
                <w:sz w:val="14"/>
                <w:szCs w:val="14"/>
                <w:color w:val="auto"/>
              </w:rPr>
              <w:t>$18,150</w:t>
            </w:r>
          </w:p>
        </w:tc>
      </w:tr>
      <w:tr>
        <w:trPr>
          <w:trHeight w:val="234"/>
        </w:trPr>
        <w:tc>
          <w:tcPr>
            <w:tcW w:w="6020" w:type="dxa"/>
            <w:vAlign w:val="bottom"/>
          </w:tcPr>
          <w:p>
            <w:pPr>
              <w:ind w:left="160"/>
              <w:spacing w:after="0"/>
              <w:rPr>
                <w:sz w:val="20"/>
                <w:szCs w:val="20"/>
                <w:color w:val="auto"/>
              </w:rPr>
            </w:pPr>
            <w:r>
              <w:rPr>
                <w:rFonts w:ascii="Arial" w:cs="Arial" w:eastAsia="Arial" w:hAnsi="Arial"/>
                <w:sz w:val="14"/>
                <w:szCs w:val="14"/>
                <w:b w:val="1"/>
                <w:bCs w:val="1"/>
                <w:color w:val="40C0C0"/>
              </w:rPr>
              <w:t>Tax Fees</w:t>
            </w:r>
          </w:p>
        </w:tc>
        <w:tc>
          <w:tcPr>
            <w:tcW w:w="18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9"/>
        </w:trPr>
        <w:tc>
          <w:tcPr>
            <w:tcW w:w="6020" w:type="dxa"/>
            <w:vAlign w:val="bottom"/>
            <w:tcBorders>
              <w:bottom w:val="single" w:sz="8" w:color="999999"/>
            </w:tcBorders>
          </w:tcPr>
          <w:p>
            <w:pPr>
              <w:spacing w:after="0"/>
              <w:rPr>
                <w:sz w:val="2"/>
                <w:szCs w:val="2"/>
                <w:color w:val="auto"/>
              </w:rPr>
            </w:pPr>
          </w:p>
        </w:tc>
        <w:tc>
          <w:tcPr>
            <w:tcW w:w="1860" w:type="dxa"/>
            <w:vAlign w:val="bottom"/>
            <w:tcBorders>
              <w:bottom w:val="single" w:sz="8" w:color="999999"/>
            </w:tcBorders>
          </w:tcPr>
          <w:p>
            <w:pPr>
              <w:spacing w:after="0"/>
              <w:rPr>
                <w:sz w:val="2"/>
                <w:szCs w:val="2"/>
                <w:color w:val="auto"/>
              </w:rPr>
            </w:pPr>
          </w:p>
        </w:tc>
        <w:tc>
          <w:tcPr>
            <w:tcW w:w="1520" w:type="dxa"/>
            <w:vAlign w:val="bottom"/>
            <w:tcBorders>
              <w:bottom w:val="single" w:sz="8" w:color="999999"/>
            </w:tcBorders>
          </w:tcPr>
          <w:p>
            <w:pPr>
              <w:spacing w:after="0"/>
              <w:rPr>
                <w:sz w:val="2"/>
                <w:szCs w:val="2"/>
                <w:color w:val="auto"/>
              </w:rPr>
            </w:pPr>
          </w:p>
        </w:tc>
      </w:tr>
      <w:tr>
        <w:trPr>
          <w:trHeight w:val="234"/>
        </w:trPr>
        <w:tc>
          <w:tcPr>
            <w:tcW w:w="6020" w:type="dxa"/>
            <w:vAlign w:val="bottom"/>
          </w:tcPr>
          <w:p>
            <w:pPr>
              <w:ind w:left="160"/>
              <w:spacing w:after="0"/>
              <w:rPr>
                <w:sz w:val="20"/>
                <w:szCs w:val="20"/>
                <w:color w:val="auto"/>
              </w:rPr>
            </w:pPr>
            <w:r>
              <w:rPr>
                <w:rFonts w:ascii="Arial" w:cs="Arial" w:eastAsia="Arial" w:hAnsi="Arial"/>
                <w:sz w:val="14"/>
                <w:szCs w:val="14"/>
                <w:b w:val="1"/>
                <w:bCs w:val="1"/>
                <w:color w:val="40C0C0"/>
              </w:rPr>
              <w:t>All Other Fees</w:t>
            </w:r>
          </w:p>
        </w:tc>
        <w:tc>
          <w:tcPr>
            <w:tcW w:w="18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9"/>
        </w:trPr>
        <w:tc>
          <w:tcPr>
            <w:tcW w:w="6020" w:type="dxa"/>
            <w:vAlign w:val="bottom"/>
            <w:tcBorders>
              <w:bottom w:val="single" w:sz="8" w:color="999999"/>
            </w:tcBorders>
          </w:tcPr>
          <w:p>
            <w:pPr>
              <w:spacing w:after="0"/>
              <w:rPr>
                <w:sz w:val="2"/>
                <w:szCs w:val="2"/>
                <w:color w:val="auto"/>
              </w:rPr>
            </w:pPr>
          </w:p>
        </w:tc>
        <w:tc>
          <w:tcPr>
            <w:tcW w:w="1860" w:type="dxa"/>
            <w:vAlign w:val="bottom"/>
            <w:tcBorders>
              <w:bottom w:val="single" w:sz="8" w:color="999999"/>
            </w:tcBorders>
          </w:tcPr>
          <w:p>
            <w:pPr>
              <w:spacing w:after="0"/>
              <w:rPr>
                <w:sz w:val="2"/>
                <w:szCs w:val="2"/>
                <w:color w:val="auto"/>
              </w:rPr>
            </w:pPr>
          </w:p>
        </w:tc>
        <w:tc>
          <w:tcPr>
            <w:tcW w:w="1520" w:type="dxa"/>
            <w:vAlign w:val="bottom"/>
            <w:tcBorders>
              <w:bottom w:val="single" w:sz="8" w:color="999999"/>
            </w:tcBorders>
          </w:tcPr>
          <w:p>
            <w:pPr>
              <w:spacing w:after="0"/>
              <w:rPr>
                <w:sz w:val="2"/>
                <w:szCs w:val="2"/>
                <w:color w:val="auto"/>
              </w:rPr>
            </w:pPr>
          </w:p>
        </w:tc>
      </w:tr>
      <w:tr>
        <w:trPr>
          <w:trHeight w:val="234"/>
        </w:trPr>
        <w:tc>
          <w:tcPr>
            <w:tcW w:w="6020" w:type="dxa"/>
            <w:vAlign w:val="bottom"/>
          </w:tcPr>
          <w:p>
            <w:pPr>
              <w:ind w:left="160"/>
              <w:spacing w:after="0"/>
              <w:rPr>
                <w:sz w:val="20"/>
                <w:szCs w:val="20"/>
                <w:color w:val="auto"/>
              </w:rPr>
            </w:pPr>
            <w:r>
              <w:rPr>
                <w:rFonts w:ascii="Arial" w:cs="Arial" w:eastAsia="Arial" w:hAnsi="Arial"/>
                <w:sz w:val="14"/>
                <w:szCs w:val="14"/>
                <w:b w:val="1"/>
                <w:bCs w:val="1"/>
                <w:color w:val="40C0C0"/>
              </w:rPr>
              <w:t>Total Fees</w:t>
            </w:r>
          </w:p>
        </w:tc>
        <w:tc>
          <w:tcPr>
            <w:tcW w:w="1860" w:type="dxa"/>
            <w:vAlign w:val="bottom"/>
          </w:tcPr>
          <w:p>
            <w:pPr>
              <w:jc w:val="right"/>
              <w:ind w:right="608"/>
              <w:spacing w:after="0"/>
              <w:rPr>
                <w:sz w:val="20"/>
                <w:szCs w:val="20"/>
                <w:color w:val="auto"/>
              </w:rPr>
            </w:pPr>
            <w:r>
              <w:rPr>
                <w:rFonts w:ascii="Arial" w:cs="Arial" w:eastAsia="Arial" w:hAnsi="Arial"/>
                <w:sz w:val="14"/>
                <w:szCs w:val="14"/>
                <w:color w:val="auto"/>
              </w:rPr>
              <w:t>$1,888,868</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$2,124,250</w:t>
            </w:r>
          </w:p>
        </w:tc>
      </w:tr>
      <w:tr>
        <w:trPr>
          <w:trHeight w:val="69"/>
        </w:trPr>
        <w:tc>
          <w:tcPr>
            <w:tcW w:w="602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bl>
    <w:p>
      <w:pPr>
        <w:spacing w:after="0" w:line="198" w:lineRule="exact"/>
        <w:rPr>
          <w:sz w:val="20"/>
          <w:szCs w:val="20"/>
          <w:color w:val="auto"/>
        </w:rPr>
      </w:pPr>
    </w:p>
    <w:p>
      <w:pPr>
        <w:ind w:left="240" w:right="200" w:hanging="234"/>
        <w:spacing w:after="0" w:line="231" w:lineRule="auto"/>
        <w:tabs>
          <w:tab w:leader="none" w:pos="24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“Audit Fees” consist of fees in connection with the audit of the Company’s annual consolidated financial statements, including audited financial statements presented in the Company’s annual report on Form 10-K, review of its quarterly financial statements presented in our quarterly reports on Form 10-Q and services that are normally provided by the Company’s independent registered public accounting firm in connection with statutory and regulatory filings or engagements for the 2024 and 2023 fiscal years.</w:t>
      </w:r>
    </w:p>
    <w:p>
      <w:pPr>
        <w:spacing w:after="0" w:line="45" w:lineRule="exact"/>
        <w:rPr>
          <w:rFonts w:ascii="Arial" w:cs="Arial" w:eastAsia="Arial" w:hAnsi="Arial"/>
          <w:sz w:val="13"/>
          <w:szCs w:val="13"/>
          <w:b w:val="1"/>
          <w:bCs w:val="1"/>
          <w:color w:val="auto"/>
        </w:rPr>
      </w:pPr>
    </w:p>
    <w:p>
      <w:pPr>
        <w:ind w:left="240" w:right="740" w:hanging="234"/>
        <w:spacing w:after="0" w:line="252" w:lineRule="auto"/>
        <w:tabs>
          <w:tab w:leader="none" w:pos="24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“Audit-Related Fees” consist of fees in connection with employee benefit plan audits, prior auditor consent and successor auditor access to workpapers.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All 2024 and 2023 fees described above were pre-approved by the Audit Committee.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Pre-Approval Policies and Procedures</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Audit Committee has adopted a policy and procedures for the pre-approval of audit and non-audit services rendered by our independent registered public accounting firm, Moss Adams. The policy generally pre-approves specified services in the defined categories of audit services, audit-related services and tax services up to specified amounts. Pre-approval may also be given on a collective basis pursuant to such policy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2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Our Audit Committee has determined that the rendering of services other than audit services by Moss Adams is compatible with maintaining the principal accountant’s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201930</wp:posOffset>
            </wp:positionV>
            <wp:extent cx="411480"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1480" cy="685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40C0C0"/>
        </w:rPr>
        <w:t>VOTE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Recommends a Vote “For”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Executive Officers</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our current executive officers as of Monday, April 28,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1960" w:type="dxa"/>
            <w:vAlign w:val="bottom"/>
            <w:shd w:val="clear" w:color="auto" w:fill="000000"/>
          </w:tcPr>
          <w:p>
            <w:pPr>
              <w:ind w:left="160"/>
              <w:spacing w:after="0"/>
              <w:rPr>
                <w:sz w:val="20"/>
                <w:szCs w:val="20"/>
                <w:color w:val="auto"/>
              </w:rPr>
            </w:pPr>
            <w:r>
              <w:rPr>
                <w:rFonts w:ascii="Arial" w:cs="Arial" w:eastAsia="Arial" w:hAnsi="Arial"/>
                <w:sz w:val="14"/>
                <w:szCs w:val="14"/>
                <w:b w:val="1"/>
                <w:bCs w:val="1"/>
                <w:color w:val="FFFFFF"/>
              </w:rPr>
              <w:t>Name</w:t>
            </w:r>
          </w:p>
        </w:tc>
        <w:tc>
          <w:tcPr>
            <w:tcW w:w="980" w:type="dxa"/>
            <w:vAlign w:val="bottom"/>
            <w:shd w:val="clear" w:color="auto" w:fill="000000"/>
          </w:tcPr>
          <w:p>
            <w:pPr>
              <w:ind w:left="540"/>
              <w:spacing w:after="0"/>
              <w:rPr>
                <w:sz w:val="20"/>
                <w:szCs w:val="20"/>
                <w:color w:val="auto"/>
              </w:rPr>
            </w:pPr>
            <w:r>
              <w:rPr>
                <w:rFonts w:ascii="Arial" w:cs="Arial" w:eastAsia="Arial" w:hAnsi="Arial"/>
                <w:sz w:val="14"/>
                <w:szCs w:val="14"/>
                <w:b w:val="1"/>
                <w:bCs w:val="1"/>
                <w:color w:val="FFFFFF"/>
              </w:rPr>
              <w:t>Age</w:t>
            </w:r>
          </w:p>
        </w:tc>
        <w:tc>
          <w:tcPr>
            <w:tcW w:w="6460" w:type="dxa"/>
            <w:vAlign w:val="bottom"/>
            <w:gridSpan w:val="2"/>
            <w:shd w:val="clear" w:color="auto" w:fill="000000"/>
          </w:tcPr>
          <w:p>
            <w:pPr>
              <w:ind w:left="200"/>
              <w:spacing w:after="0"/>
              <w:rPr>
                <w:sz w:val="20"/>
                <w:szCs w:val="20"/>
                <w:color w:val="auto"/>
              </w:rPr>
            </w:pPr>
            <w:r>
              <w:rPr>
                <w:rFonts w:ascii="Arial" w:cs="Arial" w:eastAsia="Arial" w:hAnsi="Arial"/>
                <w:sz w:val="14"/>
                <w:szCs w:val="14"/>
                <w:b w:val="1"/>
                <w:bCs w:val="1"/>
                <w:color w:val="FFFFFF"/>
              </w:rPr>
              <w:t>Position</w:t>
            </w:r>
          </w:p>
        </w:tc>
      </w:tr>
      <w:tr>
        <w:trPr>
          <w:trHeight w:val="83"/>
        </w:trPr>
        <w:tc>
          <w:tcPr>
            <w:tcW w:w="19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5900" w:type="dxa"/>
            <w:vAlign w:val="bottom"/>
            <w:shd w:val="clear" w:color="auto" w:fill="000000"/>
          </w:tcPr>
          <w:p>
            <w:pPr>
              <w:spacing w:after="0"/>
              <w:rPr>
                <w:sz w:val="7"/>
                <w:szCs w:val="7"/>
                <w:color w:val="auto"/>
              </w:rPr>
            </w:pPr>
          </w:p>
        </w:tc>
      </w:tr>
      <w:tr>
        <w:trPr>
          <w:trHeight w:val="295"/>
        </w:trPr>
        <w:tc>
          <w:tcPr>
            <w:tcW w:w="1960" w:type="dxa"/>
            <w:vAlign w:val="bottom"/>
          </w:tcPr>
          <w:p>
            <w:pPr>
              <w:ind w:left="160"/>
              <w:spacing w:after="0"/>
              <w:rPr>
                <w:sz w:val="20"/>
                <w:szCs w:val="20"/>
                <w:color w:val="auto"/>
              </w:rPr>
            </w:pPr>
            <w:r>
              <w:rPr>
                <w:rFonts w:ascii="Arial" w:cs="Arial" w:eastAsia="Arial" w:hAnsi="Arial"/>
                <w:sz w:val="14"/>
                <w:szCs w:val="14"/>
                <w:b w:val="1"/>
                <w:bCs w:val="1"/>
                <w:color w:val="auto"/>
              </w:rPr>
              <w:t>Executive Officers</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83"/>
        </w:trPr>
        <w:tc>
          <w:tcPr>
            <w:tcW w:w="19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460" w:type="dxa"/>
            <w:vAlign w:val="bottom"/>
            <w:tcBorders>
              <w:bottom w:val="single" w:sz="8" w:color="auto"/>
            </w:tcBorders>
            <w:gridSpan w:val="2"/>
          </w:tcPr>
          <w:p>
            <w:pPr>
              <w:spacing w:after="0"/>
              <w:rPr>
                <w:sz w:val="7"/>
                <w:szCs w:val="7"/>
                <w:color w:val="auto"/>
              </w:rPr>
            </w:pPr>
          </w:p>
        </w:tc>
      </w:tr>
      <w:tr>
        <w:trPr>
          <w:trHeight w:val="288"/>
        </w:trPr>
        <w:tc>
          <w:tcPr>
            <w:tcW w:w="1960" w:type="dxa"/>
            <w:vAlign w:val="bottom"/>
          </w:tcPr>
          <w:p>
            <w:pPr>
              <w:ind w:left="160"/>
              <w:spacing w:after="0"/>
              <w:rPr>
                <w:sz w:val="20"/>
                <w:szCs w:val="20"/>
                <w:color w:val="auto"/>
              </w:rPr>
            </w:pPr>
            <w:r>
              <w:rPr>
                <w:rFonts w:ascii="Arial" w:cs="Arial" w:eastAsia="Arial" w:hAnsi="Arial"/>
                <w:sz w:val="14"/>
                <w:szCs w:val="14"/>
                <w:b w:val="1"/>
                <w:bCs w:val="1"/>
                <w:color w:val="40C0C0"/>
              </w:rPr>
              <w:t>Douglas Francis</w:t>
            </w:r>
          </w:p>
        </w:tc>
        <w:tc>
          <w:tcPr>
            <w:tcW w:w="980" w:type="dxa"/>
            <w:vAlign w:val="bottom"/>
          </w:tcPr>
          <w:p>
            <w:pPr>
              <w:ind w:left="540"/>
              <w:spacing w:after="0"/>
              <w:rPr>
                <w:sz w:val="20"/>
                <w:szCs w:val="20"/>
                <w:color w:val="auto"/>
              </w:rPr>
            </w:pPr>
            <w:r>
              <w:rPr>
                <w:rFonts w:ascii="Arial" w:cs="Arial" w:eastAsia="Arial" w:hAnsi="Arial"/>
                <w:sz w:val="14"/>
                <w:szCs w:val="14"/>
                <w:color w:val="auto"/>
              </w:rPr>
              <w:t>47</w:t>
            </w:r>
          </w:p>
        </w:tc>
        <w:tc>
          <w:tcPr>
            <w:tcW w:w="6460" w:type="dxa"/>
            <w:vAlign w:val="bottom"/>
            <w:gridSpan w:val="2"/>
          </w:tcPr>
          <w:p>
            <w:pPr>
              <w:ind w:left="200"/>
              <w:spacing w:after="0"/>
              <w:rPr>
                <w:sz w:val="20"/>
                <w:szCs w:val="20"/>
                <w:color w:val="auto"/>
              </w:rPr>
            </w:pPr>
            <w:r>
              <w:rPr>
                <w:rFonts w:ascii="Arial" w:cs="Arial" w:eastAsia="Arial" w:hAnsi="Arial"/>
                <w:sz w:val="14"/>
                <w:szCs w:val="14"/>
                <w:color w:val="auto"/>
              </w:rPr>
              <w:t>Chief Executive Officer and Chairperson of the Board</w:t>
            </w:r>
          </w:p>
        </w:tc>
      </w:tr>
      <w:tr>
        <w:trPr>
          <w:trHeight w:val="83"/>
        </w:trPr>
        <w:tc>
          <w:tcPr>
            <w:tcW w:w="19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r>
      <w:tr>
        <w:trPr>
          <w:trHeight w:val="288"/>
        </w:trPr>
        <w:tc>
          <w:tcPr>
            <w:tcW w:w="1960" w:type="dxa"/>
            <w:vAlign w:val="bottom"/>
          </w:tcPr>
          <w:p>
            <w:pPr>
              <w:ind w:left="160"/>
              <w:spacing w:after="0"/>
              <w:rPr>
                <w:sz w:val="20"/>
                <w:szCs w:val="20"/>
                <w:color w:val="auto"/>
              </w:rPr>
            </w:pPr>
            <w:r>
              <w:rPr>
                <w:rFonts w:ascii="Arial" w:cs="Arial" w:eastAsia="Arial" w:hAnsi="Arial"/>
                <w:sz w:val="14"/>
                <w:szCs w:val="14"/>
                <w:b w:val="1"/>
                <w:bCs w:val="1"/>
                <w:color w:val="40C0C0"/>
              </w:rPr>
              <w:t>Susan Echard</w:t>
            </w:r>
          </w:p>
        </w:tc>
        <w:tc>
          <w:tcPr>
            <w:tcW w:w="980" w:type="dxa"/>
            <w:vAlign w:val="bottom"/>
          </w:tcPr>
          <w:p>
            <w:pPr>
              <w:ind w:left="540"/>
              <w:spacing w:after="0"/>
              <w:rPr>
                <w:sz w:val="20"/>
                <w:szCs w:val="20"/>
                <w:color w:val="auto"/>
              </w:rPr>
            </w:pPr>
            <w:r>
              <w:rPr>
                <w:rFonts w:ascii="Arial" w:cs="Arial" w:eastAsia="Arial" w:hAnsi="Arial"/>
                <w:sz w:val="14"/>
                <w:szCs w:val="14"/>
                <w:color w:val="auto"/>
              </w:rPr>
              <w:t>60</w:t>
            </w:r>
          </w:p>
        </w:tc>
        <w:tc>
          <w:tcPr>
            <w:tcW w:w="560" w:type="dxa"/>
            <w:vAlign w:val="bottom"/>
          </w:tcPr>
          <w:p>
            <w:pPr>
              <w:ind w:left="200"/>
              <w:spacing w:after="0"/>
              <w:rPr>
                <w:sz w:val="20"/>
                <w:szCs w:val="20"/>
                <w:color w:val="auto"/>
              </w:rPr>
            </w:pPr>
            <w:r>
              <w:rPr>
                <w:rFonts w:ascii="Arial" w:cs="Arial" w:eastAsia="Arial" w:hAnsi="Arial"/>
                <w:sz w:val="14"/>
                <w:szCs w:val="14"/>
                <w:color w:val="auto"/>
              </w:rPr>
              <w:t>Chief​</w:t>
            </w:r>
          </w:p>
        </w:tc>
        <w:tc>
          <w:tcPr>
            <w:tcW w:w="5900" w:type="dxa"/>
            <w:vAlign w:val="bottom"/>
          </w:tcPr>
          <w:p>
            <w:pPr>
              <w:ind w:left="20"/>
              <w:spacing w:after="0"/>
              <w:rPr>
                <w:sz w:val="20"/>
                <w:szCs w:val="20"/>
                <w:color w:val="auto"/>
              </w:rPr>
            </w:pPr>
            <w:r>
              <w:rPr>
                <w:rFonts w:ascii="Arial" w:cs="Arial" w:eastAsia="Arial" w:hAnsi="Arial"/>
                <w:sz w:val="14"/>
                <w:szCs w:val="14"/>
                <w:color w:val="auto"/>
              </w:rPr>
              <w:t>Financial Officer</w:t>
            </w:r>
          </w:p>
        </w:tc>
      </w:tr>
      <w:tr>
        <w:trPr>
          <w:trHeight w:val="83"/>
        </w:trPr>
        <w:tc>
          <w:tcPr>
            <w:tcW w:w="19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460" w:type="dxa"/>
            <w:vAlign w:val="bottom"/>
            <w:tcBorders>
              <w:bottom w:val="single" w:sz="8" w:color="auto"/>
            </w:tcBorders>
            <w:gridSpan w:val="2"/>
          </w:tcPr>
          <w:p>
            <w:pPr>
              <w:spacing w:after="0"/>
              <w:rPr>
                <w:sz w:val="7"/>
                <w:szCs w:val="7"/>
                <w:color w:val="auto"/>
              </w:rPr>
            </w:pPr>
          </w:p>
        </w:tc>
      </w:tr>
      <w:tr>
        <w:trPr>
          <w:trHeight w:val="288"/>
        </w:trPr>
        <w:tc>
          <w:tcPr>
            <w:tcW w:w="1960" w:type="dxa"/>
            <w:vAlign w:val="bottom"/>
          </w:tcPr>
          <w:p>
            <w:pPr>
              <w:ind w:left="160"/>
              <w:spacing w:after="0"/>
              <w:rPr>
                <w:sz w:val="20"/>
                <w:szCs w:val="20"/>
                <w:color w:val="auto"/>
              </w:rPr>
            </w:pPr>
            <w:r>
              <w:rPr>
                <w:rFonts w:ascii="Arial" w:cs="Arial" w:eastAsia="Arial" w:hAnsi="Arial"/>
                <w:sz w:val="14"/>
                <w:szCs w:val="14"/>
                <w:b w:val="1"/>
                <w:bCs w:val="1"/>
                <w:color w:val="40C0C0"/>
              </w:rPr>
              <w:t>Sarah Griffis</w:t>
            </w:r>
          </w:p>
        </w:tc>
        <w:tc>
          <w:tcPr>
            <w:tcW w:w="980" w:type="dxa"/>
            <w:vAlign w:val="bottom"/>
          </w:tcPr>
          <w:p>
            <w:pPr>
              <w:ind w:left="540"/>
              <w:spacing w:after="0"/>
              <w:rPr>
                <w:sz w:val="20"/>
                <w:szCs w:val="20"/>
                <w:color w:val="auto"/>
              </w:rPr>
            </w:pPr>
            <w:r>
              <w:rPr>
                <w:rFonts w:ascii="Arial" w:cs="Arial" w:eastAsia="Arial" w:hAnsi="Arial"/>
                <w:sz w:val="14"/>
                <w:szCs w:val="14"/>
                <w:color w:val="auto"/>
              </w:rPr>
              <w:t>36</w:t>
            </w:r>
          </w:p>
        </w:tc>
        <w:tc>
          <w:tcPr>
            <w:tcW w:w="6460" w:type="dxa"/>
            <w:vAlign w:val="bottom"/>
            <w:gridSpan w:val="2"/>
          </w:tcPr>
          <w:p>
            <w:pPr>
              <w:ind w:left="200"/>
              <w:spacing w:after="0"/>
              <w:rPr>
                <w:sz w:val="20"/>
                <w:szCs w:val="20"/>
                <w:color w:val="auto"/>
              </w:rPr>
            </w:pPr>
            <w:r>
              <w:rPr>
                <w:rFonts w:ascii="Arial" w:cs="Arial" w:eastAsia="Arial" w:hAnsi="Arial"/>
                <w:sz w:val="14"/>
                <w:szCs w:val="14"/>
                <w:color w:val="auto"/>
              </w:rPr>
              <w:t>Chief Technology Officer</w:t>
            </w:r>
          </w:p>
        </w:tc>
      </w:tr>
      <w:tr>
        <w:trPr>
          <w:trHeight w:val="83"/>
        </w:trPr>
        <w:tc>
          <w:tcPr>
            <w:tcW w:w="19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460" w:type="dxa"/>
            <w:vAlign w:val="bottom"/>
            <w:tcBorders>
              <w:bottom w:val="single" w:sz="8" w:color="auto"/>
            </w:tcBorders>
            <w:gridSpan w:val="2"/>
          </w:tcPr>
          <w:p>
            <w:pPr>
              <w:spacing w:after="0"/>
              <w:rPr>
                <w:sz w:val="7"/>
                <w:szCs w:val="7"/>
                <w:color w:val="auto"/>
              </w:rPr>
            </w:pPr>
          </w:p>
        </w:tc>
      </w:tr>
      <w:tr>
        <w:trPr>
          <w:trHeight w:val="288"/>
        </w:trPr>
        <w:tc>
          <w:tcPr>
            <w:tcW w:w="1960" w:type="dxa"/>
            <w:vAlign w:val="bottom"/>
          </w:tcPr>
          <w:p>
            <w:pPr>
              <w:ind w:left="160"/>
              <w:spacing w:after="0"/>
              <w:rPr>
                <w:sz w:val="20"/>
                <w:szCs w:val="20"/>
                <w:color w:val="auto"/>
              </w:rPr>
            </w:pPr>
            <w:r>
              <w:rPr>
                <w:rFonts w:ascii="Arial" w:cs="Arial" w:eastAsia="Arial" w:hAnsi="Arial"/>
                <w:sz w:val="14"/>
                <w:szCs w:val="14"/>
                <w:b w:val="1"/>
                <w:bCs w:val="1"/>
                <w:color w:val="40C0C0"/>
              </w:rPr>
              <w:t>Brian Camire</w:t>
            </w:r>
          </w:p>
        </w:tc>
        <w:tc>
          <w:tcPr>
            <w:tcW w:w="980" w:type="dxa"/>
            <w:vAlign w:val="bottom"/>
          </w:tcPr>
          <w:p>
            <w:pPr>
              <w:ind w:left="540"/>
              <w:spacing w:after="0"/>
              <w:rPr>
                <w:sz w:val="20"/>
                <w:szCs w:val="20"/>
                <w:color w:val="auto"/>
              </w:rPr>
            </w:pPr>
            <w:r>
              <w:rPr>
                <w:rFonts w:ascii="Arial" w:cs="Arial" w:eastAsia="Arial" w:hAnsi="Arial"/>
                <w:sz w:val="14"/>
                <w:szCs w:val="14"/>
                <w:color w:val="auto"/>
              </w:rPr>
              <w:t>46</w:t>
            </w:r>
          </w:p>
        </w:tc>
        <w:tc>
          <w:tcPr>
            <w:tcW w:w="6460" w:type="dxa"/>
            <w:vAlign w:val="bottom"/>
            <w:gridSpan w:val="2"/>
          </w:tcPr>
          <w:p>
            <w:pPr>
              <w:ind w:left="200"/>
              <w:spacing w:after="0"/>
              <w:rPr>
                <w:sz w:val="20"/>
                <w:szCs w:val="20"/>
                <w:color w:val="auto"/>
              </w:rPr>
            </w:pPr>
            <w:r>
              <w:rPr>
                <w:rFonts w:ascii="Arial" w:cs="Arial" w:eastAsia="Arial" w:hAnsi="Arial"/>
                <w:sz w:val="14"/>
                <w:szCs w:val="14"/>
                <w:color w:val="auto"/>
              </w:rPr>
              <w:t>General Counsel and Secretary</w:t>
            </w:r>
          </w:p>
        </w:tc>
      </w:tr>
      <w:tr>
        <w:trPr>
          <w:trHeight w:val="70"/>
        </w:trPr>
        <w:tc>
          <w:tcPr>
            <w:tcW w:w="19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biographical information with respect to our executive officers who are not directors.</w:t>
      </w:r>
    </w:p>
    <w:p>
      <w:pPr>
        <w:spacing w:after="0" w:line="16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b w:val="1"/>
          <w:bCs w:val="1"/>
          <w:color w:val="auto"/>
        </w:rPr>
        <w:t>Susan Echard</w:t>
      </w:r>
      <w:r>
        <w:rPr>
          <w:rFonts w:ascii="Arial" w:cs="Arial" w:eastAsia="Arial" w:hAnsi="Arial"/>
          <w:sz w:val="16"/>
          <w:szCs w:val="16"/>
          <w:color w:val="auto"/>
        </w:rPr>
        <w:t>. Ms. Echard has served as Chief Financial Officer since November 2024 after having served as our Interim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from February 2024 through November 2024. Ms. Echard is a consultant and not a full time employee of the Company. Since February 2021 Ms. Echard has been a Partner of SeatonHill Partners, LP (“SeatonHill”) a leading national CFO services firm that also offers project based financial leadership.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w:t>
      </w:r>
    </w:p>
    <w:p>
      <w:pPr>
        <w:spacing w:after="0" w:line="6"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Ms. Echard is an accomplished executive with over 35 years’ experience, both domestic and international, within Big Four and CFO roles. Ms. Echard has a Bachelor of Business Administration degree in accounting from the University of Michigan-Flint.</w:t>
      </w:r>
    </w:p>
    <w:p>
      <w:pPr>
        <w:spacing w:after="0" w:line="11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b w:val="1"/>
          <w:bCs w:val="1"/>
          <w:color w:val="auto"/>
        </w:rPr>
        <w:t>Sarah Griffis</w:t>
      </w:r>
      <w:r>
        <w:rPr>
          <w:rFonts w:ascii="Arial" w:cs="Arial" w:eastAsia="Arial" w:hAnsi="Arial"/>
          <w:sz w:val="16"/>
          <w:szCs w:val="16"/>
          <w:color w:val="auto"/>
        </w:rPr>
        <w:t>. Ms. Griffis has served as our Chief Technology Officer since January 2025. Prior to joining, Ms. Griffis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Technology Officer for Cerebral Inc., a healthcare company, from January 2022 to December 2024 and as Director of Engineering for GoodRx, a healthcare company, from May 2020 to January 2022. Ms. Griffis was also a founding member and Head of Engineering for Kindbody, a healthcare company, from July 2018 to May 2020. Ms. Griffis holds a B.S. in Environmental and Science Engineering from the California Institute of Technology.</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Brian Camire</w:t>
      </w:r>
      <w:r>
        <w:rPr>
          <w:rFonts w:ascii="Arial" w:cs="Arial" w:eastAsia="Arial" w:hAnsi="Arial"/>
          <w:sz w:val="16"/>
          <w:szCs w:val="16"/>
          <w:color w:val="auto"/>
        </w:rPr>
        <w:t>. Mr. Camire has served as our General Counsel and Secretary since June 2021. Mr. Camire served as Legacy</w:t>
      </w:r>
      <w:r>
        <w:rPr>
          <w:rFonts w:ascii="Arial" w:cs="Arial" w:eastAsia="Arial" w:hAnsi="Arial"/>
          <w:sz w:val="16"/>
          <w:szCs w:val="16"/>
          <w:b w:val="1"/>
          <w:bCs w:val="1"/>
          <w:color w:val="auto"/>
        </w:rPr>
        <w:t xml:space="preserve"> </w:t>
      </w:r>
      <w:r>
        <w:rPr>
          <w:rFonts w:ascii="Arial" w:cs="Arial" w:eastAsia="Arial" w:hAnsi="Arial"/>
          <w:sz w:val="16"/>
          <w:szCs w:val="16"/>
          <w:color w:val="auto"/>
        </w:rPr>
        <w:t>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59664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ind w:right="80"/>
        <w:spacing w:after="0" w:line="282" w:lineRule="auto"/>
        <w:rPr>
          <w:sz w:val="20"/>
          <w:szCs w:val="20"/>
          <w:color w:val="auto"/>
        </w:rPr>
      </w:pPr>
      <w:r>
        <w:rPr>
          <w:rFonts w:ascii="Arial" w:cs="Arial" w:eastAsia="Arial" w:hAnsi="Arial"/>
          <w:sz w:val="57"/>
          <w:szCs w:val="57"/>
          <w:color w:val="auto"/>
        </w:rPr>
        <w:t>Security Ownership of Certain Beneficial Owners and Management</w:t>
      </w:r>
    </w:p>
    <w:p>
      <w:pPr>
        <w:spacing w:after="0" w:line="3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following table sets forth information known to us regarding the beneficial ownership of our Common Stock as of April 21, 2025, by:</w:t>
      </w:r>
    </w:p>
    <w:p>
      <w:pPr>
        <w:spacing w:after="0" w:line="7" w:lineRule="exact"/>
        <w:rPr>
          <w:sz w:val="20"/>
          <w:szCs w:val="20"/>
          <w:color w:val="auto"/>
        </w:rPr>
      </w:pPr>
    </w:p>
    <w:p>
      <w:pPr>
        <w:ind w:left="600" w:right="380" w:hanging="288"/>
        <w:spacing w:after="0" w:line="286"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person who is known by us to be the beneficial owner of more than 5% of the outstanding shares of our Class A Common Stock and Class V Common Stock;</w:t>
      </w:r>
    </w:p>
    <w:p>
      <w:pPr>
        <w:spacing w:after="0" w:line="7" w:lineRule="exact"/>
        <w:rPr>
          <w:rFonts w:ascii="Arial" w:cs="Arial" w:eastAsia="Arial" w:hAnsi="Arial"/>
          <w:sz w:val="16"/>
          <w:szCs w:val="16"/>
          <w:color w:val="auto"/>
        </w:rPr>
      </w:pPr>
    </w:p>
    <w:p>
      <w:pPr>
        <w:ind w:left="600" w:hanging="288"/>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of our current Named Executive Officers and directors; and</w:t>
      </w:r>
    </w:p>
    <w:p>
      <w:pPr>
        <w:spacing w:after="0" w:line="86" w:lineRule="exact"/>
        <w:rPr>
          <w:rFonts w:ascii="Arial" w:cs="Arial" w:eastAsia="Arial" w:hAnsi="Arial"/>
          <w:sz w:val="16"/>
          <w:szCs w:val="16"/>
          <w:color w:val="auto"/>
        </w:rPr>
      </w:pPr>
    </w:p>
    <w:p>
      <w:pPr>
        <w:ind w:left="600" w:hanging="288"/>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of our current executive officers and directors, as a group.</w:t>
      </w:r>
    </w:p>
    <w:p>
      <w:pPr>
        <w:spacing w:after="0" w:line="167"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beneficial ownership percentages set forth in the table below are based on 154,373,308 shares of our Class A Common Stock and Class V Common Stock issued and outstanding as of Monday, April 21, 2025 and do not take into account the issuance of any shares of Class A Common Stock upon (i) the exercise of 19,499,973 Warrants to purchase an aggregate of 19,499,973 shares of Class A Common Stock or (ii) the exchange of 13,803,732 Class P Units for up to 13,803,732 shares of Class A Common Stock.</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118"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59664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0" w:type="dxa"/>
            <w:vAlign w:val="bottom"/>
            <w:tcBorders>
              <w:top w:val="single" w:sz="8" w:color="0000EE"/>
            </w:tcBorders>
          </w:tcPr>
          <w:p>
            <w:pPr>
              <w:spacing w:after="0"/>
              <w:rPr>
                <w:sz w:val="12"/>
                <w:szCs w:val="12"/>
                <w:color w:val="auto"/>
              </w:rPr>
            </w:pPr>
          </w:p>
        </w:tc>
        <w:tc>
          <w:tcPr>
            <w:tcW w:w="620" w:type="dxa"/>
            <w:vAlign w:val="bottom"/>
            <w:tcBorders>
              <w:top w:val="single" w:sz="8" w:color="0000EE"/>
            </w:tcBorders>
          </w:tcPr>
          <w:p>
            <w:pPr>
              <w:spacing w:after="0"/>
              <w:rPr>
                <w:sz w:val="12"/>
                <w:szCs w:val="12"/>
                <w:color w:val="auto"/>
              </w:rPr>
            </w:pPr>
          </w:p>
        </w:tc>
        <w:tc>
          <w:tcPr>
            <w:tcW w:w="840" w:type="dxa"/>
            <w:vAlign w:val="bottom"/>
            <w:tcBorders>
              <w:top w:val="single" w:sz="8" w:color="0000EE"/>
            </w:tcBorders>
          </w:tcPr>
          <w:p>
            <w:pPr>
              <w:spacing w:after="0"/>
              <w:rPr>
                <w:sz w:val="12"/>
                <w:szCs w:val="12"/>
                <w:color w:val="auto"/>
              </w:rPr>
            </w:pPr>
          </w:p>
        </w:tc>
        <w:tc>
          <w:tcPr>
            <w:tcW w:w="1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80" w:type="dxa"/>
            <w:vAlign w:val="bottom"/>
            <w:shd w:val="clear" w:color="auto" w:fill="000000"/>
          </w:tcPr>
          <w:p>
            <w:pPr>
              <w:spacing w:after="0"/>
              <w:rPr>
                <w:sz w:val="24"/>
                <w:szCs w:val="24"/>
                <w:color w:val="auto"/>
              </w:rPr>
            </w:pPr>
          </w:p>
        </w:tc>
        <w:tc>
          <w:tcPr>
            <w:tcW w:w="62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1980" w:type="dxa"/>
            <w:vAlign w:val="bottom"/>
            <w:shd w:val="clear" w:color="auto" w:fill="000000"/>
          </w:tcPr>
          <w:p>
            <w:pPr>
              <w:spacing w:after="0"/>
              <w:rPr>
                <w:sz w:val="24"/>
                <w:szCs w:val="24"/>
                <w:color w:val="auto"/>
              </w:rPr>
            </w:pPr>
          </w:p>
        </w:tc>
        <w:tc>
          <w:tcPr>
            <w:tcW w:w="144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Number of</w:t>
            </w:r>
          </w:p>
        </w:tc>
        <w:tc>
          <w:tcPr>
            <w:tcW w:w="1000" w:type="dxa"/>
            <w:vAlign w:val="bottom"/>
            <w:shd w:val="clear" w:color="auto" w:fill="000000"/>
          </w:tcPr>
          <w:p>
            <w:pPr>
              <w:spacing w:after="0"/>
              <w:rPr>
                <w:sz w:val="24"/>
                <w:szCs w:val="24"/>
                <w:color w:val="auto"/>
              </w:rPr>
            </w:pPr>
          </w:p>
        </w:tc>
        <w:tc>
          <w:tcPr>
            <w:tcW w:w="142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Number of</w:t>
            </w:r>
          </w:p>
        </w:tc>
        <w:tc>
          <w:tcPr>
            <w:tcW w:w="1000" w:type="dxa"/>
            <w:vAlign w:val="bottom"/>
            <w:shd w:val="clear" w:color="auto" w:fill="000000"/>
          </w:tcPr>
          <w:p>
            <w:pPr>
              <w:spacing w:after="0"/>
              <w:rPr>
                <w:sz w:val="24"/>
                <w:szCs w:val="24"/>
                <w:color w:val="auto"/>
              </w:rPr>
            </w:pPr>
          </w:p>
        </w:tc>
        <w:tc>
          <w:tcPr>
            <w:tcW w:w="580" w:type="dxa"/>
            <w:vAlign w:val="bottom"/>
            <w:shd w:val="clear" w:color="auto" w:fill="000000"/>
          </w:tcPr>
          <w:p>
            <w:pPr>
              <w:spacing w:after="0"/>
              <w:rPr>
                <w:sz w:val="24"/>
                <w:szCs w:val="24"/>
                <w:color w:val="auto"/>
              </w:rPr>
            </w:pPr>
          </w:p>
        </w:tc>
        <w:tc>
          <w:tcPr>
            <w:tcW w:w="44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c>
          <w:tcPr>
            <w:tcW w:w="1980" w:type="dxa"/>
            <w:vAlign w:val="bottom"/>
            <w:shd w:val="clear" w:color="auto" w:fill="000000"/>
          </w:tcPr>
          <w:p>
            <w:pPr>
              <w:spacing w:after="0"/>
              <w:rPr>
                <w:sz w:val="14"/>
                <w:szCs w:val="14"/>
                <w:color w:val="auto"/>
              </w:rPr>
            </w:pPr>
          </w:p>
        </w:tc>
        <w:tc>
          <w:tcPr>
            <w:tcW w:w="144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Shares of</w:t>
            </w:r>
          </w:p>
        </w:tc>
        <w:tc>
          <w:tcPr>
            <w:tcW w:w="1000" w:type="dxa"/>
            <w:vAlign w:val="bottom"/>
            <w:shd w:val="clear" w:color="auto" w:fill="000000"/>
          </w:tcPr>
          <w:p>
            <w:pPr>
              <w:spacing w:after="0"/>
              <w:rPr>
                <w:sz w:val="14"/>
                <w:szCs w:val="14"/>
                <w:color w:val="auto"/>
              </w:rPr>
            </w:pPr>
          </w:p>
        </w:tc>
        <w:tc>
          <w:tcPr>
            <w:tcW w:w="142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Shares of</w:t>
            </w:r>
          </w:p>
        </w:tc>
        <w:tc>
          <w:tcPr>
            <w:tcW w:w="1000" w:type="dxa"/>
            <w:vAlign w:val="bottom"/>
            <w:shd w:val="clear" w:color="auto" w:fill="000000"/>
          </w:tcPr>
          <w:p>
            <w:pPr>
              <w:spacing w:after="0"/>
              <w:rPr>
                <w:sz w:val="14"/>
                <w:szCs w:val="14"/>
                <w:color w:val="auto"/>
              </w:rPr>
            </w:pPr>
          </w:p>
        </w:tc>
        <w:tc>
          <w:tcPr>
            <w:tcW w:w="580" w:type="dxa"/>
            <w:vAlign w:val="bottom"/>
            <w:shd w:val="clear" w:color="auto" w:fill="000000"/>
          </w:tcPr>
          <w:p>
            <w:pPr>
              <w:spacing w:after="0"/>
              <w:rPr>
                <w:sz w:val="14"/>
                <w:szCs w:val="14"/>
                <w:color w:val="auto"/>
              </w:rPr>
            </w:pPr>
          </w:p>
        </w:tc>
        <w:tc>
          <w:tcPr>
            <w:tcW w:w="44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c>
          <w:tcPr>
            <w:tcW w:w="1980" w:type="dxa"/>
            <w:vAlign w:val="bottom"/>
            <w:shd w:val="clear" w:color="auto" w:fill="000000"/>
          </w:tcPr>
          <w:p>
            <w:pPr>
              <w:spacing w:after="0"/>
              <w:rPr>
                <w:sz w:val="14"/>
                <w:szCs w:val="14"/>
                <w:color w:val="auto"/>
              </w:rPr>
            </w:pPr>
          </w:p>
        </w:tc>
        <w:tc>
          <w:tcPr>
            <w:tcW w:w="144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Class A</w:t>
            </w:r>
          </w:p>
        </w:tc>
        <w:tc>
          <w:tcPr>
            <w:tcW w:w="1000" w:type="dxa"/>
            <w:vAlign w:val="bottom"/>
            <w:shd w:val="clear" w:color="auto" w:fill="000000"/>
          </w:tcPr>
          <w:p>
            <w:pPr>
              <w:jc w:val="right"/>
              <w:ind w:right="152"/>
              <w:spacing w:after="0"/>
              <w:rPr>
                <w:sz w:val="20"/>
                <w:szCs w:val="20"/>
                <w:color w:val="auto"/>
              </w:rPr>
            </w:pPr>
            <w:r>
              <w:rPr>
                <w:rFonts w:ascii="Arial" w:cs="Arial" w:eastAsia="Arial" w:hAnsi="Arial"/>
                <w:sz w:val="14"/>
                <w:szCs w:val="14"/>
                <w:b w:val="1"/>
                <w:bCs w:val="1"/>
                <w:color w:val="FFFFFF"/>
              </w:rPr>
              <w:t>% of</w:t>
            </w:r>
          </w:p>
        </w:tc>
        <w:tc>
          <w:tcPr>
            <w:tcW w:w="142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Class V</w:t>
            </w:r>
          </w:p>
        </w:tc>
        <w:tc>
          <w:tcPr>
            <w:tcW w:w="100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 of</w:t>
            </w:r>
          </w:p>
        </w:tc>
        <w:tc>
          <w:tcPr>
            <w:tcW w:w="1020" w:type="dxa"/>
            <w:vAlign w:val="bottom"/>
            <w:gridSpan w:val="2"/>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Combined</w:t>
            </w:r>
          </w:p>
        </w:tc>
        <w:tc>
          <w:tcPr>
            <w:tcW w:w="0" w:type="dxa"/>
            <w:vAlign w:val="bottom"/>
          </w:tcPr>
          <w:p>
            <w:pPr>
              <w:spacing w:after="0"/>
              <w:rPr>
                <w:sz w:val="1"/>
                <w:szCs w:val="1"/>
                <w:color w:val="auto"/>
              </w:rPr>
            </w:pPr>
          </w:p>
        </w:tc>
      </w:tr>
      <w:tr>
        <w:trPr>
          <w:trHeight w:val="162"/>
        </w:trPr>
        <w:tc>
          <w:tcPr>
            <w:tcW w:w="8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c>
          <w:tcPr>
            <w:tcW w:w="1980" w:type="dxa"/>
            <w:vAlign w:val="bottom"/>
            <w:shd w:val="clear" w:color="auto" w:fill="000000"/>
          </w:tcPr>
          <w:p>
            <w:pPr>
              <w:spacing w:after="0"/>
              <w:rPr>
                <w:sz w:val="14"/>
                <w:szCs w:val="14"/>
                <w:color w:val="auto"/>
              </w:rPr>
            </w:pPr>
          </w:p>
        </w:tc>
        <w:tc>
          <w:tcPr>
            <w:tcW w:w="144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Common Stock</w:t>
            </w:r>
          </w:p>
        </w:tc>
        <w:tc>
          <w:tcPr>
            <w:tcW w:w="1000" w:type="dxa"/>
            <w:vAlign w:val="bottom"/>
            <w:shd w:val="clear" w:color="auto" w:fill="000000"/>
          </w:tcPr>
          <w:p>
            <w:pPr>
              <w:jc w:val="right"/>
              <w:ind w:right="152"/>
              <w:spacing w:after="0"/>
              <w:rPr>
                <w:sz w:val="20"/>
                <w:szCs w:val="20"/>
                <w:color w:val="auto"/>
              </w:rPr>
            </w:pPr>
            <w:r>
              <w:rPr>
                <w:rFonts w:ascii="Arial" w:cs="Arial" w:eastAsia="Arial" w:hAnsi="Arial"/>
                <w:sz w:val="14"/>
                <w:szCs w:val="14"/>
                <w:b w:val="1"/>
                <w:bCs w:val="1"/>
                <w:color w:val="FFFFFF"/>
              </w:rPr>
              <w:t>Class A</w:t>
            </w:r>
          </w:p>
        </w:tc>
        <w:tc>
          <w:tcPr>
            <w:tcW w:w="142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Common Stock</w:t>
            </w:r>
          </w:p>
        </w:tc>
        <w:tc>
          <w:tcPr>
            <w:tcW w:w="100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Class V</w:t>
            </w:r>
          </w:p>
        </w:tc>
        <w:tc>
          <w:tcPr>
            <w:tcW w:w="1020" w:type="dxa"/>
            <w:vAlign w:val="bottom"/>
            <w:gridSpan w:val="2"/>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 of Total</w:t>
            </w:r>
          </w:p>
        </w:tc>
        <w:tc>
          <w:tcPr>
            <w:tcW w:w="0" w:type="dxa"/>
            <w:vAlign w:val="bottom"/>
          </w:tcPr>
          <w:p>
            <w:pPr>
              <w:spacing w:after="0"/>
              <w:rPr>
                <w:sz w:val="1"/>
                <w:szCs w:val="1"/>
                <w:color w:val="auto"/>
              </w:rPr>
            </w:pPr>
          </w:p>
        </w:tc>
      </w:tr>
      <w:tr>
        <w:trPr>
          <w:trHeight w:val="162"/>
        </w:trPr>
        <w:tc>
          <w:tcPr>
            <w:tcW w:w="80" w:type="dxa"/>
            <w:vAlign w:val="bottom"/>
            <w:shd w:val="clear" w:color="auto" w:fill="000000"/>
          </w:tcPr>
          <w:p>
            <w:pPr>
              <w:spacing w:after="0"/>
              <w:rPr>
                <w:sz w:val="14"/>
                <w:szCs w:val="14"/>
                <w:color w:val="auto"/>
              </w:rPr>
            </w:pPr>
          </w:p>
        </w:tc>
        <w:tc>
          <w:tcPr>
            <w:tcW w:w="3440" w:type="dxa"/>
            <w:vAlign w:val="bottom"/>
            <w:gridSpan w:val="3"/>
            <w:vMerge w:val="restart"/>
            <w:shd w:val="clear" w:color="auto" w:fill="000000"/>
          </w:tcPr>
          <w:p>
            <w:pPr>
              <w:ind w:left="80"/>
              <w:spacing w:after="0"/>
              <w:rPr>
                <w:sz w:val="20"/>
                <w:szCs w:val="20"/>
                <w:color w:val="auto"/>
              </w:rPr>
            </w:pPr>
            <w:r>
              <w:rPr>
                <w:rFonts w:ascii="Arial" w:cs="Arial" w:eastAsia="Arial" w:hAnsi="Arial"/>
                <w:sz w:val="14"/>
                <w:szCs w:val="14"/>
                <w:b w:val="1"/>
                <w:bCs w:val="1"/>
                <w:color w:val="FFFFFF"/>
              </w:rPr>
              <w:t>Name of Beneficial Owner</w:t>
            </w:r>
            <w:r>
              <w:rPr>
                <w:rFonts w:ascii="Arial" w:cs="Arial" w:eastAsia="Arial" w:hAnsi="Arial"/>
                <w:sz w:val="23"/>
                <w:szCs w:val="23"/>
                <w:b w:val="1"/>
                <w:bCs w:val="1"/>
                <w:color w:val="FFFFFF"/>
                <w:vertAlign w:val="superscript"/>
              </w:rPr>
              <w:t>(1)</w:t>
            </w:r>
          </w:p>
        </w:tc>
        <w:tc>
          <w:tcPr>
            <w:tcW w:w="144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Beneficially</w:t>
            </w:r>
          </w:p>
        </w:tc>
        <w:tc>
          <w:tcPr>
            <w:tcW w:w="1000" w:type="dxa"/>
            <w:vAlign w:val="bottom"/>
            <w:shd w:val="clear" w:color="auto" w:fill="000000"/>
          </w:tcPr>
          <w:p>
            <w:pPr>
              <w:jc w:val="right"/>
              <w:ind w:right="152"/>
              <w:spacing w:after="0"/>
              <w:rPr>
                <w:sz w:val="20"/>
                <w:szCs w:val="20"/>
                <w:color w:val="auto"/>
              </w:rPr>
            </w:pPr>
            <w:r>
              <w:rPr>
                <w:rFonts w:ascii="Arial" w:cs="Arial" w:eastAsia="Arial" w:hAnsi="Arial"/>
                <w:sz w:val="14"/>
                <w:szCs w:val="14"/>
                <w:b w:val="1"/>
                <w:bCs w:val="1"/>
                <w:color w:val="FFFFFF"/>
              </w:rPr>
              <w:t>Common</w:t>
            </w:r>
          </w:p>
        </w:tc>
        <w:tc>
          <w:tcPr>
            <w:tcW w:w="142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Beneficially</w:t>
            </w:r>
          </w:p>
        </w:tc>
        <w:tc>
          <w:tcPr>
            <w:tcW w:w="100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Common</w:t>
            </w:r>
          </w:p>
        </w:tc>
        <w:tc>
          <w:tcPr>
            <w:tcW w:w="1020" w:type="dxa"/>
            <w:vAlign w:val="bottom"/>
            <w:gridSpan w:val="2"/>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Voting</w:t>
            </w:r>
          </w:p>
        </w:tc>
        <w:tc>
          <w:tcPr>
            <w:tcW w:w="0" w:type="dxa"/>
            <w:vAlign w:val="bottom"/>
          </w:tcPr>
          <w:p>
            <w:pPr>
              <w:spacing w:after="0"/>
              <w:rPr>
                <w:sz w:val="1"/>
                <w:szCs w:val="1"/>
                <w:color w:val="auto"/>
              </w:rPr>
            </w:pPr>
          </w:p>
        </w:tc>
      </w:tr>
      <w:tr>
        <w:trPr>
          <w:trHeight w:val="297"/>
        </w:trPr>
        <w:tc>
          <w:tcPr>
            <w:tcW w:w="80" w:type="dxa"/>
            <w:vAlign w:val="bottom"/>
            <w:shd w:val="clear" w:color="auto" w:fill="000000"/>
          </w:tcPr>
          <w:p>
            <w:pPr>
              <w:spacing w:after="0"/>
              <w:rPr>
                <w:sz w:val="24"/>
                <w:szCs w:val="24"/>
                <w:color w:val="auto"/>
              </w:rPr>
            </w:pPr>
          </w:p>
        </w:tc>
        <w:tc>
          <w:tcPr>
            <w:tcW w:w="3440" w:type="dxa"/>
            <w:vAlign w:val="bottom"/>
            <w:gridSpan w:val="3"/>
            <w:vMerge w:val="continue"/>
            <w:shd w:val="clear" w:color="auto" w:fill="000000"/>
          </w:tcPr>
          <w:p>
            <w:pPr>
              <w:spacing w:after="0"/>
              <w:rPr>
                <w:sz w:val="24"/>
                <w:szCs w:val="24"/>
                <w:color w:val="auto"/>
              </w:rPr>
            </w:pPr>
          </w:p>
        </w:tc>
        <w:tc>
          <w:tcPr>
            <w:tcW w:w="144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Owned</w:t>
            </w:r>
          </w:p>
        </w:tc>
        <w:tc>
          <w:tcPr>
            <w:tcW w:w="1000" w:type="dxa"/>
            <w:vAlign w:val="bottom"/>
            <w:shd w:val="clear" w:color="auto" w:fill="000000"/>
          </w:tcPr>
          <w:p>
            <w:pPr>
              <w:jc w:val="right"/>
              <w:ind w:right="112"/>
              <w:spacing w:after="0"/>
              <w:rPr>
                <w:sz w:val="20"/>
                <w:szCs w:val="20"/>
                <w:color w:val="auto"/>
              </w:rPr>
            </w:pPr>
            <w:r>
              <w:rPr>
                <w:rFonts w:ascii="Arial" w:cs="Arial" w:eastAsia="Arial" w:hAnsi="Arial"/>
                <w:sz w:val="14"/>
                <w:szCs w:val="14"/>
                <w:b w:val="1"/>
                <w:bCs w:val="1"/>
                <w:color w:val="FFFFFF"/>
              </w:rPr>
              <w:t>Stock</w:t>
            </w:r>
          </w:p>
        </w:tc>
        <w:tc>
          <w:tcPr>
            <w:tcW w:w="1420" w:type="dxa"/>
            <w:vAlign w:val="bottom"/>
            <w:shd w:val="clear" w:color="auto" w:fill="000000"/>
          </w:tcPr>
          <w:p>
            <w:pPr>
              <w:jc w:val="right"/>
              <w:ind w:right="88"/>
              <w:spacing w:after="0"/>
              <w:rPr>
                <w:sz w:val="20"/>
                <w:szCs w:val="20"/>
                <w:color w:val="auto"/>
              </w:rPr>
            </w:pPr>
            <w:r>
              <w:rPr>
                <w:rFonts w:ascii="Arial" w:cs="Arial" w:eastAsia="Arial" w:hAnsi="Arial"/>
                <w:sz w:val="14"/>
                <w:szCs w:val="14"/>
                <w:b w:val="1"/>
                <w:bCs w:val="1"/>
                <w:color w:val="FFFFFF"/>
              </w:rPr>
              <w:t>Owned</w:t>
            </w:r>
            <w:r>
              <w:rPr>
                <w:rFonts w:ascii="Arial" w:cs="Arial" w:eastAsia="Arial" w:hAnsi="Arial"/>
                <w:sz w:val="23"/>
                <w:szCs w:val="23"/>
                <w:b w:val="1"/>
                <w:bCs w:val="1"/>
                <w:color w:val="FFFFFF"/>
                <w:vertAlign w:val="superscript"/>
              </w:rPr>
              <w:t>(2)</w:t>
            </w:r>
          </w:p>
        </w:tc>
        <w:tc>
          <w:tcPr>
            <w:tcW w:w="1000" w:type="dxa"/>
            <w:vAlign w:val="bottom"/>
            <w:shd w:val="clear" w:color="auto" w:fill="000000"/>
          </w:tcPr>
          <w:p>
            <w:pPr>
              <w:jc w:val="right"/>
              <w:ind w:right="88"/>
              <w:spacing w:after="0"/>
              <w:rPr>
                <w:sz w:val="20"/>
                <w:szCs w:val="20"/>
                <w:color w:val="auto"/>
              </w:rPr>
            </w:pPr>
            <w:r>
              <w:rPr>
                <w:rFonts w:ascii="Arial" w:cs="Arial" w:eastAsia="Arial" w:hAnsi="Arial"/>
                <w:sz w:val="14"/>
                <w:szCs w:val="14"/>
                <w:b w:val="1"/>
                <w:bCs w:val="1"/>
                <w:color w:val="FFFFFF"/>
              </w:rPr>
              <w:t>Stock</w:t>
            </w:r>
          </w:p>
        </w:tc>
        <w:tc>
          <w:tcPr>
            <w:tcW w:w="1020" w:type="dxa"/>
            <w:vAlign w:val="bottom"/>
            <w:gridSpan w:val="2"/>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Power</w:t>
            </w:r>
            <w:r>
              <w:rPr>
                <w:rFonts w:ascii="Arial" w:cs="Arial" w:eastAsia="Arial" w:hAnsi="Arial"/>
                <w:sz w:val="23"/>
                <w:szCs w:val="23"/>
                <w:b w:val="1"/>
                <w:bCs w:val="1"/>
                <w:color w:val="FFFFFF"/>
                <w:vertAlign w:val="superscript"/>
              </w:rPr>
              <w:t>(3)</w:t>
            </w: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Arial" w:cs="Arial" w:eastAsia="Arial" w:hAnsi="Arial"/>
                <w:sz w:val="14"/>
                <w:szCs w:val="14"/>
                <w:b w:val="1"/>
                <w:bCs w:val="1"/>
                <w:color w:val="auto"/>
              </w:rPr>
              <w:t>Directors and Named Executive Officers:</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80" w:type="dxa"/>
            <w:vAlign w:val="bottom"/>
            <w:tcBorders>
              <w:bottom w:val="single" w:sz="8" w:color="999999"/>
            </w:tcBorders>
          </w:tcPr>
          <w:p>
            <w:pPr>
              <w:spacing w:after="0"/>
              <w:rPr>
                <w:sz w:val="7"/>
                <w:szCs w:val="7"/>
                <w:color w:val="auto"/>
              </w:rPr>
            </w:pPr>
          </w:p>
        </w:tc>
        <w:tc>
          <w:tcPr>
            <w:tcW w:w="1460" w:type="dxa"/>
            <w:vAlign w:val="bottom"/>
            <w:tcBorders>
              <w:bottom w:val="single" w:sz="8" w:color="999999"/>
            </w:tcBorders>
            <w:gridSpan w:val="2"/>
          </w:tcPr>
          <w:p>
            <w:pPr>
              <w:spacing w:after="0"/>
              <w:rPr>
                <w:sz w:val="7"/>
                <w:szCs w:val="7"/>
                <w:color w:val="auto"/>
              </w:rPr>
            </w:pPr>
          </w:p>
        </w:tc>
        <w:tc>
          <w:tcPr>
            <w:tcW w:w="1980" w:type="dxa"/>
            <w:vAlign w:val="bottom"/>
            <w:tcBorders>
              <w:bottom w:val="single" w:sz="8" w:color="999999"/>
            </w:tcBorders>
          </w:tcPr>
          <w:p>
            <w:pPr>
              <w:spacing w:after="0"/>
              <w:rPr>
                <w:sz w:val="7"/>
                <w:szCs w:val="7"/>
                <w:color w:val="auto"/>
              </w:rPr>
            </w:pPr>
          </w:p>
        </w:tc>
        <w:tc>
          <w:tcPr>
            <w:tcW w:w="14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42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20" w:type="dxa"/>
            <w:vAlign w:val="bottom"/>
            <w:tcBorders>
              <w:bottom w:val="single" w:sz="8" w:color="999999"/>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80" w:type="dxa"/>
            <w:vAlign w:val="bottom"/>
            <w:tcBorders>
              <w:bottom w:val="single" w:sz="8" w:color="999999"/>
            </w:tcBorders>
          </w:tcPr>
          <w:p>
            <w:pPr>
              <w:spacing w:after="0"/>
              <w:rPr>
                <w:sz w:val="24"/>
                <w:szCs w:val="24"/>
                <w:color w:val="auto"/>
              </w:rPr>
            </w:pPr>
          </w:p>
        </w:tc>
        <w:tc>
          <w:tcPr>
            <w:tcW w:w="3440" w:type="dxa"/>
            <w:vAlign w:val="bottom"/>
            <w:tcBorders>
              <w:bottom w:val="single" w:sz="8" w:color="999999"/>
            </w:tcBorders>
            <w:gridSpan w:val="3"/>
          </w:tcPr>
          <w:p>
            <w:pPr>
              <w:ind w:left="80"/>
              <w:spacing w:after="0"/>
              <w:rPr>
                <w:sz w:val="20"/>
                <w:szCs w:val="20"/>
                <w:color w:val="auto"/>
              </w:rPr>
            </w:pPr>
            <w:r>
              <w:rPr>
                <w:rFonts w:ascii="Arial" w:cs="Arial" w:eastAsia="Arial" w:hAnsi="Arial"/>
                <w:sz w:val="14"/>
                <w:szCs w:val="14"/>
                <w:b w:val="1"/>
                <w:bCs w:val="1"/>
                <w:color w:val="40C0C0"/>
              </w:rPr>
              <w:t>Tony Aquila</w:t>
            </w:r>
            <w:r>
              <w:rPr>
                <w:rFonts w:ascii="Arial" w:cs="Arial" w:eastAsia="Arial" w:hAnsi="Arial"/>
                <w:sz w:val="23"/>
                <w:szCs w:val="23"/>
                <w:b w:val="1"/>
                <w:bCs w:val="1"/>
                <w:color w:val="40C0C0"/>
                <w:vertAlign w:val="superscript"/>
              </w:rPr>
              <w:t>(4)</w:t>
            </w:r>
          </w:p>
        </w:tc>
        <w:tc>
          <w:tcPr>
            <w:tcW w:w="1440" w:type="dxa"/>
            <w:vAlign w:val="bottom"/>
            <w:tcBorders>
              <w:bottom w:val="single" w:sz="8" w:color="999999"/>
            </w:tcBorders>
          </w:tcPr>
          <w:p>
            <w:pPr>
              <w:jc w:val="right"/>
              <w:ind w:right="2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5,304,011</w:t>
            </w:r>
          </w:p>
        </w:tc>
        <w:tc>
          <w:tcPr>
            <w:tcW w:w="1000" w:type="dxa"/>
            <w:vAlign w:val="bottom"/>
            <w:tcBorders>
              <w:bottom w:val="single" w:sz="8" w:color="999999"/>
            </w:tcBorders>
          </w:tcPr>
          <w:p>
            <w:pPr>
              <w:jc w:val="right"/>
              <w:ind w:right="192"/>
              <w:spacing w:after="0"/>
              <w:rPr>
                <w:sz w:val="20"/>
                <w:szCs w:val="20"/>
                <w:color w:val="auto"/>
              </w:rPr>
            </w:pPr>
            <w:r>
              <w:rPr>
                <w:rFonts w:ascii="Arial" w:cs="Arial" w:eastAsia="Arial" w:hAnsi="Arial"/>
                <w:sz w:val="14"/>
                <w:szCs w:val="14"/>
                <w:color w:val="auto"/>
              </w:rPr>
              <w:t>​ 5.0%</w:t>
            </w:r>
          </w:p>
        </w:tc>
        <w:tc>
          <w:tcPr>
            <w:tcW w:w="1420" w:type="dxa"/>
            <w:vAlign w:val="bottom"/>
            <w:tcBorders>
              <w:bottom w:val="single" w:sz="8" w:color="999999"/>
            </w:tcBorders>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99999"/>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99999"/>
            </w:tcBorders>
            <w:gridSpan w:val="2"/>
          </w:tcPr>
          <w:p>
            <w:pPr>
              <w:jc w:val="right"/>
              <w:ind w:right="1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398"/>
        </w:trPr>
        <w:tc>
          <w:tcPr>
            <w:tcW w:w="80" w:type="dxa"/>
            <w:vAlign w:val="bottom"/>
            <w:tcBorders>
              <w:bottom w:val="single" w:sz="8" w:color="999999"/>
            </w:tcBorders>
          </w:tcPr>
          <w:p>
            <w:pPr>
              <w:spacing w:after="0"/>
              <w:rPr>
                <w:sz w:val="24"/>
                <w:szCs w:val="24"/>
                <w:color w:val="auto"/>
              </w:rPr>
            </w:pPr>
          </w:p>
        </w:tc>
        <w:tc>
          <w:tcPr>
            <w:tcW w:w="3440" w:type="dxa"/>
            <w:vAlign w:val="bottom"/>
            <w:tcBorders>
              <w:bottom w:val="single" w:sz="8" w:color="999999"/>
            </w:tcBorders>
            <w:gridSpan w:val="3"/>
          </w:tcPr>
          <w:p>
            <w:pPr>
              <w:ind w:left="80"/>
              <w:spacing w:after="0"/>
              <w:rPr>
                <w:sz w:val="20"/>
                <w:szCs w:val="20"/>
                <w:color w:val="auto"/>
              </w:rPr>
            </w:pPr>
            <w:r>
              <w:rPr>
                <w:rFonts w:ascii="Arial" w:cs="Arial" w:eastAsia="Arial" w:hAnsi="Arial"/>
                <w:sz w:val="14"/>
                <w:szCs w:val="14"/>
                <w:b w:val="1"/>
                <w:bCs w:val="1"/>
                <w:color w:val="40C0C0"/>
              </w:rPr>
              <w:t>Douglas Francis</w:t>
            </w:r>
            <w:r>
              <w:rPr>
                <w:rFonts w:ascii="Arial" w:cs="Arial" w:eastAsia="Arial" w:hAnsi="Arial"/>
                <w:sz w:val="23"/>
                <w:szCs w:val="23"/>
                <w:b w:val="1"/>
                <w:bCs w:val="1"/>
                <w:color w:val="40C0C0"/>
                <w:vertAlign w:val="superscript"/>
              </w:rPr>
              <w:t>(5)</w:t>
            </w:r>
          </w:p>
        </w:tc>
        <w:tc>
          <w:tcPr>
            <w:tcW w:w="1440" w:type="dxa"/>
            <w:vAlign w:val="bottom"/>
            <w:tcBorders>
              <w:bottom w:val="single" w:sz="8" w:color="999999"/>
            </w:tcBorders>
          </w:tcPr>
          <w:p>
            <w:pPr>
              <w:jc w:val="right"/>
              <w:ind w:right="248"/>
              <w:spacing w:after="0"/>
              <w:rPr>
                <w:sz w:val="20"/>
                <w:szCs w:val="20"/>
                <w:color w:val="auto"/>
              </w:rPr>
            </w:pPr>
            <w:r>
              <w:rPr>
                <w:rFonts w:ascii="Arial" w:cs="Arial" w:eastAsia="Arial" w:hAnsi="Arial"/>
                <w:sz w:val="14"/>
                <w:szCs w:val="14"/>
                <w:color w:val="auto"/>
              </w:rPr>
              <w:t>5,516,077</w:t>
            </w:r>
          </w:p>
        </w:tc>
        <w:tc>
          <w:tcPr>
            <w:tcW w:w="1000" w:type="dxa"/>
            <w:vAlign w:val="bottom"/>
            <w:tcBorders>
              <w:bottom w:val="single" w:sz="8" w:color="999999"/>
            </w:tcBorders>
          </w:tcPr>
          <w:p>
            <w:pPr>
              <w:jc w:val="right"/>
              <w:ind w:right="192"/>
              <w:spacing w:after="0"/>
              <w:rPr>
                <w:sz w:val="20"/>
                <w:szCs w:val="20"/>
                <w:color w:val="auto"/>
              </w:rPr>
            </w:pPr>
            <w:r>
              <w:rPr>
                <w:rFonts w:ascii="Arial" w:cs="Arial" w:eastAsia="Arial" w:hAnsi="Arial"/>
                <w:sz w:val="14"/>
                <w:szCs w:val="14"/>
                <w:color w:val="auto"/>
              </w:rPr>
              <w:t>5.2%</w:t>
            </w:r>
          </w:p>
        </w:tc>
        <w:tc>
          <w:tcPr>
            <w:tcW w:w="1420" w:type="dxa"/>
            <w:vAlign w:val="bottom"/>
            <w:tcBorders>
              <w:bottom w:val="single" w:sz="8" w:color="999999"/>
            </w:tcBorders>
          </w:tcPr>
          <w:p>
            <w:pPr>
              <w:jc w:val="right"/>
              <w:ind w:right="228"/>
              <w:spacing w:after="0"/>
              <w:rPr>
                <w:sz w:val="20"/>
                <w:szCs w:val="20"/>
                <w:color w:val="auto"/>
              </w:rPr>
            </w:pPr>
            <w:r>
              <w:rPr>
                <w:rFonts w:ascii="Arial" w:cs="Arial" w:eastAsia="Arial" w:hAnsi="Arial"/>
                <w:sz w:val="14"/>
                <w:szCs w:val="14"/>
                <w:color w:val="auto"/>
              </w:rPr>
              <w:t>22,970,182</w:t>
            </w:r>
          </w:p>
        </w:tc>
        <w:tc>
          <w:tcPr>
            <w:tcW w:w="1000" w:type="dxa"/>
            <w:vAlign w:val="bottom"/>
            <w:tcBorders>
              <w:bottom w:val="single" w:sz="8" w:color="999999"/>
            </w:tcBorders>
          </w:tcPr>
          <w:p>
            <w:pPr>
              <w:jc w:val="right"/>
              <w:ind w:right="188"/>
              <w:spacing w:after="0"/>
              <w:rPr>
                <w:sz w:val="20"/>
                <w:szCs w:val="20"/>
                <w:color w:val="auto"/>
              </w:rPr>
            </w:pPr>
            <w:r>
              <w:rPr>
                <w:rFonts w:ascii="Arial" w:cs="Arial" w:eastAsia="Arial" w:hAnsi="Arial"/>
                <w:sz w:val="14"/>
                <w:szCs w:val="14"/>
                <w:color w:val="auto"/>
              </w:rPr>
              <w:t>46.6%</w:t>
            </w:r>
          </w:p>
        </w:tc>
        <w:tc>
          <w:tcPr>
            <w:tcW w:w="1020" w:type="dxa"/>
            <w:vAlign w:val="bottom"/>
            <w:tcBorders>
              <w:bottom w:val="single" w:sz="8" w:color="999999"/>
            </w:tcBorders>
            <w:gridSpan w:val="2"/>
          </w:tcPr>
          <w:p>
            <w:pPr>
              <w:jc w:val="right"/>
              <w:ind w:right="1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Arial" w:cs="Arial" w:eastAsia="Arial" w:hAnsi="Arial"/>
                <w:sz w:val="14"/>
                <w:szCs w:val="14"/>
                <w:b w:val="1"/>
                <w:bCs w:val="1"/>
                <w:color w:val="40C0C0"/>
              </w:rPr>
              <w:t>Scott Gordon</w:t>
            </w:r>
          </w:p>
        </w:tc>
        <w:tc>
          <w:tcPr>
            <w:tcW w:w="1440" w:type="dxa"/>
            <w:vAlign w:val="bottom"/>
          </w:tcPr>
          <w:p>
            <w:pPr>
              <w:jc w:val="right"/>
              <w:ind w:right="248"/>
              <w:spacing w:after="0"/>
              <w:rPr>
                <w:sz w:val="20"/>
                <w:szCs w:val="20"/>
                <w:color w:val="auto"/>
              </w:rPr>
            </w:pPr>
            <w:r>
              <w:rPr>
                <w:rFonts w:ascii="Arial" w:cs="Arial" w:eastAsia="Arial" w:hAnsi="Arial"/>
                <w:sz w:val="14"/>
                <w:szCs w:val="14"/>
                <w:color w:val="auto"/>
              </w:rPr>
              <w:t>446,900​</w:t>
            </w:r>
          </w:p>
        </w:tc>
        <w:tc>
          <w:tcPr>
            <w:tcW w:w="10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83"/>
        </w:trPr>
        <w:tc>
          <w:tcPr>
            <w:tcW w:w="80" w:type="dxa"/>
            <w:vAlign w:val="bottom"/>
            <w:tcBorders>
              <w:bottom w:val="single" w:sz="8" w:color="999999"/>
            </w:tcBorders>
          </w:tcPr>
          <w:p>
            <w:pPr>
              <w:spacing w:after="0"/>
              <w:rPr>
                <w:sz w:val="7"/>
                <w:szCs w:val="7"/>
                <w:color w:val="auto"/>
              </w:rPr>
            </w:pPr>
          </w:p>
        </w:tc>
        <w:tc>
          <w:tcPr>
            <w:tcW w:w="1460" w:type="dxa"/>
            <w:vAlign w:val="bottom"/>
            <w:tcBorders>
              <w:bottom w:val="single" w:sz="8" w:color="999999"/>
            </w:tcBorders>
            <w:gridSpan w:val="2"/>
          </w:tcPr>
          <w:p>
            <w:pPr>
              <w:spacing w:after="0"/>
              <w:rPr>
                <w:sz w:val="7"/>
                <w:szCs w:val="7"/>
                <w:color w:val="auto"/>
              </w:rPr>
            </w:pPr>
          </w:p>
        </w:tc>
        <w:tc>
          <w:tcPr>
            <w:tcW w:w="1980" w:type="dxa"/>
            <w:vAlign w:val="bottom"/>
            <w:tcBorders>
              <w:bottom w:val="single" w:sz="8" w:color="999999"/>
            </w:tcBorders>
          </w:tcPr>
          <w:p>
            <w:pPr>
              <w:spacing w:after="0"/>
              <w:rPr>
                <w:sz w:val="7"/>
                <w:szCs w:val="7"/>
                <w:color w:val="auto"/>
              </w:rPr>
            </w:pPr>
          </w:p>
        </w:tc>
        <w:tc>
          <w:tcPr>
            <w:tcW w:w="14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42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580" w:type="dxa"/>
            <w:vAlign w:val="bottom"/>
            <w:tcBorders>
              <w:bottom w:val="single" w:sz="8" w:color="999999"/>
            </w:tcBorders>
          </w:tcPr>
          <w:p>
            <w:pPr>
              <w:spacing w:after="0"/>
              <w:rPr>
                <w:sz w:val="7"/>
                <w:szCs w:val="7"/>
                <w:color w:val="auto"/>
              </w:rPr>
            </w:pPr>
          </w:p>
        </w:tc>
        <w:tc>
          <w:tcPr>
            <w:tcW w:w="44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Arial" w:cs="Arial" w:eastAsia="Arial" w:hAnsi="Arial"/>
                <w:sz w:val="14"/>
                <w:szCs w:val="14"/>
                <w:b w:val="1"/>
                <w:bCs w:val="1"/>
                <w:color w:val="40C0C0"/>
              </w:rPr>
              <w:t>Olga Gonzalez</w:t>
            </w:r>
          </w:p>
        </w:tc>
        <w:tc>
          <w:tcPr>
            <w:tcW w:w="1440" w:type="dxa"/>
            <w:vAlign w:val="bottom"/>
          </w:tcPr>
          <w:p>
            <w:pPr>
              <w:jc w:val="right"/>
              <w:ind w:right="248"/>
              <w:spacing w:after="0"/>
              <w:rPr>
                <w:sz w:val="20"/>
                <w:szCs w:val="20"/>
                <w:color w:val="auto"/>
              </w:rPr>
            </w:pPr>
            <w:r>
              <w:rPr>
                <w:rFonts w:ascii="Arial" w:cs="Arial" w:eastAsia="Arial" w:hAnsi="Arial"/>
                <w:sz w:val="14"/>
                <w:szCs w:val="14"/>
                <w:color w:val="auto"/>
              </w:rPr>
              <w:t>376,820​</w:t>
            </w:r>
          </w:p>
        </w:tc>
        <w:tc>
          <w:tcPr>
            <w:tcW w:w="10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83"/>
        </w:trPr>
        <w:tc>
          <w:tcPr>
            <w:tcW w:w="80" w:type="dxa"/>
            <w:vAlign w:val="bottom"/>
            <w:tcBorders>
              <w:bottom w:val="single" w:sz="8" w:color="999999"/>
            </w:tcBorders>
          </w:tcPr>
          <w:p>
            <w:pPr>
              <w:spacing w:after="0"/>
              <w:rPr>
                <w:sz w:val="7"/>
                <w:szCs w:val="7"/>
                <w:color w:val="auto"/>
              </w:rPr>
            </w:pPr>
          </w:p>
        </w:tc>
        <w:tc>
          <w:tcPr>
            <w:tcW w:w="1460" w:type="dxa"/>
            <w:vAlign w:val="bottom"/>
            <w:tcBorders>
              <w:bottom w:val="single" w:sz="8" w:color="999999"/>
            </w:tcBorders>
            <w:gridSpan w:val="2"/>
          </w:tcPr>
          <w:p>
            <w:pPr>
              <w:spacing w:after="0"/>
              <w:rPr>
                <w:sz w:val="7"/>
                <w:szCs w:val="7"/>
                <w:color w:val="auto"/>
              </w:rPr>
            </w:pPr>
          </w:p>
        </w:tc>
        <w:tc>
          <w:tcPr>
            <w:tcW w:w="1980" w:type="dxa"/>
            <w:vAlign w:val="bottom"/>
            <w:tcBorders>
              <w:bottom w:val="single" w:sz="8" w:color="999999"/>
            </w:tcBorders>
          </w:tcPr>
          <w:p>
            <w:pPr>
              <w:spacing w:after="0"/>
              <w:rPr>
                <w:sz w:val="7"/>
                <w:szCs w:val="7"/>
                <w:color w:val="auto"/>
              </w:rPr>
            </w:pPr>
          </w:p>
        </w:tc>
        <w:tc>
          <w:tcPr>
            <w:tcW w:w="14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42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580" w:type="dxa"/>
            <w:vAlign w:val="bottom"/>
            <w:tcBorders>
              <w:bottom w:val="single" w:sz="8" w:color="999999"/>
            </w:tcBorders>
          </w:tcPr>
          <w:p>
            <w:pPr>
              <w:spacing w:after="0"/>
              <w:rPr>
                <w:sz w:val="7"/>
                <w:szCs w:val="7"/>
                <w:color w:val="auto"/>
              </w:rPr>
            </w:pPr>
          </w:p>
        </w:tc>
        <w:tc>
          <w:tcPr>
            <w:tcW w:w="44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Arial" w:cs="Arial" w:eastAsia="Arial" w:hAnsi="Arial"/>
                <w:sz w:val="14"/>
                <w:szCs w:val="14"/>
                <w:b w:val="1"/>
                <w:bCs w:val="1"/>
                <w:color w:val="40C0C0"/>
              </w:rPr>
              <w:t>Brenda Freeman</w:t>
            </w:r>
          </w:p>
        </w:tc>
        <w:tc>
          <w:tcPr>
            <w:tcW w:w="1440" w:type="dxa"/>
            <w:vAlign w:val="bottom"/>
          </w:tcPr>
          <w:p>
            <w:pPr>
              <w:jc w:val="right"/>
              <w:ind w:right="248"/>
              <w:spacing w:after="0"/>
              <w:rPr>
                <w:sz w:val="20"/>
                <w:szCs w:val="20"/>
                <w:color w:val="auto"/>
              </w:rPr>
            </w:pPr>
            <w:r>
              <w:rPr>
                <w:rFonts w:ascii="Arial" w:cs="Arial" w:eastAsia="Arial" w:hAnsi="Arial"/>
                <w:sz w:val="14"/>
                <w:szCs w:val="14"/>
                <w:color w:val="auto"/>
              </w:rPr>
              <w:t>376,822​</w:t>
            </w:r>
          </w:p>
        </w:tc>
        <w:tc>
          <w:tcPr>
            <w:tcW w:w="10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83"/>
        </w:trPr>
        <w:tc>
          <w:tcPr>
            <w:tcW w:w="80" w:type="dxa"/>
            <w:vAlign w:val="bottom"/>
            <w:tcBorders>
              <w:bottom w:val="single" w:sz="8" w:color="999999"/>
            </w:tcBorders>
          </w:tcPr>
          <w:p>
            <w:pPr>
              <w:spacing w:after="0"/>
              <w:rPr>
                <w:sz w:val="7"/>
                <w:szCs w:val="7"/>
                <w:color w:val="auto"/>
              </w:rPr>
            </w:pPr>
          </w:p>
        </w:tc>
        <w:tc>
          <w:tcPr>
            <w:tcW w:w="1460" w:type="dxa"/>
            <w:vAlign w:val="bottom"/>
            <w:tcBorders>
              <w:bottom w:val="single" w:sz="8" w:color="999999"/>
            </w:tcBorders>
            <w:gridSpan w:val="2"/>
          </w:tcPr>
          <w:p>
            <w:pPr>
              <w:spacing w:after="0"/>
              <w:rPr>
                <w:sz w:val="7"/>
                <w:szCs w:val="7"/>
                <w:color w:val="auto"/>
              </w:rPr>
            </w:pPr>
          </w:p>
        </w:tc>
        <w:tc>
          <w:tcPr>
            <w:tcW w:w="1980" w:type="dxa"/>
            <w:vAlign w:val="bottom"/>
            <w:tcBorders>
              <w:bottom w:val="single" w:sz="8" w:color="999999"/>
            </w:tcBorders>
          </w:tcPr>
          <w:p>
            <w:pPr>
              <w:spacing w:after="0"/>
              <w:rPr>
                <w:sz w:val="7"/>
                <w:szCs w:val="7"/>
                <w:color w:val="auto"/>
              </w:rPr>
            </w:pPr>
          </w:p>
        </w:tc>
        <w:tc>
          <w:tcPr>
            <w:tcW w:w="14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42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580" w:type="dxa"/>
            <w:vAlign w:val="bottom"/>
            <w:tcBorders>
              <w:bottom w:val="single" w:sz="8" w:color="999999"/>
            </w:tcBorders>
          </w:tcPr>
          <w:p>
            <w:pPr>
              <w:spacing w:after="0"/>
              <w:rPr>
                <w:sz w:val="7"/>
                <w:szCs w:val="7"/>
                <w:color w:val="auto"/>
              </w:rPr>
            </w:pPr>
          </w:p>
        </w:tc>
        <w:tc>
          <w:tcPr>
            <w:tcW w:w="44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Arial" w:cs="Arial" w:eastAsia="Arial" w:hAnsi="Arial"/>
                <w:sz w:val="14"/>
                <w:szCs w:val="14"/>
                <w:b w:val="1"/>
                <w:bCs w:val="1"/>
                <w:color w:val="40C0C0"/>
              </w:rPr>
              <w:t>Anthony Bay</w:t>
            </w:r>
          </w:p>
        </w:tc>
        <w:tc>
          <w:tcPr>
            <w:tcW w:w="1440" w:type="dxa"/>
            <w:vAlign w:val="bottom"/>
          </w:tcPr>
          <w:p>
            <w:pPr>
              <w:jc w:val="right"/>
              <w:ind w:right="248"/>
              <w:spacing w:after="0"/>
              <w:rPr>
                <w:sz w:val="20"/>
                <w:szCs w:val="20"/>
                <w:color w:val="auto"/>
              </w:rPr>
            </w:pPr>
            <w:r>
              <w:rPr>
                <w:rFonts w:ascii="Arial" w:cs="Arial" w:eastAsia="Arial" w:hAnsi="Arial"/>
                <w:sz w:val="14"/>
                <w:szCs w:val="14"/>
                <w:color w:val="auto"/>
              </w:rPr>
              <w:t>397,455​</w:t>
            </w:r>
          </w:p>
        </w:tc>
        <w:tc>
          <w:tcPr>
            <w:tcW w:w="10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83"/>
        </w:trPr>
        <w:tc>
          <w:tcPr>
            <w:tcW w:w="80" w:type="dxa"/>
            <w:vAlign w:val="bottom"/>
            <w:tcBorders>
              <w:bottom w:val="single" w:sz="8" w:color="999999"/>
            </w:tcBorders>
          </w:tcPr>
          <w:p>
            <w:pPr>
              <w:spacing w:after="0"/>
              <w:rPr>
                <w:sz w:val="7"/>
                <w:szCs w:val="7"/>
                <w:color w:val="auto"/>
              </w:rPr>
            </w:pPr>
          </w:p>
        </w:tc>
        <w:tc>
          <w:tcPr>
            <w:tcW w:w="1460" w:type="dxa"/>
            <w:vAlign w:val="bottom"/>
            <w:tcBorders>
              <w:bottom w:val="single" w:sz="8" w:color="999999"/>
            </w:tcBorders>
            <w:gridSpan w:val="2"/>
          </w:tcPr>
          <w:p>
            <w:pPr>
              <w:spacing w:after="0"/>
              <w:rPr>
                <w:sz w:val="7"/>
                <w:szCs w:val="7"/>
                <w:color w:val="auto"/>
              </w:rPr>
            </w:pPr>
          </w:p>
        </w:tc>
        <w:tc>
          <w:tcPr>
            <w:tcW w:w="1980" w:type="dxa"/>
            <w:vAlign w:val="bottom"/>
            <w:tcBorders>
              <w:bottom w:val="single" w:sz="8" w:color="999999"/>
            </w:tcBorders>
          </w:tcPr>
          <w:p>
            <w:pPr>
              <w:spacing w:after="0"/>
              <w:rPr>
                <w:sz w:val="7"/>
                <w:szCs w:val="7"/>
                <w:color w:val="auto"/>
              </w:rPr>
            </w:pPr>
          </w:p>
        </w:tc>
        <w:tc>
          <w:tcPr>
            <w:tcW w:w="14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42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580" w:type="dxa"/>
            <w:vAlign w:val="bottom"/>
            <w:tcBorders>
              <w:bottom w:val="single" w:sz="8" w:color="999999"/>
            </w:tcBorders>
          </w:tcPr>
          <w:p>
            <w:pPr>
              <w:spacing w:after="0"/>
              <w:rPr>
                <w:sz w:val="7"/>
                <w:szCs w:val="7"/>
                <w:color w:val="auto"/>
              </w:rPr>
            </w:pPr>
          </w:p>
        </w:tc>
        <w:tc>
          <w:tcPr>
            <w:tcW w:w="44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Arial" w:cs="Arial" w:eastAsia="Arial" w:hAnsi="Arial"/>
                <w:sz w:val="14"/>
                <w:szCs w:val="14"/>
                <w:b w:val="1"/>
                <w:bCs w:val="1"/>
                <w:color w:val="40C0C0"/>
              </w:rPr>
              <w:t>Brian Camire</w:t>
            </w:r>
          </w:p>
        </w:tc>
        <w:tc>
          <w:tcPr>
            <w:tcW w:w="1440" w:type="dxa"/>
            <w:vAlign w:val="bottom"/>
          </w:tcPr>
          <w:p>
            <w:pPr>
              <w:jc w:val="right"/>
              <w:ind w:right="248"/>
              <w:spacing w:after="0"/>
              <w:rPr>
                <w:sz w:val="20"/>
                <w:szCs w:val="20"/>
                <w:color w:val="auto"/>
              </w:rPr>
            </w:pPr>
            <w:r>
              <w:rPr>
                <w:rFonts w:ascii="Arial" w:cs="Arial" w:eastAsia="Arial" w:hAnsi="Arial"/>
                <w:sz w:val="14"/>
                <w:szCs w:val="14"/>
                <w:color w:val="auto"/>
              </w:rPr>
              <w:t>933,065</w:t>
            </w:r>
          </w:p>
        </w:tc>
        <w:tc>
          <w:tcPr>
            <w:tcW w:w="10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83"/>
        </w:trPr>
        <w:tc>
          <w:tcPr>
            <w:tcW w:w="80" w:type="dxa"/>
            <w:vAlign w:val="bottom"/>
            <w:tcBorders>
              <w:bottom w:val="single" w:sz="8" w:color="999999"/>
            </w:tcBorders>
          </w:tcPr>
          <w:p>
            <w:pPr>
              <w:spacing w:after="0"/>
              <w:rPr>
                <w:sz w:val="7"/>
                <w:szCs w:val="7"/>
                <w:color w:val="auto"/>
              </w:rPr>
            </w:pPr>
          </w:p>
        </w:tc>
        <w:tc>
          <w:tcPr>
            <w:tcW w:w="1460" w:type="dxa"/>
            <w:vAlign w:val="bottom"/>
            <w:tcBorders>
              <w:bottom w:val="single" w:sz="8" w:color="999999"/>
            </w:tcBorders>
            <w:gridSpan w:val="2"/>
          </w:tcPr>
          <w:p>
            <w:pPr>
              <w:spacing w:after="0"/>
              <w:rPr>
                <w:sz w:val="7"/>
                <w:szCs w:val="7"/>
                <w:color w:val="auto"/>
              </w:rPr>
            </w:pPr>
          </w:p>
        </w:tc>
        <w:tc>
          <w:tcPr>
            <w:tcW w:w="1980" w:type="dxa"/>
            <w:vAlign w:val="bottom"/>
            <w:tcBorders>
              <w:bottom w:val="single" w:sz="8" w:color="999999"/>
            </w:tcBorders>
          </w:tcPr>
          <w:p>
            <w:pPr>
              <w:spacing w:after="0"/>
              <w:rPr>
                <w:sz w:val="7"/>
                <w:szCs w:val="7"/>
                <w:color w:val="auto"/>
              </w:rPr>
            </w:pPr>
          </w:p>
        </w:tc>
        <w:tc>
          <w:tcPr>
            <w:tcW w:w="14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42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580" w:type="dxa"/>
            <w:vAlign w:val="bottom"/>
            <w:tcBorders>
              <w:bottom w:val="single" w:sz="8" w:color="999999"/>
            </w:tcBorders>
          </w:tcPr>
          <w:p>
            <w:pPr>
              <w:spacing w:after="0"/>
              <w:rPr>
                <w:sz w:val="7"/>
                <w:szCs w:val="7"/>
                <w:color w:val="auto"/>
              </w:rPr>
            </w:pPr>
          </w:p>
        </w:tc>
        <w:tc>
          <w:tcPr>
            <w:tcW w:w="44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Arial" w:cs="Arial" w:eastAsia="Arial" w:hAnsi="Arial"/>
                <w:sz w:val="14"/>
                <w:szCs w:val="14"/>
                <w:b w:val="1"/>
                <w:bCs w:val="1"/>
                <w:color w:val="40C0C0"/>
              </w:rPr>
              <w:t>Glen Ibbott</w:t>
            </w: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168,350</w:t>
            </w:r>
          </w:p>
        </w:tc>
        <w:tc>
          <w:tcPr>
            <w:tcW w:w="10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ind w:left="420"/>
              <w:spacing w:after="0"/>
              <w:rPr>
                <w:sz w:val="20"/>
                <w:szCs w:val="20"/>
                <w:color w:val="auto"/>
              </w:rPr>
            </w:pPr>
            <w:r>
              <w:rPr>
                <w:rFonts w:ascii="Arial" w:cs="Arial" w:eastAsia="Arial" w:hAnsi="Arial"/>
                <w:sz w:val="14"/>
                <w:szCs w:val="14"/>
                <w:color w:val="auto"/>
              </w:rPr>
              <w:t>​</w:t>
            </w:r>
          </w:p>
        </w:tc>
        <w:tc>
          <w:tcPr>
            <w:tcW w:w="44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83"/>
        </w:trPr>
        <w:tc>
          <w:tcPr>
            <w:tcW w:w="80" w:type="dxa"/>
            <w:vAlign w:val="bottom"/>
            <w:tcBorders>
              <w:bottom w:val="single" w:sz="8" w:color="999999"/>
            </w:tcBorders>
          </w:tcPr>
          <w:p>
            <w:pPr>
              <w:spacing w:after="0"/>
              <w:rPr>
                <w:sz w:val="7"/>
                <w:szCs w:val="7"/>
                <w:color w:val="auto"/>
              </w:rPr>
            </w:pPr>
          </w:p>
        </w:tc>
        <w:tc>
          <w:tcPr>
            <w:tcW w:w="620" w:type="dxa"/>
            <w:vAlign w:val="bottom"/>
            <w:tcBorders>
              <w:bottom w:val="single" w:sz="8" w:color="999999"/>
            </w:tcBorders>
          </w:tcPr>
          <w:p>
            <w:pPr>
              <w:spacing w:after="0"/>
              <w:rPr>
                <w:sz w:val="7"/>
                <w:szCs w:val="7"/>
                <w:color w:val="auto"/>
              </w:rPr>
            </w:pPr>
          </w:p>
        </w:tc>
        <w:tc>
          <w:tcPr>
            <w:tcW w:w="840" w:type="dxa"/>
            <w:vAlign w:val="bottom"/>
            <w:tcBorders>
              <w:bottom w:val="single" w:sz="8" w:color="999999"/>
            </w:tcBorders>
          </w:tcPr>
          <w:p>
            <w:pPr>
              <w:spacing w:after="0"/>
              <w:rPr>
                <w:sz w:val="7"/>
                <w:szCs w:val="7"/>
                <w:color w:val="auto"/>
              </w:rPr>
            </w:pPr>
          </w:p>
        </w:tc>
        <w:tc>
          <w:tcPr>
            <w:tcW w:w="1980" w:type="dxa"/>
            <w:vAlign w:val="bottom"/>
            <w:tcBorders>
              <w:bottom w:val="single" w:sz="8" w:color="999999"/>
            </w:tcBorders>
          </w:tcPr>
          <w:p>
            <w:pPr>
              <w:spacing w:after="0"/>
              <w:rPr>
                <w:sz w:val="7"/>
                <w:szCs w:val="7"/>
                <w:color w:val="auto"/>
              </w:rPr>
            </w:pPr>
          </w:p>
        </w:tc>
        <w:tc>
          <w:tcPr>
            <w:tcW w:w="14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42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580" w:type="dxa"/>
            <w:vAlign w:val="bottom"/>
            <w:tcBorders>
              <w:bottom w:val="single" w:sz="8" w:color="999999"/>
            </w:tcBorders>
          </w:tcPr>
          <w:p>
            <w:pPr>
              <w:spacing w:after="0"/>
              <w:rPr>
                <w:sz w:val="7"/>
                <w:szCs w:val="7"/>
                <w:color w:val="auto"/>
              </w:rPr>
            </w:pPr>
          </w:p>
        </w:tc>
        <w:tc>
          <w:tcPr>
            <w:tcW w:w="44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40C0C0"/>
              </w:rPr>
              <w:t>Duncan</w:t>
            </w:r>
            <w:r>
              <w:rPr>
                <w:rFonts w:ascii="Arial" w:cs="Arial" w:eastAsia="Arial" w:hAnsi="Arial"/>
                <w:sz w:val="14"/>
                <w:szCs w:val="14"/>
                <w:color w:val="40C0C0"/>
              </w:rPr>
              <w:t>​</w:t>
            </w:r>
          </w:p>
        </w:tc>
        <w:tc>
          <w:tcPr>
            <w:tcW w:w="2820" w:type="dxa"/>
            <w:vAlign w:val="bottom"/>
            <w:gridSpan w:val="2"/>
          </w:tcPr>
          <w:p>
            <w:pPr>
              <w:ind w:left="20"/>
              <w:spacing w:after="0"/>
              <w:rPr>
                <w:sz w:val="20"/>
                <w:szCs w:val="20"/>
                <w:color w:val="auto"/>
              </w:rPr>
            </w:pPr>
            <w:r>
              <w:rPr>
                <w:rFonts w:ascii="Arial" w:cs="Arial" w:eastAsia="Arial" w:hAnsi="Arial"/>
                <w:sz w:val="14"/>
                <w:szCs w:val="14"/>
                <w:b w:val="1"/>
                <w:bCs w:val="1"/>
                <w:color w:val="40C0C0"/>
              </w:rPr>
              <w:t>Grazier</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80" w:type="dxa"/>
            <w:vAlign w:val="bottom"/>
            <w:tcBorders>
              <w:bottom w:val="single" w:sz="8" w:color="999999"/>
            </w:tcBorders>
          </w:tcPr>
          <w:p>
            <w:pPr>
              <w:spacing w:after="0"/>
              <w:rPr>
                <w:sz w:val="7"/>
                <w:szCs w:val="7"/>
                <w:color w:val="auto"/>
              </w:rPr>
            </w:pPr>
          </w:p>
        </w:tc>
        <w:tc>
          <w:tcPr>
            <w:tcW w:w="1460" w:type="dxa"/>
            <w:vAlign w:val="bottom"/>
            <w:tcBorders>
              <w:bottom w:val="single" w:sz="8" w:color="999999"/>
            </w:tcBorders>
            <w:gridSpan w:val="2"/>
          </w:tcPr>
          <w:p>
            <w:pPr>
              <w:spacing w:after="0"/>
              <w:rPr>
                <w:sz w:val="7"/>
                <w:szCs w:val="7"/>
                <w:color w:val="auto"/>
              </w:rPr>
            </w:pPr>
          </w:p>
        </w:tc>
        <w:tc>
          <w:tcPr>
            <w:tcW w:w="1980" w:type="dxa"/>
            <w:vAlign w:val="bottom"/>
            <w:tcBorders>
              <w:bottom w:val="single" w:sz="8" w:color="999999"/>
            </w:tcBorders>
          </w:tcPr>
          <w:p>
            <w:pPr>
              <w:spacing w:after="0"/>
              <w:rPr>
                <w:sz w:val="7"/>
                <w:szCs w:val="7"/>
                <w:color w:val="auto"/>
              </w:rPr>
            </w:pPr>
          </w:p>
        </w:tc>
        <w:tc>
          <w:tcPr>
            <w:tcW w:w="144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42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580" w:type="dxa"/>
            <w:vAlign w:val="bottom"/>
            <w:tcBorders>
              <w:bottom w:val="single" w:sz="8" w:color="999999"/>
            </w:tcBorders>
          </w:tcPr>
          <w:p>
            <w:pPr>
              <w:spacing w:after="0"/>
              <w:rPr>
                <w:sz w:val="7"/>
                <w:szCs w:val="7"/>
                <w:color w:val="auto"/>
              </w:rPr>
            </w:pPr>
          </w:p>
        </w:tc>
        <w:tc>
          <w:tcPr>
            <w:tcW w:w="44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Arial" w:cs="Arial" w:eastAsia="Arial" w:hAnsi="Arial"/>
                <w:sz w:val="14"/>
                <w:szCs w:val="14"/>
                <w:b w:val="1"/>
                <w:bCs w:val="1"/>
                <w:color w:val="40C0C0"/>
              </w:rPr>
              <w:t>Susan Echard</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2"/>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3440" w:type="dxa"/>
            <w:vAlign w:val="bottom"/>
            <w:gridSpan w:val="3"/>
          </w:tcPr>
          <w:p>
            <w:pPr>
              <w:ind w:left="80"/>
              <w:spacing w:after="0"/>
              <w:rPr>
                <w:sz w:val="20"/>
                <w:szCs w:val="20"/>
                <w:color w:val="auto"/>
              </w:rPr>
            </w:pPr>
            <w:r>
              <w:rPr>
                <w:rFonts w:ascii="Arial" w:cs="Arial" w:eastAsia="Arial" w:hAnsi="Arial"/>
                <w:sz w:val="14"/>
                <w:szCs w:val="14"/>
                <w:b w:val="1"/>
                <w:bCs w:val="1"/>
                <w:color w:val="auto"/>
              </w:rPr>
              <w:t>All Directors and Current Executive Officers of</w:t>
            </w:r>
          </w:p>
        </w:tc>
        <w:tc>
          <w:tcPr>
            <w:tcW w:w="1440" w:type="dxa"/>
            <w:vAlign w:val="bottom"/>
            <w:vMerge w:val="restart"/>
          </w:tcPr>
          <w:p>
            <w:pPr>
              <w:jc w:val="right"/>
              <w:ind w:right="248"/>
              <w:spacing w:after="0"/>
              <w:rPr>
                <w:sz w:val="20"/>
                <w:szCs w:val="20"/>
                <w:color w:val="auto"/>
              </w:rPr>
            </w:pPr>
            <w:r>
              <w:rPr>
                <w:rFonts w:ascii="Arial" w:cs="Arial" w:eastAsia="Arial" w:hAnsi="Arial"/>
                <w:sz w:val="14"/>
                <w:szCs w:val="14"/>
                <w:color w:val="auto"/>
              </w:rPr>
              <w:t>13,519,500​</w:t>
            </w:r>
          </w:p>
        </w:tc>
        <w:tc>
          <w:tcPr>
            <w:tcW w:w="1000" w:type="dxa"/>
            <w:vAlign w:val="bottom"/>
            <w:vMerge w:val="restart"/>
          </w:tcPr>
          <w:p>
            <w:pPr>
              <w:jc w:val="right"/>
              <w:ind w:right="192"/>
              <w:spacing w:after="0"/>
              <w:rPr>
                <w:sz w:val="20"/>
                <w:szCs w:val="20"/>
                <w:color w:val="auto"/>
              </w:rPr>
            </w:pPr>
            <w:r>
              <w:rPr>
                <w:rFonts w:ascii="Arial" w:cs="Arial" w:eastAsia="Arial" w:hAnsi="Arial"/>
                <w:sz w:val="14"/>
                <w:szCs w:val="14"/>
                <w:color w:val="auto"/>
              </w:rPr>
              <w:t>​12.6%</w:t>
            </w:r>
          </w:p>
        </w:tc>
        <w:tc>
          <w:tcPr>
            <w:tcW w:w="1420" w:type="dxa"/>
            <w:vAlign w:val="bottom"/>
            <w:vMerge w:val="restart"/>
          </w:tcPr>
          <w:p>
            <w:pPr>
              <w:jc w:val="right"/>
              <w:ind w:right="228"/>
              <w:spacing w:after="0"/>
              <w:rPr>
                <w:sz w:val="20"/>
                <w:szCs w:val="20"/>
                <w:color w:val="auto"/>
              </w:rPr>
            </w:pPr>
            <w:r>
              <w:rPr>
                <w:rFonts w:ascii="Arial" w:cs="Arial" w:eastAsia="Arial" w:hAnsi="Arial"/>
                <w:sz w:val="14"/>
                <w:szCs w:val="14"/>
                <w:color w:val="auto"/>
              </w:rPr>
              <w:t>22,970,182</w:t>
            </w: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color w:val="auto"/>
              </w:rPr>
              <w:t>46.6%</w:t>
            </w:r>
          </w:p>
        </w:tc>
        <w:tc>
          <w:tcPr>
            <w:tcW w:w="580" w:type="dxa"/>
            <w:vAlign w:val="bottom"/>
            <w:vMerge w:val="restart"/>
          </w:tcPr>
          <w:p>
            <w:pPr>
              <w:ind w:left="420"/>
              <w:spacing w:after="0"/>
              <w:rPr>
                <w:sz w:val="20"/>
                <w:szCs w:val="20"/>
                <w:color w:val="auto"/>
              </w:rPr>
            </w:pPr>
            <w:r>
              <w:rPr>
                <w:rFonts w:ascii="Arial" w:cs="Arial" w:eastAsia="Arial" w:hAnsi="Arial"/>
                <w:sz w:val="14"/>
                <w:szCs w:val="14"/>
                <w:color w:val="auto"/>
                <w:w w:val="89"/>
              </w:rPr>
              <w:t>23​</w:t>
            </w:r>
          </w:p>
        </w:tc>
        <w:tc>
          <w:tcPr>
            <w:tcW w:w="440" w:type="dxa"/>
            <w:vAlign w:val="bottom"/>
            <w:vMerge w:val="restart"/>
          </w:tcPr>
          <w:p>
            <w:pPr>
              <w:jc w:val="right"/>
              <w:ind w:right="128"/>
              <w:spacing w:after="0"/>
              <w:rPr>
                <w:sz w:val="20"/>
                <w:szCs w:val="20"/>
                <w:color w:val="auto"/>
              </w:rPr>
            </w:pPr>
            <w:r>
              <w:rPr>
                <w:rFonts w:ascii="Arial" w:cs="Arial" w:eastAsia="Arial" w:hAnsi="Arial"/>
                <w:sz w:val="14"/>
                <w:szCs w:val="14"/>
                <w:color w:val="auto"/>
                <w:w w:val="90"/>
              </w:rPr>
              <w:t>.3%</w:t>
            </w: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3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the Company as a Group (10 Individuals)</w:t>
            </w:r>
            <w:r>
              <w:rPr>
                <w:rFonts w:ascii="Arial" w:cs="Arial" w:eastAsia="Arial" w:hAnsi="Arial"/>
                <w:sz w:val="23"/>
                <w:szCs w:val="23"/>
                <w:b w:val="1"/>
                <w:bCs w:val="1"/>
                <w:color w:val="auto"/>
                <w:vertAlign w:val="superscript"/>
              </w:rPr>
              <w:t>(7)</w:t>
            </w:r>
          </w:p>
        </w:tc>
        <w:tc>
          <w:tcPr>
            <w:tcW w:w="14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3"/>
            <w:vMerge w:val="continue"/>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Arial" w:cs="Arial" w:eastAsia="Arial" w:hAnsi="Arial"/>
                <w:sz w:val="14"/>
                <w:szCs w:val="14"/>
                <w:b w:val="1"/>
                <w:bCs w:val="1"/>
                <w:color w:val="auto"/>
              </w:rPr>
              <w:t>Five Percent Holders:</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2"/>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399"/>
        </w:trPr>
        <w:tc>
          <w:tcPr>
            <w:tcW w:w="80" w:type="dxa"/>
            <w:vAlign w:val="bottom"/>
            <w:tcBorders>
              <w:bottom w:val="single" w:sz="8" w:color="999999"/>
            </w:tcBorders>
          </w:tcPr>
          <w:p>
            <w:pPr>
              <w:spacing w:after="0"/>
              <w:rPr>
                <w:sz w:val="24"/>
                <w:szCs w:val="24"/>
                <w:color w:val="auto"/>
              </w:rPr>
            </w:pPr>
          </w:p>
        </w:tc>
        <w:tc>
          <w:tcPr>
            <w:tcW w:w="3440" w:type="dxa"/>
            <w:vAlign w:val="bottom"/>
            <w:tcBorders>
              <w:bottom w:val="single" w:sz="8" w:color="999999"/>
            </w:tcBorders>
            <w:gridSpan w:val="3"/>
          </w:tcPr>
          <w:p>
            <w:pPr>
              <w:ind w:left="80"/>
              <w:spacing w:after="0"/>
              <w:rPr>
                <w:sz w:val="20"/>
                <w:szCs w:val="20"/>
                <w:color w:val="auto"/>
              </w:rPr>
            </w:pPr>
            <w:r>
              <w:rPr>
                <w:rFonts w:ascii="Arial" w:cs="Arial" w:eastAsia="Arial" w:hAnsi="Arial"/>
                <w:sz w:val="14"/>
                <w:szCs w:val="14"/>
                <w:b w:val="1"/>
                <w:bCs w:val="1"/>
                <w:color w:val="40C0C0"/>
              </w:rPr>
              <w:t>Ghost Media Group, LLC</w:t>
            </w:r>
            <w:r>
              <w:rPr>
                <w:rFonts w:ascii="Arial" w:cs="Arial" w:eastAsia="Arial" w:hAnsi="Arial"/>
                <w:sz w:val="23"/>
                <w:szCs w:val="23"/>
                <w:b w:val="1"/>
                <w:bCs w:val="1"/>
                <w:color w:val="40C0C0"/>
                <w:vertAlign w:val="superscript"/>
              </w:rPr>
              <w:t>(5)(6)</w:t>
            </w:r>
          </w:p>
        </w:tc>
        <w:tc>
          <w:tcPr>
            <w:tcW w:w="1440" w:type="dxa"/>
            <w:vAlign w:val="bottom"/>
            <w:tcBorders>
              <w:bottom w:val="single" w:sz="8" w:color="999999"/>
            </w:tcBorders>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99999"/>
            </w:tcBorders>
          </w:tcPr>
          <w:p>
            <w:pPr>
              <w:jc w:val="right"/>
              <w:ind w:right="172"/>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999999"/>
            </w:tcBorders>
          </w:tcPr>
          <w:p>
            <w:pPr>
              <w:jc w:val="right"/>
              <w:ind w:right="228"/>
              <w:spacing w:after="0"/>
              <w:rPr>
                <w:sz w:val="20"/>
                <w:szCs w:val="20"/>
                <w:color w:val="auto"/>
              </w:rPr>
            </w:pPr>
            <w:r>
              <w:rPr>
                <w:rFonts w:ascii="Arial" w:cs="Arial" w:eastAsia="Arial" w:hAnsi="Arial"/>
                <w:sz w:val="14"/>
                <w:szCs w:val="14"/>
                <w:color w:val="auto"/>
              </w:rPr>
              <w:t>8,469,191</w:t>
            </w:r>
          </w:p>
        </w:tc>
        <w:tc>
          <w:tcPr>
            <w:tcW w:w="1000" w:type="dxa"/>
            <w:vAlign w:val="bottom"/>
            <w:tcBorders>
              <w:bottom w:val="single" w:sz="8" w:color="999999"/>
            </w:tcBorders>
          </w:tcPr>
          <w:p>
            <w:pPr>
              <w:jc w:val="right"/>
              <w:ind w:right="188"/>
              <w:spacing w:after="0"/>
              <w:rPr>
                <w:sz w:val="20"/>
                <w:szCs w:val="20"/>
                <w:color w:val="auto"/>
              </w:rPr>
            </w:pPr>
            <w:r>
              <w:rPr>
                <w:rFonts w:ascii="Arial" w:cs="Arial" w:eastAsia="Arial" w:hAnsi="Arial"/>
                <w:sz w:val="14"/>
                <w:szCs w:val="14"/>
                <w:color w:val="auto"/>
              </w:rPr>
              <w:t>17.2%</w:t>
            </w:r>
          </w:p>
        </w:tc>
        <w:tc>
          <w:tcPr>
            <w:tcW w:w="1020" w:type="dxa"/>
            <w:vAlign w:val="bottom"/>
            <w:tcBorders>
              <w:bottom w:val="single" w:sz="8" w:color="999999"/>
            </w:tcBorders>
            <w:gridSpan w:val="2"/>
          </w:tcPr>
          <w:p>
            <w:pPr>
              <w:jc w:val="right"/>
              <w:ind w:right="1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398"/>
        </w:trPr>
        <w:tc>
          <w:tcPr>
            <w:tcW w:w="80" w:type="dxa"/>
            <w:vAlign w:val="bottom"/>
            <w:tcBorders>
              <w:bottom w:val="single" w:sz="8" w:color="999999"/>
            </w:tcBorders>
          </w:tcPr>
          <w:p>
            <w:pPr>
              <w:spacing w:after="0"/>
              <w:rPr>
                <w:sz w:val="24"/>
                <w:szCs w:val="24"/>
                <w:color w:val="auto"/>
              </w:rPr>
            </w:pPr>
          </w:p>
        </w:tc>
        <w:tc>
          <w:tcPr>
            <w:tcW w:w="3440" w:type="dxa"/>
            <w:vAlign w:val="bottom"/>
            <w:tcBorders>
              <w:bottom w:val="single" w:sz="8" w:color="999999"/>
            </w:tcBorders>
            <w:gridSpan w:val="3"/>
          </w:tcPr>
          <w:p>
            <w:pPr>
              <w:ind w:left="80"/>
              <w:spacing w:after="0"/>
              <w:rPr>
                <w:sz w:val="20"/>
                <w:szCs w:val="20"/>
                <w:color w:val="auto"/>
              </w:rPr>
            </w:pPr>
            <w:r>
              <w:rPr>
                <w:rFonts w:ascii="Arial" w:cs="Arial" w:eastAsia="Arial" w:hAnsi="Arial"/>
                <w:sz w:val="14"/>
                <w:szCs w:val="14"/>
                <w:b w:val="1"/>
                <w:bCs w:val="1"/>
                <w:color w:val="40C0C0"/>
              </w:rPr>
              <w:t>Morgan Stanley</w:t>
            </w:r>
            <w:r>
              <w:rPr>
                <w:rFonts w:ascii="Arial" w:cs="Arial" w:eastAsia="Arial" w:hAnsi="Arial"/>
                <w:sz w:val="23"/>
                <w:szCs w:val="23"/>
                <w:b w:val="1"/>
                <w:bCs w:val="1"/>
                <w:color w:val="40C0C0"/>
                <w:vertAlign w:val="superscript"/>
              </w:rPr>
              <w:t>(8)</w:t>
            </w:r>
          </w:p>
        </w:tc>
        <w:tc>
          <w:tcPr>
            <w:tcW w:w="1440" w:type="dxa"/>
            <w:vAlign w:val="bottom"/>
            <w:tcBorders>
              <w:bottom w:val="single" w:sz="8" w:color="999999"/>
            </w:tcBorders>
          </w:tcPr>
          <w:p>
            <w:pPr>
              <w:jc w:val="right"/>
              <w:ind w:right="248"/>
              <w:spacing w:after="0"/>
              <w:rPr>
                <w:sz w:val="20"/>
                <w:szCs w:val="20"/>
                <w:color w:val="auto"/>
              </w:rPr>
            </w:pPr>
            <w:r>
              <w:rPr>
                <w:rFonts w:ascii="Arial" w:cs="Arial" w:eastAsia="Arial" w:hAnsi="Arial"/>
                <w:sz w:val="14"/>
                <w:szCs w:val="14"/>
                <w:color w:val="auto"/>
              </w:rPr>
              <w:t>6,016,658</w:t>
            </w:r>
          </w:p>
        </w:tc>
        <w:tc>
          <w:tcPr>
            <w:tcW w:w="1000" w:type="dxa"/>
            <w:vAlign w:val="bottom"/>
            <w:tcBorders>
              <w:bottom w:val="single" w:sz="8" w:color="999999"/>
            </w:tcBorders>
          </w:tcPr>
          <w:p>
            <w:pPr>
              <w:jc w:val="right"/>
              <w:ind w:right="192"/>
              <w:spacing w:after="0"/>
              <w:rPr>
                <w:sz w:val="20"/>
                <w:szCs w:val="20"/>
                <w:color w:val="auto"/>
              </w:rPr>
            </w:pPr>
            <w:r>
              <w:rPr>
                <w:rFonts w:ascii="Arial" w:cs="Arial" w:eastAsia="Arial" w:hAnsi="Arial"/>
                <w:sz w:val="14"/>
                <w:szCs w:val="14"/>
                <w:color w:val="auto"/>
              </w:rPr>
              <w:t>5.7%</w:t>
            </w:r>
          </w:p>
        </w:tc>
        <w:tc>
          <w:tcPr>
            <w:tcW w:w="1420" w:type="dxa"/>
            <w:vAlign w:val="bottom"/>
            <w:tcBorders>
              <w:bottom w:val="single" w:sz="8" w:color="999999"/>
            </w:tcBorders>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99999"/>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99999"/>
            </w:tcBorders>
            <w:gridSpan w:val="2"/>
          </w:tcPr>
          <w:p>
            <w:pPr>
              <w:jc w:val="right"/>
              <w:ind w:right="1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385"/>
        </w:trPr>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40C0C0"/>
              </w:rPr>
              <w:t>Justin Hartfield</w:t>
            </w:r>
            <w:r>
              <w:rPr>
                <w:rFonts w:ascii="Arial" w:cs="Arial" w:eastAsia="Arial" w:hAnsi="Arial"/>
                <w:sz w:val="23"/>
                <w:szCs w:val="23"/>
                <w:b w:val="1"/>
                <w:bCs w:val="1"/>
                <w:color w:val="40C0C0"/>
                <w:vertAlign w:val="superscript"/>
              </w:rPr>
              <w:t>(6)</w:t>
            </w:r>
          </w:p>
        </w:tc>
        <w:tc>
          <w:tcPr>
            <w:tcW w:w="1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61,679</w:t>
            </w: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0.1%</w:t>
            </w: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29,318,217</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59.4%</w:t>
            </w:r>
          </w:p>
        </w:tc>
        <w:tc>
          <w:tcPr>
            <w:tcW w:w="102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4"/>
        <w:spacing w:after="0"/>
        <w:tabs>
          <w:tab w:leader="none" w:pos="24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Represents beneficial ownership of less than 1%.</w:t>
      </w:r>
    </w:p>
    <w:p>
      <w:pPr>
        <w:spacing w:after="0" w:line="53" w:lineRule="exact"/>
        <w:rPr>
          <w:sz w:val="20"/>
          <w:szCs w:val="20"/>
          <w:color w:val="auto"/>
        </w:rPr>
      </w:pPr>
    </w:p>
    <w:p>
      <w:pPr>
        <w:ind w:left="240" w:hanging="234"/>
        <w:spacing w:after="0"/>
        <w:tabs>
          <w:tab w:leader="none" w:pos="24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Unless otherwise noted, the business address of each of the following entities or individuals is 41 Discovery, Irvine, California 92618.</w:t>
      </w:r>
    </w:p>
    <w:p>
      <w:pPr>
        <w:spacing w:after="0" w:line="53" w:lineRule="exact"/>
        <w:rPr>
          <w:rFonts w:ascii="Arial" w:cs="Arial" w:eastAsia="Arial" w:hAnsi="Arial"/>
          <w:sz w:val="13"/>
          <w:szCs w:val="13"/>
          <w:b w:val="1"/>
          <w:bCs w:val="1"/>
          <w:color w:val="auto"/>
        </w:rPr>
      </w:pPr>
    </w:p>
    <w:p>
      <w:pPr>
        <w:ind w:left="240" w:right="40" w:hanging="234"/>
        <w:spacing w:after="0" w:line="231" w:lineRule="auto"/>
        <w:tabs>
          <w:tab w:leader="none" w:pos="24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w:t>
      </w:r>
    </w:p>
    <w:p>
      <w:pPr>
        <w:spacing w:after="0" w:line="45" w:lineRule="exact"/>
        <w:rPr>
          <w:rFonts w:ascii="Arial" w:cs="Arial" w:eastAsia="Arial" w:hAnsi="Arial"/>
          <w:sz w:val="13"/>
          <w:szCs w:val="13"/>
          <w:b w:val="1"/>
          <w:bCs w:val="1"/>
          <w:color w:val="auto"/>
        </w:rPr>
      </w:pPr>
    </w:p>
    <w:p>
      <w:pPr>
        <w:ind w:left="240" w:hanging="234"/>
        <w:spacing w:after="0"/>
        <w:tabs>
          <w:tab w:leader="none" w:pos="24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Represents percentage of voting power of the holders of Class A Common Stock and Class V Common Stock voting together as a single class.</w:t>
      </w:r>
    </w:p>
    <w:p>
      <w:pPr>
        <w:spacing w:after="0" w:line="53" w:lineRule="exact"/>
        <w:rPr>
          <w:rFonts w:ascii="Arial" w:cs="Arial" w:eastAsia="Arial" w:hAnsi="Arial"/>
          <w:sz w:val="13"/>
          <w:szCs w:val="13"/>
          <w:b w:val="1"/>
          <w:bCs w:val="1"/>
          <w:color w:val="auto"/>
        </w:rPr>
      </w:pPr>
    </w:p>
    <w:p>
      <w:pPr>
        <w:ind w:left="240" w:right="20" w:hanging="234"/>
        <w:spacing w:after="0" w:line="225" w:lineRule="auto"/>
        <w:tabs>
          <w:tab w:leader="none" w:pos="24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Includes 3,600,000 shares in the aggregate of shares of Class A Common Stock held by AFV Partners SPV-5 (WM) LLC (“AFV 5”), AFV Partners SPV-6 (WM) LLC (“AFV 6”) and three family trusts (the “Trusts”) upon the completion of the business combination pursuant to the PIPE subscription financing. Mr. Aquila is the Chairman and CEO of AFV Management Advisors LLC, which exercises ultimate voting and investment power with respect to the shares held by AFV 5 and AFV 6 and a co-trustee of each of the Trusts and as such may be deemed to hold voting and dispositive power with respect to the shares held in the aggregate by such Trusts. It also includes 1,704,011 shares of Class A Common Stock that Mr. Aquila personally holds, which include 156,250 shares of underlying restricted stock units that vest on June 21, 2025. The business address of the reporting person is 2126 Hamilton Road Suite 260, Argyle, TX 76226.</w:t>
      </w:r>
    </w:p>
    <w:p>
      <w:pPr>
        <w:spacing w:after="0" w:line="31" w:lineRule="exact"/>
        <w:rPr>
          <w:rFonts w:ascii="Arial" w:cs="Arial" w:eastAsia="Arial" w:hAnsi="Arial"/>
          <w:sz w:val="13"/>
          <w:szCs w:val="13"/>
          <w:b w:val="1"/>
          <w:bCs w:val="1"/>
          <w:color w:val="auto"/>
        </w:rPr>
      </w:pPr>
    </w:p>
    <w:p>
      <w:pPr>
        <w:ind w:left="240" w:right="80" w:hanging="234"/>
        <w:spacing w:after="0" w:line="225" w:lineRule="auto"/>
        <w:tabs>
          <w:tab w:leader="none" w:pos="24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The number of Class V Common Stock beneficially owned includes 3,740,393 shares of Class V Common Stock held by Mr. Francis, 8,691,425 shares of Class V Common Stock held by Rebecca Francis Legacy Trust,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 The 5,516,077 shares of Class A Common Stock held by Mr. Francis include 361,865 shares of underlying restricted stock units (“RSUs”) that vest within 60 days of April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59664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40" w:right="20" w:hanging="234"/>
        <w:spacing w:after="0" w:line="231" w:lineRule="auto"/>
        <w:tabs>
          <w:tab w:leader="none" w:pos="24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31" w:lineRule="exact"/>
        <w:rPr>
          <w:rFonts w:ascii="Arial" w:cs="Arial" w:eastAsia="Arial" w:hAnsi="Arial"/>
          <w:sz w:val="13"/>
          <w:szCs w:val="13"/>
          <w:b w:val="1"/>
          <w:bCs w:val="1"/>
          <w:color w:val="auto"/>
        </w:rPr>
      </w:pPr>
    </w:p>
    <w:p>
      <w:pPr>
        <w:ind w:left="240" w:right="40" w:hanging="234"/>
        <w:spacing w:after="0" w:line="252" w:lineRule="auto"/>
        <w:tabs>
          <w:tab w:leader="none" w:pos="24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Class A Common shares consist of (i) 11,436,893 shares held of record by our current executive officers and directors, and (ii) 2,082,607 shares issuable upon the vesting of RSUs within 60 days of April 21, 2025.</w:t>
      </w:r>
    </w:p>
    <w:p>
      <w:pPr>
        <w:spacing w:after="0" w:line="23" w:lineRule="exact"/>
        <w:rPr>
          <w:rFonts w:ascii="Arial" w:cs="Arial" w:eastAsia="Arial" w:hAnsi="Arial"/>
          <w:sz w:val="13"/>
          <w:szCs w:val="13"/>
          <w:b w:val="1"/>
          <w:bCs w:val="1"/>
          <w:color w:val="auto"/>
        </w:rPr>
      </w:pPr>
    </w:p>
    <w:p>
      <w:pPr>
        <w:ind w:left="240" w:right="100" w:hanging="234"/>
        <w:spacing w:after="0" w:line="252" w:lineRule="auto"/>
        <w:tabs>
          <w:tab w:leader="none" w:pos="24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Based solely on information obtained from a Schedule 13G filed by Morgan Stanley on February 9, 2024, includes 6,016,658 shares of Class A Common stock. The business address of the reporting person is 1585 Broadway, New York, NY 10036.</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Equity Compensation Plan</w:t>
      </w:r>
    </w:p>
    <w:p>
      <w:pPr>
        <w:spacing w:after="0" w:line="16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following table summarizes information about our equity compensation plans as of December 31, 2024. Information is included for equity compensation plans approved by our stockholders. We do not have any non-stockholder approved equity compensation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120" w:type="dxa"/>
            <w:vAlign w:val="bottom"/>
            <w:shd w:val="clear" w:color="auto" w:fill="000000"/>
          </w:tcPr>
          <w:p>
            <w:pPr>
              <w:spacing w:after="0"/>
              <w:rPr>
                <w:sz w:val="24"/>
                <w:szCs w:val="24"/>
                <w:color w:val="auto"/>
              </w:rPr>
            </w:pPr>
          </w:p>
        </w:tc>
        <w:tc>
          <w:tcPr>
            <w:tcW w:w="1180" w:type="dxa"/>
            <w:vAlign w:val="bottom"/>
            <w:shd w:val="clear" w:color="auto" w:fill="000000"/>
          </w:tcPr>
          <w:p>
            <w:pPr>
              <w:spacing w:after="0"/>
              <w:rPr>
                <w:sz w:val="24"/>
                <w:szCs w:val="24"/>
                <w:color w:val="auto"/>
              </w:rPr>
            </w:pPr>
          </w:p>
        </w:tc>
        <w:tc>
          <w:tcPr>
            <w:tcW w:w="264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148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Number of</w:t>
            </w:r>
          </w:p>
        </w:tc>
        <w:tc>
          <w:tcPr>
            <w:tcW w:w="1920" w:type="dxa"/>
            <w:vAlign w:val="bottom"/>
            <w:shd w:val="clear" w:color="auto" w:fill="000000"/>
          </w:tcPr>
          <w:p>
            <w:pPr>
              <w:spacing w:after="0"/>
              <w:rPr>
                <w:sz w:val="24"/>
                <w:szCs w:val="24"/>
                <w:color w:val="auto"/>
              </w:rPr>
            </w:pPr>
          </w:p>
        </w:tc>
        <w:tc>
          <w:tcPr>
            <w:tcW w:w="90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000000"/>
          </w:tcPr>
          <w:p>
            <w:pPr>
              <w:spacing w:after="0"/>
              <w:rPr>
                <w:sz w:val="14"/>
                <w:szCs w:val="14"/>
                <w:color w:val="auto"/>
              </w:rPr>
            </w:pPr>
          </w:p>
        </w:tc>
        <w:tc>
          <w:tcPr>
            <w:tcW w:w="1180" w:type="dxa"/>
            <w:vAlign w:val="bottom"/>
            <w:shd w:val="clear" w:color="auto" w:fill="000000"/>
          </w:tcPr>
          <w:p>
            <w:pPr>
              <w:spacing w:after="0"/>
              <w:rPr>
                <w:sz w:val="14"/>
                <w:szCs w:val="14"/>
                <w:color w:val="auto"/>
              </w:rPr>
            </w:pPr>
          </w:p>
        </w:tc>
        <w:tc>
          <w:tcPr>
            <w:tcW w:w="264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48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shares</w:t>
            </w:r>
          </w:p>
        </w:tc>
        <w:tc>
          <w:tcPr>
            <w:tcW w:w="1920" w:type="dxa"/>
            <w:vAlign w:val="bottom"/>
            <w:shd w:val="clear" w:color="auto" w:fill="000000"/>
          </w:tcPr>
          <w:p>
            <w:pPr>
              <w:spacing w:after="0"/>
              <w:rPr>
                <w:sz w:val="14"/>
                <w:szCs w:val="14"/>
                <w:color w:val="auto"/>
              </w:rPr>
            </w:pPr>
          </w:p>
        </w:tc>
        <w:tc>
          <w:tcPr>
            <w:tcW w:w="192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Number of shares</w:t>
            </w:r>
          </w:p>
        </w:tc>
        <w:tc>
          <w:tcPr>
            <w:tcW w:w="0" w:type="dxa"/>
            <w:vAlign w:val="bottom"/>
          </w:tcPr>
          <w:p>
            <w:pPr>
              <w:spacing w:after="0"/>
              <w:rPr>
                <w:sz w:val="1"/>
                <w:szCs w:val="1"/>
                <w:color w:val="auto"/>
              </w:rPr>
            </w:pPr>
          </w:p>
        </w:tc>
      </w:tr>
      <w:tr>
        <w:trPr>
          <w:trHeight w:val="162"/>
        </w:trPr>
        <w:tc>
          <w:tcPr>
            <w:tcW w:w="120" w:type="dxa"/>
            <w:vAlign w:val="bottom"/>
            <w:shd w:val="clear" w:color="auto" w:fill="000000"/>
          </w:tcPr>
          <w:p>
            <w:pPr>
              <w:spacing w:after="0"/>
              <w:rPr>
                <w:sz w:val="14"/>
                <w:szCs w:val="14"/>
                <w:color w:val="auto"/>
              </w:rPr>
            </w:pPr>
          </w:p>
        </w:tc>
        <w:tc>
          <w:tcPr>
            <w:tcW w:w="1180" w:type="dxa"/>
            <w:vAlign w:val="bottom"/>
            <w:shd w:val="clear" w:color="auto" w:fill="000000"/>
          </w:tcPr>
          <w:p>
            <w:pPr>
              <w:spacing w:after="0"/>
              <w:rPr>
                <w:sz w:val="14"/>
                <w:szCs w:val="14"/>
                <w:color w:val="auto"/>
              </w:rPr>
            </w:pPr>
          </w:p>
        </w:tc>
        <w:tc>
          <w:tcPr>
            <w:tcW w:w="264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48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to be issued</w:t>
            </w:r>
          </w:p>
        </w:tc>
        <w:tc>
          <w:tcPr>
            <w:tcW w:w="1920" w:type="dxa"/>
            <w:vAlign w:val="bottom"/>
            <w:vMerge w:val="restart"/>
            <w:shd w:val="clear" w:color="auto" w:fill="000000"/>
          </w:tcPr>
          <w:p>
            <w:pPr>
              <w:ind w:left="160"/>
              <w:spacing w:after="0"/>
              <w:rPr>
                <w:sz w:val="20"/>
                <w:szCs w:val="20"/>
                <w:color w:val="auto"/>
              </w:rPr>
            </w:pPr>
            <w:r>
              <w:rPr>
                <w:rFonts w:ascii="Arial" w:cs="Arial" w:eastAsia="Arial" w:hAnsi="Arial"/>
                <w:sz w:val="14"/>
                <w:szCs w:val="14"/>
                <w:b w:val="1"/>
                <w:bCs w:val="1"/>
                <w:color w:val="FFFFFF"/>
              </w:rPr>
              <w:t>Weighted-</w:t>
            </w:r>
          </w:p>
        </w:tc>
        <w:tc>
          <w:tcPr>
            <w:tcW w:w="192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44"/>
        </w:trPr>
        <w:tc>
          <w:tcPr>
            <w:tcW w:w="120" w:type="dxa"/>
            <w:vAlign w:val="bottom"/>
            <w:shd w:val="clear" w:color="auto" w:fill="000000"/>
          </w:tcPr>
          <w:p>
            <w:pPr>
              <w:spacing w:after="0"/>
              <w:rPr>
                <w:sz w:val="12"/>
                <w:szCs w:val="12"/>
                <w:color w:val="auto"/>
              </w:rPr>
            </w:pPr>
          </w:p>
        </w:tc>
        <w:tc>
          <w:tcPr>
            <w:tcW w:w="1180" w:type="dxa"/>
            <w:vAlign w:val="bottom"/>
            <w:shd w:val="clear" w:color="auto" w:fill="000000"/>
          </w:tcPr>
          <w:p>
            <w:pPr>
              <w:spacing w:after="0"/>
              <w:rPr>
                <w:sz w:val="12"/>
                <w:szCs w:val="12"/>
                <w:color w:val="auto"/>
              </w:rPr>
            </w:pPr>
          </w:p>
        </w:tc>
        <w:tc>
          <w:tcPr>
            <w:tcW w:w="264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480" w:type="dxa"/>
            <w:vAlign w:val="bottom"/>
            <w:gridSpan w:val="3"/>
            <w:shd w:val="clear" w:color="auto" w:fill="000000"/>
          </w:tcPr>
          <w:p>
            <w:pPr>
              <w:ind w:left="160"/>
              <w:spacing w:after="0" w:line="145" w:lineRule="exact"/>
              <w:rPr>
                <w:sz w:val="20"/>
                <w:szCs w:val="20"/>
                <w:color w:val="auto"/>
              </w:rPr>
            </w:pPr>
            <w:r>
              <w:rPr>
                <w:rFonts w:ascii="Arial" w:cs="Arial" w:eastAsia="Arial" w:hAnsi="Arial"/>
                <w:sz w:val="14"/>
                <w:szCs w:val="14"/>
                <w:b w:val="1"/>
                <w:bCs w:val="1"/>
                <w:color w:val="FFFFFF"/>
              </w:rPr>
              <w:t>upon</w:t>
            </w:r>
          </w:p>
        </w:tc>
        <w:tc>
          <w:tcPr>
            <w:tcW w:w="1920" w:type="dxa"/>
            <w:vAlign w:val="bottom"/>
            <w:vMerge w:val="continue"/>
            <w:shd w:val="clear" w:color="auto" w:fill="000000"/>
          </w:tcPr>
          <w:p>
            <w:pPr>
              <w:spacing w:after="0"/>
              <w:rPr>
                <w:sz w:val="12"/>
                <w:szCs w:val="12"/>
                <w:color w:val="auto"/>
              </w:rPr>
            </w:pPr>
          </w:p>
        </w:tc>
        <w:tc>
          <w:tcPr>
            <w:tcW w:w="1920" w:type="dxa"/>
            <w:vAlign w:val="bottom"/>
            <w:gridSpan w:val="3"/>
            <w:shd w:val="clear" w:color="auto" w:fill="000000"/>
          </w:tcPr>
          <w:p>
            <w:pPr>
              <w:ind w:left="160"/>
              <w:spacing w:after="0" w:line="145" w:lineRule="exact"/>
              <w:rPr>
                <w:sz w:val="20"/>
                <w:szCs w:val="20"/>
                <w:color w:val="auto"/>
              </w:rPr>
            </w:pPr>
            <w:r>
              <w:rPr>
                <w:rFonts w:ascii="Arial" w:cs="Arial" w:eastAsia="Arial" w:hAnsi="Arial"/>
                <w:sz w:val="14"/>
                <w:szCs w:val="14"/>
                <w:b w:val="1"/>
                <w:bCs w:val="1"/>
                <w:color w:val="FFFFFF"/>
              </w:rPr>
              <w:t>future issuance under</w:t>
            </w:r>
          </w:p>
        </w:tc>
        <w:tc>
          <w:tcPr>
            <w:tcW w:w="0" w:type="dxa"/>
            <w:vAlign w:val="bottom"/>
          </w:tcPr>
          <w:p>
            <w:pPr>
              <w:spacing w:after="0"/>
              <w:rPr>
                <w:sz w:val="1"/>
                <w:szCs w:val="1"/>
                <w:color w:val="auto"/>
              </w:rPr>
            </w:pPr>
          </w:p>
        </w:tc>
      </w:tr>
      <w:tr>
        <w:trPr>
          <w:trHeight w:val="162"/>
        </w:trPr>
        <w:tc>
          <w:tcPr>
            <w:tcW w:w="120" w:type="dxa"/>
            <w:vAlign w:val="bottom"/>
            <w:shd w:val="clear" w:color="auto" w:fill="000000"/>
          </w:tcPr>
          <w:p>
            <w:pPr>
              <w:spacing w:after="0"/>
              <w:rPr>
                <w:sz w:val="14"/>
                <w:szCs w:val="14"/>
                <w:color w:val="auto"/>
              </w:rPr>
            </w:pPr>
          </w:p>
        </w:tc>
        <w:tc>
          <w:tcPr>
            <w:tcW w:w="1180" w:type="dxa"/>
            <w:vAlign w:val="bottom"/>
            <w:shd w:val="clear" w:color="auto" w:fill="000000"/>
          </w:tcPr>
          <w:p>
            <w:pPr>
              <w:spacing w:after="0"/>
              <w:rPr>
                <w:sz w:val="14"/>
                <w:szCs w:val="14"/>
                <w:color w:val="auto"/>
              </w:rPr>
            </w:pPr>
          </w:p>
        </w:tc>
        <w:tc>
          <w:tcPr>
            <w:tcW w:w="264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48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exercise of</w:t>
            </w:r>
          </w:p>
        </w:tc>
        <w:tc>
          <w:tcPr>
            <w:tcW w:w="1920" w:type="dxa"/>
            <w:vAlign w:val="bottom"/>
            <w:shd w:val="clear" w:color="auto" w:fill="000000"/>
          </w:tcPr>
          <w:p>
            <w:pPr>
              <w:ind w:left="160"/>
              <w:spacing w:after="0"/>
              <w:rPr>
                <w:sz w:val="20"/>
                <w:szCs w:val="20"/>
                <w:color w:val="auto"/>
              </w:rPr>
            </w:pPr>
            <w:r>
              <w:rPr>
                <w:rFonts w:ascii="Arial" w:cs="Arial" w:eastAsia="Arial" w:hAnsi="Arial"/>
                <w:sz w:val="14"/>
                <w:szCs w:val="14"/>
                <w:b w:val="1"/>
                <w:bCs w:val="1"/>
                <w:color w:val="FFFFFF"/>
              </w:rPr>
              <w:t>average exercise price</w:t>
            </w:r>
          </w:p>
        </w:tc>
        <w:tc>
          <w:tcPr>
            <w:tcW w:w="192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equity compensation</w:t>
            </w:r>
          </w:p>
        </w:tc>
        <w:tc>
          <w:tcPr>
            <w:tcW w:w="0" w:type="dxa"/>
            <w:vAlign w:val="bottom"/>
          </w:tcPr>
          <w:p>
            <w:pPr>
              <w:spacing w:after="0"/>
              <w:rPr>
                <w:sz w:val="1"/>
                <w:szCs w:val="1"/>
                <w:color w:val="auto"/>
              </w:rPr>
            </w:pPr>
          </w:p>
        </w:tc>
      </w:tr>
      <w:tr>
        <w:trPr>
          <w:trHeight w:val="162"/>
        </w:trPr>
        <w:tc>
          <w:tcPr>
            <w:tcW w:w="120" w:type="dxa"/>
            <w:vAlign w:val="bottom"/>
            <w:shd w:val="clear" w:color="auto" w:fill="000000"/>
          </w:tcPr>
          <w:p>
            <w:pPr>
              <w:spacing w:after="0"/>
              <w:rPr>
                <w:sz w:val="14"/>
                <w:szCs w:val="14"/>
                <w:color w:val="auto"/>
              </w:rPr>
            </w:pPr>
          </w:p>
        </w:tc>
        <w:tc>
          <w:tcPr>
            <w:tcW w:w="1180" w:type="dxa"/>
            <w:vAlign w:val="bottom"/>
            <w:shd w:val="clear" w:color="auto" w:fill="000000"/>
          </w:tcPr>
          <w:p>
            <w:pPr>
              <w:spacing w:after="0"/>
              <w:rPr>
                <w:sz w:val="14"/>
                <w:szCs w:val="14"/>
                <w:color w:val="auto"/>
              </w:rPr>
            </w:pPr>
          </w:p>
        </w:tc>
        <w:tc>
          <w:tcPr>
            <w:tcW w:w="264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48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outstanding</w:t>
            </w:r>
          </w:p>
        </w:tc>
        <w:tc>
          <w:tcPr>
            <w:tcW w:w="1920" w:type="dxa"/>
            <w:vAlign w:val="bottom"/>
            <w:shd w:val="clear" w:color="auto" w:fill="000000"/>
          </w:tcPr>
          <w:p>
            <w:pPr>
              <w:ind w:left="160"/>
              <w:spacing w:after="0"/>
              <w:rPr>
                <w:sz w:val="20"/>
                <w:szCs w:val="20"/>
                <w:color w:val="auto"/>
              </w:rPr>
            </w:pPr>
            <w:r>
              <w:rPr>
                <w:rFonts w:ascii="Arial" w:cs="Arial" w:eastAsia="Arial" w:hAnsi="Arial"/>
                <w:sz w:val="14"/>
                <w:szCs w:val="14"/>
                <w:b w:val="1"/>
                <w:bCs w:val="1"/>
                <w:color w:val="FFFFFF"/>
              </w:rPr>
              <w:t>of</w:t>
            </w:r>
          </w:p>
        </w:tc>
        <w:tc>
          <w:tcPr>
            <w:tcW w:w="192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plans (excluding</w:t>
            </w:r>
          </w:p>
        </w:tc>
        <w:tc>
          <w:tcPr>
            <w:tcW w:w="0" w:type="dxa"/>
            <w:vAlign w:val="bottom"/>
          </w:tcPr>
          <w:p>
            <w:pPr>
              <w:spacing w:after="0"/>
              <w:rPr>
                <w:sz w:val="1"/>
                <w:szCs w:val="1"/>
                <w:color w:val="auto"/>
              </w:rPr>
            </w:pPr>
          </w:p>
        </w:tc>
      </w:tr>
      <w:tr>
        <w:trPr>
          <w:trHeight w:val="162"/>
        </w:trPr>
        <w:tc>
          <w:tcPr>
            <w:tcW w:w="120" w:type="dxa"/>
            <w:vAlign w:val="bottom"/>
            <w:shd w:val="clear" w:color="auto" w:fill="000000"/>
          </w:tcPr>
          <w:p>
            <w:pPr>
              <w:spacing w:after="0"/>
              <w:rPr>
                <w:sz w:val="14"/>
                <w:szCs w:val="14"/>
                <w:color w:val="auto"/>
              </w:rPr>
            </w:pPr>
          </w:p>
        </w:tc>
        <w:tc>
          <w:tcPr>
            <w:tcW w:w="1180" w:type="dxa"/>
            <w:vAlign w:val="bottom"/>
            <w:shd w:val="clear" w:color="auto" w:fill="000000"/>
          </w:tcPr>
          <w:p>
            <w:pPr>
              <w:spacing w:after="0"/>
              <w:rPr>
                <w:sz w:val="14"/>
                <w:szCs w:val="14"/>
                <w:color w:val="auto"/>
              </w:rPr>
            </w:pPr>
          </w:p>
        </w:tc>
        <w:tc>
          <w:tcPr>
            <w:tcW w:w="264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48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options,</w:t>
            </w:r>
          </w:p>
        </w:tc>
        <w:tc>
          <w:tcPr>
            <w:tcW w:w="1920" w:type="dxa"/>
            <w:vAlign w:val="bottom"/>
            <w:shd w:val="clear" w:color="auto" w:fill="000000"/>
          </w:tcPr>
          <w:p>
            <w:pPr>
              <w:ind w:left="160"/>
              <w:spacing w:after="0"/>
              <w:rPr>
                <w:sz w:val="20"/>
                <w:szCs w:val="20"/>
                <w:color w:val="auto"/>
              </w:rPr>
            </w:pPr>
            <w:r>
              <w:rPr>
                <w:rFonts w:ascii="Arial" w:cs="Arial" w:eastAsia="Arial" w:hAnsi="Arial"/>
                <w:sz w:val="14"/>
                <w:szCs w:val="14"/>
                <w:b w:val="1"/>
                <w:bCs w:val="1"/>
                <w:color w:val="FFFFFF"/>
              </w:rPr>
              <w:t>outstanding</w:t>
            </w:r>
          </w:p>
        </w:tc>
        <w:tc>
          <w:tcPr>
            <w:tcW w:w="192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62"/>
        </w:trPr>
        <w:tc>
          <w:tcPr>
            <w:tcW w:w="120" w:type="dxa"/>
            <w:vAlign w:val="bottom"/>
            <w:shd w:val="clear" w:color="auto" w:fill="000000"/>
          </w:tcPr>
          <w:p>
            <w:pPr>
              <w:spacing w:after="0"/>
              <w:rPr>
                <w:sz w:val="14"/>
                <w:szCs w:val="14"/>
                <w:color w:val="auto"/>
              </w:rPr>
            </w:pPr>
          </w:p>
        </w:tc>
        <w:tc>
          <w:tcPr>
            <w:tcW w:w="1180" w:type="dxa"/>
            <w:vAlign w:val="bottom"/>
            <w:shd w:val="clear" w:color="auto" w:fill="000000"/>
          </w:tcPr>
          <w:p>
            <w:pPr>
              <w:spacing w:after="0"/>
              <w:rPr>
                <w:sz w:val="14"/>
                <w:szCs w:val="14"/>
                <w:color w:val="auto"/>
              </w:rPr>
            </w:pPr>
          </w:p>
        </w:tc>
        <w:tc>
          <w:tcPr>
            <w:tcW w:w="264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48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warrants</w:t>
            </w:r>
          </w:p>
        </w:tc>
        <w:tc>
          <w:tcPr>
            <w:tcW w:w="1920" w:type="dxa"/>
            <w:vAlign w:val="bottom"/>
            <w:shd w:val="clear" w:color="auto" w:fill="000000"/>
          </w:tcPr>
          <w:p>
            <w:pPr>
              <w:ind w:left="160"/>
              <w:spacing w:after="0"/>
              <w:rPr>
                <w:sz w:val="20"/>
                <w:szCs w:val="20"/>
                <w:color w:val="auto"/>
              </w:rPr>
            </w:pPr>
            <w:r>
              <w:rPr>
                <w:rFonts w:ascii="Arial" w:cs="Arial" w:eastAsia="Arial" w:hAnsi="Arial"/>
                <w:sz w:val="14"/>
                <w:szCs w:val="14"/>
                <w:b w:val="1"/>
                <w:bCs w:val="1"/>
                <w:color w:val="FFFFFF"/>
              </w:rPr>
              <w:t>options, warrants and</w:t>
            </w:r>
          </w:p>
        </w:tc>
        <w:tc>
          <w:tcPr>
            <w:tcW w:w="192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reflected in column (a))</w:t>
            </w:r>
          </w:p>
        </w:tc>
        <w:tc>
          <w:tcPr>
            <w:tcW w:w="0" w:type="dxa"/>
            <w:vAlign w:val="bottom"/>
          </w:tcPr>
          <w:p>
            <w:pPr>
              <w:spacing w:after="0"/>
              <w:rPr>
                <w:sz w:val="1"/>
                <w:szCs w:val="1"/>
                <w:color w:val="auto"/>
              </w:rPr>
            </w:pPr>
          </w:p>
        </w:tc>
      </w:tr>
      <w:tr>
        <w:trPr>
          <w:trHeight w:val="297"/>
        </w:trPr>
        <w:tc>
          <w:tcPr>
            <w:tcW w:w="120" w:type="dxa"/>
            <w:vAlign w:val="bottom"/>
            <w:shd w:val="clear" w:color="auto" w:fill="000000"/>
          </w:tcPr>
          <w:p>
            <w:pPr>
              <w:spacing w:after="0"/>
              <w:rPr>
                <w:sz w:val="24"/>
                <w:szCs w:val="24"/>
                <w:color w:val="auto"/>
              </w:rPr>
            </w:pPr>
          </w:p>
        </w:tc>
        <w:tc>
          <w:tcPr>
            <w:tcW w:w="3820" w:type="dxa"/>
            <w:vAlign w:val="bottom"/>
            <w:gridSpan w:val="2"/>
            <w:shd w:val="clear" w:color="auto" w:fill="000000"/>
          </w:tcPr>
          <w:p>
            <w:pPr>
              <w:ind w:left="80"/>
              <w:spacing w:after="0"/>
              <w:rPr>
                <w:sz w:val="20"/>
                <w:szCs w:val="20"/>
                <w:color w:val="auto"/>
              </w:rPr>
            </w:pPr>
            <w:r>
              <w:rPr>
                <w:rFonts w:ascii="Arial" w:cs="Arial" w:eastAsia="Arial" w:hAnsi="Arial"/>
                <w:sz w:val="14"/>
                <w:szCs w:val="14"/>
                <w:b w:val="1"/>
                <w:bCs w:val="1"/>
                <w:color w:val="FFFFFF"/>
              </w:rPr>
              <w:t>Plan Category</w:t>
            </w:r>
          </w:p>
        </w:tc>
        <w:tc>
          <w:tcPr>
            <w:tcW w:w="140" w:type="dxa"/>
            <w:vAlign w:val="bottom"/>
            <w:shd w:val="clear" w:color="auto" w:fill="000000"/>
          </w:tcPr>
          <w:p>
            <w:pPr>
              <w:spacing w:after="0"/>
              <w:rPr>
                <w:sz w:val="24"/>
                <w:szCs w:val="24"/>
                <w:color w:val="auto"/>
              </w:rPr>
            </w:pPr>
          </w:p>
        </w:tc>
        <w:tc>
          <w:tcPr>
            <w:tcW w:w="1480" w:type="dxa"/>
            <w:vAlign w:val="bottom"/>
            <w:gridSpan w:val="3"/>
            <w:shd w:val="clear" w:color="auto" w:fill="000000"/>
          </w:tcPr>
          <w:p>
            <w:pPr>
              <w:ind w:left="160"/>
              <w:spacing w:after="0"/>
              <w:rPr>
                <w:sz w:val="20"/>
                <w:szCs w:val="20"/>
                <w:color w:val="auto"/>
              </w:rPr>
            </w:pPr>
            <w:r>
              <w:rPr>
                <w:rFonts w:ascii="Arial" w:cs="Arial" w:eastAsia="Arial" w:hAnsi="Arial"/>
                <w:sz w:val="14"/>
                <w:szCs w:val="14"/>
                <w:b w:val="1"/>
                <w:bCs w:val="1"/>
                <w:color w:val="FFFFFF"/>
              </w:rPr>
              <w:t>and rights</w:t>
            </w:r>
          </w:p>
        </w:tc>
        <w:tc>
          <w:tcPr>
            <w:tcW w:w="1920" w:type="dxa"/>
            <w:vAlign w:val="bottom"/>
            <w:shd w:val="clear" w:color="auto" w:fill="000000"/>
          </w:tcPr>
          <w:p>
            <w:pPr>
              <w:ind w:left="160"/>
              <w:spacing w:after="0"/>
              <w:rPr>
                <w:sz w:val="20"/>
                <w:szCs w:val="20"/>
                <w:color w:val="auto"/>
              </w:rPr>
            </w:pPr>
            <w:r>
              <w:rPr>
                <w:rFonts w:ascii="Arial" w:cs="Arial" w:eastAsia="Arial" w:hAnsi="Arial"/>
                <w:sz w:val="14"/>
                <w:szCs w:val="14"/>
                <w:b w:val="1"/>
                <w:bCs w:val="1"/>
                <w:color w:val="FFFFFF"/>
              </w:rPr>
              <w:t>rights</w:t>
            </w:r>
            <w:r>
              <w:rPr>
                <w:rFonts w:ascii="Arial" w:cs="Arial" w:eastAsia="Arial" w:hAnsi="Arial"/>
                <w:sz w:val="23"/>
                <w:szCs w:val="23"/>
                <w:b w:val="1"/>
                <w:bCs w:val="1"/>
                <w:color w:val="FFFFFF"/>
                <w:vertAlign w:val="superscript"/>
              </w:rPr>
              <w:t>(2)</w:t>
            </w:r>
          </w:p>
        </w:tc>
        <w:tc>
          <w:tcPr>
            <w:tcW w:w="900" w:type="dxa"/>
            <w:vAlign w:val="bottom"/>
            <w:shd w:val="clear" w:color="auto" w:fill="000000"/>
          </w:tcPr>
          <w:p>
            <w:pPr>
              <w:ind w:left="160"/>
              <w:spacing w:after="0"/>
              <w:rPr>
                <w:sz w:val="20"/>
                <w:szCs w:val="20"/>
                <w:color w:val="auto"/>
              </w:rPr>
            </w:pPr>
            <w:r>
              <w:rPr>
                <w:rFonts w:ascii="Arial" w:cs="Arial" w:eastAsia="Arial" w:hAnsi="Arial"/>
                <w:sz w:val="12"/>
                <w:szCs w:val="12"/>
                <w:b w:val="1"/>
                <w:bCs w:val="1"/>
                <w:color w:val="FFFFFF"/>
              </w:rPr>
              <w:t>(3)</w:t>
            </w:r>
          </w:p>
        </w:tc>
        <w:tc>
          <w:tcPr>
            <w:tcW w:w="86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20" w:type="dxa"/>
            <w:vAlign w:val="bottom"/>
            <w:shd w:val="clear" w:color="auto" w:fill="000000"/>
          </w:tcPr>
          <w:p>
            <w:pPr>
              <w:spacing w:after="0"/>
              <w:rPr>
                <w:sz w:val="24"/>
                <w:szCs w:val="24"/>
                <w:color w:val="auto"/>
              </w:rPr>
            </w:pPr>
          </w:p>
        </w:tc>
        <w:tc>
          <w:tcPr>
            <w:tcW w:w="1180" w:type="dxa"/>
            <w:vAlign w:val="bottom"/>
            <w:shd w:val="clear" w:color="auto" w:fill="000000"/>
          </w:tcPr>
          <w:p>
            <w:pPr>
              <w:spacing w:after="0"/>
              <w:rPr>
                <w:sz w:val="24"/>
                <w:szCs w:val="24"/>
                <w:color w:val="auto"/>
              </w:rPr>
            </w:pPr>
          </w:p>
        </w:tc>
        <w:tc>
          <w:tcPr>
            <w:tcW w:w="264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460" w:type="dxa"/>
            <w:vAlign w:val="bottom"/>
            <w:shd w:val="clear" w:color="auto" w:fill="000000"/>
          </w:tcPr>
          <w:p>
            <w:pPr>
              <w:spacing w:after="0"/>
              <w:rPr>
                <w:sz w:val="24"/>
                <w:szCs w:val="24"/>
                <w:color w:val="auto"/>
              </w:rPr>
            </w:pPr>
          </w:p>
        </w:tc>
        <w:tc>
          <w:tcPr>
            <w:tcW w:w="1020" w:type="dxa"/>
            <w:vAlign w:val="bottom"/>
            <w:gridSpan w:val="2"/>
            <w:shd w:val="clear" w:color="auto" w:fill="000000"/>
          </w:tcPr>
          <w:p>
            <w:pPr>
              <w:ind w:left="200"/>
              <w:spacing w:after="0"/>
              <w:rPr>
                <w:sz w:val="20"/>
                <w:szCs w:val="20"/>
                <w:color w:val="auto"/>
              </w:rPr>
            </w:pPr>
            <w:r>
              <w:rPr>
                <w:rFonts w:ascii="Arial" w:cs="Arial" w:eastAsia="Arial" w:hAnsi="Arial"/>
                <w:sz w:val="14"/>
                <w:szCs w:val="14"/>
                <w:b w:val="1"/>
                <w:bCs w:val="1"/>
                <w:color w:val="FFFFFF"/>
              </w:rPr>
              <w:t>(a)</w:t>
            </w:r>
          </w:p>
        </w:tc>
        <w:tc>
          <w:tcPr>
            <w:tcW w:w="1920" w:type="dxa"/>
            <w:vAlign w:val="bottom"/>
            <w:shd w:val="clear" w:color="auto" w:fill="000000"/>
          </w:tcPr>
          <w:p>
            <w:pPr>
              <w:ind w:left="880"/>
              <w:spacing w:after="0"/>
              <w:rPr>
                <w:sz w:val="20"/>
                <w:szCs w:val="20"/>
                <w:color w:val="auto"/>
              </w:rPr>
            </w:pPr>
            <w:r>
              <w:rPr>
                <w:rFonts w:ascii="Arial" w:cs="Arial" w:eastAsia="Arial" w:hAnsi="Arial"/>
                <w:sz w:val="14"/>
                <w:szCs w:val="14"/>
                <w:b w:val="1"/>
                <w:bCs w:val="1"/>
                <w:color w:val="FFFFFF"/>
              </w:rPr>
              <w:t>(b)</w:t>
            </w:r>
          </w:p>
        </w:tc>
        <w:tc>
          <w:tcPr>
            <w:tcW w:w="1920" w:type="dxa"/>
            <w:vAlign w:val="bottom"/>
            <w:gridSpan w:val="3"/>
            <w:shd w:val="clear" w:color="auto" w:fill="000000"/>
          </w:tcPr>
          <w:p>
            <w:pPr>
              <w:ind w:left="880"/>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83"/>
        </w:trPr>
        <w:tc>
          <w:tcPr>
            <w:tcW w:w="12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26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19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120" w:type="dxa"/>
            <w:vAlign w:val="bottom"/>
            <w:tcBorders>
              <w:bottom w:val="single" w:sz="8" w:color="999999"/>
            </w:tcBorders>
          </w:tcPr>
          <w:p>
            <w:pPr>
              <w:spacing w:after="0"/>
              <w:rPr>
                <w:sz w:val="24"/>
                <w:szCs w:val="24"/>
                <w:color w:val="auto"/>
              </w:rPr>
            </w:pPr>
          </w:p>
        </w:tc>
        <w:tc>
          <w:tcPr>
            <w:tcW w:w="3820" w:type="dxa"/>
            <w:vAlign w:val="bottom"/>
            <w:tcBorders>
              <w:bottom w:val="single" w:sz="8" w:color="999999"/>
            </w:tcBorders>
            <w:gridSpan w:val="2"/>
          </w:tcPr>
          <w:p>
            <w:pPr>
              <w:ind w:left="80"/>
              <w:spacing w:after="0"/>
              <w:rPr>
                <w:sz w:val="20"/>
                <w:szCs w:val="20"/>
                <w:color w:val="auto"/>
              </w:rPr>
            </w:pPr>
            <w:r>
              <w:rPr>
                <w:rFonts w:ascii="Arial" w:cs="Arial" w:eastAsia="Arial" w:hAnsi="Arial"/>
                <w:sz w:val="14"/>
                <w:szCs w:val="14"/>
                <w:b w:val="1"/>
                <w:bCs w:val="1"/>
                <w:color w:val="40C0C0"/>
              </w:rPr>
              <w:t>Equity compensation plan approved by stockholders</w:t>
            </w:r>
          </w:p>
        </w:tc>
        <w:tc>
          <w:tcPr>
            <w:tcW w:w="1620" w:type="dxa"/>
            <w:vAlign w:val="bottom"/>
            <w:tcBorders>
              <w:bottom w:val="single" w:sz="8" w:color="999999"/>
            </w:tcBorders>
            <w:gridSpan w:val="4"/>
          </w:tcPr>
          <w:p>
            <w:pPr>
              <w:jc w:val="center"/>
              <w:ind w:right="120"/>
              <w:spacing w:after="0"/>
              <w:rPr>
                <w:sz w:val="20"/>
                <w:szCs w:val="20"/>
                <w:color w:val="auto"/>
              </w:rPr>
            </w:pPr>
            <w:r>
              <w:rPr>
                <w:rFonts w:ascii="Arial" w:cs="Arial" w:eastAsia="Arial" w:hAnsi="Arial"/>
                <w:sz w:val="14"/>
                <w:szCs w:val="14"/>
                <w:color w:val="auto"/>
              </w:rPr>
              <w:t>12,289,299</w:t>
            </w:r>
            <w:r>
              <w:rPr>
                <w:rFonts w:ascii="Arial" w:cs="Arial" w:eastAsia="Arial" w:hAnsi="Arial"/>
                <w:sz w:val="23"/>
                <w:szCs w:val="23"/>
                <w:color w:val="auto"/>
                <w:vertAlign w:val="superscript"/>
              </w:rPr>
              <w:t>(1)</w:t>
            </w:r>
          </w:p>
        </w:tc>
        <w:tc>
          <w:tcPr>
            <w:tcW w:w="1920" w:type="dxa"/>
            <w:vAlign w:val="bottom"/>
            <w:tcBorders>
              <w:bottom w:val="single" w:sz="8" w:color="999999"/>
            </w:tcBorders>
          </w:tcPr>
          <w:p>
            <w:pPr>
              <w:ind w:left="156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999999"/>
            </w:tcBorders>
            <w:gridSpan w:val="3"/>
          </w:tcPr>
          <w:p>
            <w:pPr>
              <w:ind w:left="920"/>
              <w:spacing w:after="0"/>
              <w:rPr>
                <w:sz w:val="20"/>
                <w:szCs w:val="20"/>
                <w:color w:val="auto"/>
              </w:rPr>
            </w:pPr>
            <w:r>
              <w:rPr>
                <w:rFonts w:ascii="Arial" w:cs="Arial" w:eastAsia="Arial" w:hAnsi="Arial"/>
                <w:sz w:val="14"/>
                <w:szCs w:val="14"/>
                <w:color w:val="auto"/>
              </w:rPr>
              <w:t>26,246,690</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3820" w:type="dxa"/>
            <w:vAlign w:val="bottom"/>
            <w:gridSpan w:val="2"/>
          </w:tcPr>
          <w:p>
            <w:pPr>
              <w:ind w:left="80"/>
              <w:spacing w:after="0"/>
              <w:rPr>
                <w:sz w:val="20"/>
                <w:szCs w:val="20"/>
                <w:color w:val="auto"/>
              </w:rPr>
            </w:pPr>
            <w:r>
              <w:rPr>
                <w:rFonts w:ascii="Arial" w:cs="Arial" w:eastAsia="Arial" w:hAnsi="Arial"/>
                <w:sz w:val="14"/>
                <w:szCs w:val="14"/>
                <w:b w:val="1"/>
                <w:bCs w:val="1"/>
                <w:color w:val="40C0C0"/>
              </w:rPr>
              <w:t>Equity compensation plan not approved by</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20" w:type="dxa"/>
            <w:vAlign w:val="bottom"/>
          </w:tcPr>
          <w:p>
            <w:pPr>
              <w:spacing w:after="0"/>
              <w:rPr>
                <w:sz w:val="9"/>
                <w:szCs w:val="9"/>
                <w:color w:val="auto"/>
              </w:rPr>
            </w:pPr>
          </w:p>
        </w:tc>
        <w:tc>
          <w:tcPr>
            <w:tcW w:w="3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40C0C0"/>
              </w:rPr>
              <w:t>stockholders</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3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860" w:type="dxa"/>
            <w:vAlign w:val="bottom"/>
            <w:tcBorders>
              <w:bottom w:val="single" w:sz="8" w:color="999999"/>
            </w:tcBorders>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Borders>
              <w:bottom w:val="single" w:sz="8" w:color="999999"/>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999999"/>
            </w:tcBorders>
          </w:tcPr>
          <w:p>
            <w:pPr>
              <w:spacing w:after="0" w:line="20" w:lineRule="exact"/>
              <w:rPr>
                <w:sz w:val="1"/>
                <w:szCs w:val="1"/>
                <w:color w:val="auto"/>
              </w:rPr>
            </w:pPr>
          </w:p>
        </w:tc>
        <w:tc>
          <w:tcPr>
            <w:tcW w:w="1180" w:type="dxa"/>
            <w:vAlign w:val="bottom"/>
            <w:tcBorders>
              <w:bottom w:val="single" w:sz="8" w:color="999999"/>
            </w:tcBorders>
          </w:tcPr>
          <w:p>
            <w:pPr>
              <w:spacing w:after="0" w:line="20" w:lineRule="exact"/>
              <w:rPr>
                <w:sz w:val="1"/>
                <w:szCs w:val="1"/>
                <w:color w:val="auto"/>
              </w:rPr>
            </w:pPr>
          </w:p>
        </w:tc>
        <w:tc>
          <w:tcPr>
            <w:tcW w:w="26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3820" w:type="dxa"/>
            <w:vAlign w:val="bottom"/>
            <w:gridSpan w:val="2"/>
          </w:tcPr>
          <w:p>
            <w:pPr>
              <w:ind w:left="80"/>
              <w:spacing w:after="0"/>
              <w:rPr>
                <w:sz w:val="20"/>
                <w:szCs w:val="20"/>
                <w:color w:val="auto"/>
              </w:rPr>
            </w:pPr>
            <w:r>
              <w:rPr>
                <w:rFonts w:ascii="Arial" w:cs="Arial" w:eastAsia="Arial" w:hAnsi="Arial"/>
                <w:sz w:val="14"/>
                <w:szCs w:val="14"/>
                <w:b w:val="1"/>
                <w:bCs w:val="1"/>
                <w:color w:val="40C0C0"/>
              </w:rPr>
              <w:t>Total</w:t>
            </w: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12,289,299</w:t>
            </w:r>
          </w:p>
        </w:tc>
        <w:tc>
          <w:tcPr>
            <w:tcW w:w="160" w:type="dxa"/>
            <w:vAlign w:val="bottom"/>
          </w:tcPr>
          <w:p>
            <w:pPr>
              <w:spacing w:after="0"/>
              <w:rPr>
                <w:sz w:val="24"/>
                <w:szCs w:val="24"/>
                <w:color w:val="auto"/>
              </w:rPr>
            </w:pPr>
          </w:p>
        </w:tc>
        <w:tc>
          <w:tcPr>
            <w:tcW w:w="1920" w:type="dxa"/>
            <w:vAlign w:val="bottom"/>
          </w:tcPr>
          <w:p>
            <w:pPr>
              <w:ind w:left="1560"/>
              <w:spacing w:after="0"/>
              <w:rPr>
                <w:sz w:val="20"/>
                <w:szCs w:val="20"/>
                <w:color w:val="auto"/>
              </w:rPr>
            </w:pPr>
            <w:r>
              <w:rPr>
                <w:rFonts w:ascii="Arial" w:cs="Arial" w:eastAsia="Arial" w:hAnsi="Arial"/>
                <w:sz w:val="14"/>
                <w:szCs w:val="14"/>
                <w:color w:val="auto"/>
              </w:rPr>
              <w:t>$—</w:t>
            </w:r>
          </w:p>
        </w:tc>
        <w:tc>
          <w:tcPr>
            <w:tcW w:w="1760" w:type="dxa"/>
            <w:vAlign w:val="bottom"/>
            <w:gridSpan w:val="2"/>
          </w:tcPr>
          <w:p>
            <w:pPr>
              <w:ind w:left="1000"/>
              <w:spacing w:after="0"/>
              <w:rPr>
                <w:sz w:val="20"/>
                <w:szCs w:val="20"/>
                <w:color w:val="auto"/>
              </w:rPr>
            </w:pPr>
            <w:r>
              <w:rPr>
                <w:rFonts w:ascii="Arial" w:cs="Arial" w:eastAsia="Arial" w:hAnsi="Arial"/>
                <w:sz w:val="14"/>
                <w:szCs w:val="14"/>
                <w:color w:val="auto"/>
              </w:rPr>
              <w:t>26,246,690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right="140" w:hanging="354"/>
        <w:spacing w:after="0" w:line="252" w:lineRule="auto"/>
        <w:tabs>
          <w:tab w:leader="none" w:pos="36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The number of shares to be issued upon exercise of outstanding options, warrants and rights includes shares that will be issued upon the vesting of outstanding RSU awards of 7,946,908 shares and performance based restricted stock units (“PRSUs”) awards of 4,342,391 shares.</w:t>
      </w:r>
    </w:p>
    <w:p>
      <w:pPr>
        <w:spacing w:after="0" w:line="24" w:lineRule="exact"/>
        <w:rPr>
          <w:sz w:val="20"/>
          <w:szCs w:val="20"/>
          <w:color w:val="auto"/>
        </w:rPr>
      </w:pPr>
    </w:p>
    <w:p>
      <w:pPr>
        <w:ind w:left="360" w:right="260" w:hanging="354"/>
        <w:spacing w:after="0" w:line="252" w:lineRule="auto"/>
        <w:tabs>
          <w:tab w:leader="none" w:pos="36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The weighted-average exercise price of outstanding options, warrants and rights does not reflect the shares that will be issued upon the vesting of outstanding awards of RSUs and PRSUs, which have no exercise price.</w:t>
      </w:r>
    </w:p>
    <w:p>
      <w:pPr>
        <w:spacing w:after="0" w:line="24" w:lineRule="exact"/>
        <w:rPr>
          <w:sz w:val="20"/>
          <w:szCs w:val="20"/>
          <w:color w:val="auto"/>
        </w:rPr>
      </w:pPr>
    </w:p>
    <w:p>
      <w:pPr>
        <w:ind w:left="360" w:right="20" w:hanging="354"/>
        <w:spacing w:after="0" w:line="228" w:lineRule="auto"/>
        <w:tabs>
          <w:tab w:leader="none" w:pos="36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Our 2021 Equity Plan provides that on the first day of each fiscal year beginning with the 2022 fiscal year, the number of shares of Class A Common stock reserved for issuance under the 2021 Equity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w:t>
      </w:r>
    </w:p>
    <w:p>
      <w:pPr>
        <w:spacing w:after="0" w:line="46" w:lineRule="exact"/>
        <w:rPr>
          <w:sz w:val="20"/>
          <w:szCs w:val="20"/>
          <w:color w:val="auto"/>
        </w:rPr>
      </w:pPr>
    </w:p>
    <w:p>
      <w:pPr>
        <w:ind w:left="360" w:right="520" w:hanging="354"/>
        <w:spacing w:after="0" w:line="252" w:lineRule="auto"/>
        <w:tabs>
          <w:tab w:leader="none" w:pos="36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The number consists of 19,341,168 shares of our common stock reserved for issuance under our 2021 Equity Plan and 6,905,522 shares of our common stock reserved for issuance under our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86360</wp:posOffset>
            </wp:positionV>
            <wp:extent cx="59664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Executive Compensation</w:t>
      </w:r>
    </w:p>
    <w:p>
      <w:pPr>
        <w:spacing w:after="0" w:line="24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2024 compensation program for our Named Executive Officers.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for the year ended December 31, 2024, are:</w:t>
      </w:r>
    </w:p>
    <w:p>
      <w:pPr>
        <w:spacing w:after="0" w:line="86" w:lineRule="exact"/>
        <w:rPr>
          <w:sz w:val="20"/>
          <w:szCs w:val="20"/>
          <w:color w:val="auto"/>
        </w:rPr>
      </w:pPr>
    </w:p>
    <w:p>
      <w:pPr>
        <w:ind w:left="600" w:hanging="288"/>
        <w:spacing w:after="0"/>
        <w:tabs>
          <w:tab w:leader="none" w:pos="6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Douglas Francis, our principal executive officer and Chairperson of the Board</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Brian Camire, our General Counsel and Secretary</w:t>
      </w:r>
    </w:p>
    <w:p>
      <w:pPr>
        <w:spacing w:after="0" w:line="31" w:lineRule="exact"/>
        <w:rPr>
          <w:rFonts w:ascii="Arial" w:cs="Arial" w:eastAsia="Arial" w:hAnsi="Arial"/>
          <w:sz w:val="16"/>
          <w:szCs w:val="16"/>
          <w:color w:val="auto"/>
        </w:rPr>
      </w:pPr>
    </w:p>
    <w:p>
      <w:pPr>
        <w:ind w:left="600" w:hanging="288"/>
        <w:spacing w:after="0"/>
        <w:tabs>
          <w:tab w:leader="none" w:pos="600" w:val="left"/>
        </w:tabs>
        <w:numPr>
          <w:ilvl w:val="1"/>
          <w:numId w:val="25"/>
        </w:numPr>
        <w:rPr>
          <w:rFonts w:ascii="Arial" w:cs="Arial" w:eastAsia="Arial" w:hAnsi="Arial"/>
          <w:sz w:val="32"/>
          <w:szCs w:val="32"/>
          <w:color w:val="auto"/>
          <w:vertAlign w:val="superscript"/>
        </w:rPr>
      </w:pPr>
      <w:r>
        <w:rPr>
          <w:rFonts w:ascii="Arial" w:cs="Arial" w:eastAsia="Arial" w:hAnsi="Arial"/>
          <w:sz w:val="16"/>
          <w:szCs w:val="16"/>
          <w:color w:val="auto"/>
        </w:rPr>
        <w:t>Duncan Grazier, our former Chief Technology Officer</w:t>
      </w:r>
      <w:r>
        <w:rPr>
          <w:rFonts w:ascii="Arial" w:cs="Arial" w:eastAsia="Arial" w:hAnsi="Arial"/>
          <w:sz w:val="26"/>
          <w:szCs w:val="26"/>
          <w:b w:val="1"/>
          <w:bCs w:val="1"/>
          <w:color w:val="auto"/>
          <w:vertAlign w:val="superscript"/>
        </w:rPr>
        <w:t>(1)</w:t>
      </w:r>
    </w:p>
    <w:p>
      <w:pPr>
        <w:ind w:left="600" w:hanging="288"/>
        <w:spacing w:after="0"/>
        <w:tabs>
          <w:tab w:leader="none" w:pos="6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Susan Echard, our Chief Financial Officer</w:t>
      </w:r>
    </w:p>
    <w:p>
      <w:pPr>
        <w:spacing w:after="0" w:line="52" w:lineRule="exact"/>
        <w:rPr>
          <w:rFonts w:ascii="Arial" w:cs="Arial" w:eastAsia="Arial" w:hAnsi="Arial"/>
          <w:sz w:val="16"/>
          <w:szCs w:val="16"/>
          <w:color w:val="auto"/>
        </w:rPr>
      </w:pPr>
    </w:p>
    <w:p>
      <w:pPr>
        <w:ind w:left="240" w:right="80" w:hanging="234"/>
        <w:spacing w:after="0" w:line="252" w:lineRule="auto"/>
        <w:tabs>
          <w:tab w:leader="none" w:pos="24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Mr. Grazier tendered his resignation from his role as Chief Technology Officer, effective July 31, 2024. Pursuant to a Separation and Release Agreement between Mr. Grazier and the Company, Mr. Grazier provided services as a Special Advisor through October 31, 2024.</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 Between Pay and Performance</w:t>
      </w:r>
    </w:p>
    <w:p>
      <w:pPr>
        <w:spacing w:after="0" w:line="22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124" w:lineRule="exact"/>
        <w:rPr>
          <w:sz w:val="20"/>
          <w:szCs w:val="20"/>
          <w:color w:val="auto"/>
        </w:rPr>
      </w:pPr>
    </w:p>
    <w:p>
      <w:pPr>
        <w:ind w:right="960"/>
        <w:spacing w:after="0" w:line="286" w:lineRule="auto"/>
        <w:rPr>
          <w:sz w:val="20"/>
          <w:szCs w:val="20"/>
          <w:color w:val="auto"/>
        </w:rPr>
      </w:pPr>
      <w:r>
        <w:rPr>
          <w:rFonts w:ascii="Arial" w:cs="Arial" w:eastAsia="Arial" w:hAnsi="Arial"/>
          <w:sz w:val="16"/>
          <w:szCs w:val="16"/>
          <w:color w:val="auto"/>
        </w:rPr>
        <w:t>We emphasize variable compensation that appropriately rewards our Named Executive Officers through two separate compensation elements:</w:t>
      </w:r>
    </w:p>
    <w:p>
      <w:pPr>
        <w:spacing w:after="0" w:line="7" w:lineRule="exact"/>
        <w:rPr>
          <w:sz w:val="20"/>
          <w:szCs w:val="20"/>
          <w:color w:val="auto"/>
        </w:rPr>
      </w:pPr>
    </w:p>
    <w:p>
      <w:pPr>
        <w:ind w:left="600" w:right="140" w:hanging="288"/>
        <w:spacing w:after="0" w:line="256"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First, we provide the opportunity for our Named Executive Officers to receive annual cash bonus payments based on corporate and individual performance. The Compensation Committee approved performance cash bonuses for 2024 that provided our Named Executive Officers with cash bonus payments based on the short-term financial, operational, and strategic results that met pre-established corporate performance goals established by management and included the evaluation of individual contributions in achieving those goals.</w:t>
      </w:r>
    </w:p>
    <w:p>
      <w:pPr>
        <w:spacing w:after="0" w:line="44" w:lineRule="exact"/>
        <w:rPr>
          <w:rFonts w:ascii="Arial" w:cs="Arial" w:eastAsia="Arial" w:hAnsi="Arial"/>
          <w:sz w:val="16"/>
          <w:szCs w:val="16"/>
          <w:color w:val="auto"/>
        </w:rPr>
      </w:pPr>
    </w:p>
    <w:p>
      <w:pPr>
        <w:ind w:left="600" w:right="420" w:hanging="288"/>
        <w:spacing w:after="0" w:line="254"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addition, we grant time-based RSU awards, and have in the past, and again in 2024 for Mr. Francis,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12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59664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2024, approximately 50% of our Chief Executive Officer’s target total direct compensation and approximately 33%, on average,</w:t>
      </w:r>
    </w:p>
    <w:p>
      <w:pPr>
        <w:spacing w:after="0" w:line="18" w:lineRule="exact"/>
        <w:rPr>
          <w:sz w:val="20"/>
          <w:szCs w:val="20"/>
          <w:color w:val="auto"/>
        </w:rPr>
      </w:pPr>
    </w:p>
    <w:p>
      <w:pPr>
        <w:ind w:right="260"/>
        <w:spacing w:after="0" w:line="214" w:lineRule="auto"/>
        <w:rPr>
          <w:sz w:val="20"/>
          <w:szCs w:val="20"/>
          <w:color w:val="auto"/>
        </w:rPr>
      </w:pPr>
      <w:r>
        <w:rPr>
          <w:rFonts w:ascii="Arial" w:cs="Arial" w:eastAsia="Arial" w:hAnsi="Arial"/>
          <w:sz w:val="16"/>
          <w:szCs w:val="16"/>
          <w:color w:val="auto"/>
        </w:rPr>
        <w:t>of Mr. Camire’s and Mr. Grazier’s target total direct compensation consisted of variable, “at-risk” compensation</w:t>
      </w:r>
      <w:r>
        <w:rPr>
          <w:rFonts w:ascii="Arial" w:cs="Arial" w:eastAsia="Arial" w:hAnsi="Arial"/>
          <w:sz w:val="26"/>
          <w:szCs w:val="26"/>
          <w:color w:val="auto"/>
          <w:vertAlign w:val="superscript"/>
        </w:rPr>
        <w:t>1</w:t>
      </w:r>
      <w:r>
        <w:rPr>
          <w:rFonts w:ascii="Arial" w:cs="Arial" w:eastAsia="Arial" w:hAnsi="Arial"/>
          <w:sz w:val="16"/>
          <w:szCs w:val="16"/>
          <w:color w:val="auto"/>
        </w:rPr>
        <w:t>. For additional information, see “—Executive Employment Arrangements” below.</w:t>
      </w:r>
    </w:p>
    <w:p>
      <w:pPr>
        <w:spacing w:after="0" w:line="13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Policies and Practices</w:t>
      </w: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5966460" cy="265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6460" cy="265430"/>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sectPr>
      </w:pPr>
    </w:p>
    <w:p>
      <w:pPr>
        <w:spacing w:after="0" w:line="212"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FFFFFF"/>
        </w:rPr>
        <w:t>WHAT WE DO</w:t>
      </w:r>
    </w:p>
    <w:p>
      <w:pPr>
        <w:spacing w:after="0" w:line="271" w:lineRule="exact"/>
        <w:rPr>
          <w:sz w:val="20"/>
          <w:szCs w:val="20"/>
          <w:color w:val="auto"/>
        </w:rPr>
      </w:pPr>
    </w:p>
    <w:p>
      <w:pPr>
        <w:ind w:left="500" w:right="40" w:hanging="274"/>
        <w:spacing w:after="0" w:line="248" w:lineRule="auto"/>
        <w:tabs>
          <w:tab w:leader="none" w:pos="500" w:val="left"/>
        </w:tabs>
        <w:numPr>
          <w:ilvl w:val="0"/>
          <w:numId w:val="27"/>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Maintain Independent Compensation Committee. </w:t>
      </w:r>
      <w:r>
        <w:rPr>
          <w:rFonts w:ascii="Arial" w:cs="Arial" w:eastAsia="Arial" w:hAnsi="Arial"/>
          <w:sz w:val="14"/>
          <w:szCs w:val="14"/>
          <w:color w:val="auto"/>
        </w:rPr>
        <w:t>The</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Proxy Statement.</w:t>
      </w:r>
    </w:p>
    <w:p>
      <w:pPr>
        <w:spacing w:after="0" w:line="279" w:lineRule="exact"/>
        <w:rPr>
          <w:rFonts w:ascii="Arial" w:cs="Arial" w:eastAsia="Arial" w:hAnsi="Arial"/>
          <w:sz w:val="14"/>
          <w:szCs w:val="14"/>
          <w:b w:val="1"/>
          <w:bCs w:val="1"/>
          <w:color w:val="auto"/>
        </w:rPr>
      </w:pPr>
    </w:p>
    <w:p>
      <w:pPr>
        <w:ind w:left="500" w:right="20" w:hanging="274"/>
        <w:spacing w:after="0" w:line="250" w:lineRule="auto"/>
        <w:tabs>
          <w:tab w:leader="none" w:pos="500" w:val="left"/>
        </w:tabs>
        <w:numPr>
          <w:ilvl w:val="0"/>
          <w:numId w:val="27"/>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Retain an Independent Compensation Consultant. </w:t>
      </w:r>
      <w:r>
        <w:rPr>
          <w:rFonts w:ascii="Arial" w:cs="Arial" w:eastAsia="Arial" w:hAnsi="Arial"/>
          <w:sz w:val="14"/>
          <w:szCs w:val="14"/>
          <w:color w:val="auto"/>
        </w:rPr>
        <w:t>In 2024,</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Compensation Committee engaged its own compensation consultant to provide information, analysis, and other advice on compensation matters independent of management. This compensation consultant performed no other services for us during 2024.</w:t>
      </w:r>
    </w:p>
    <w:p>
      <w:pPr>
        <w:spacing w:after="0" w:line="114" w:lineRule="exact"/>
        <w:rPr>
          <w:rFonts w:ascii="Arial" w:cs="Arial" w:eastAsia="Arial" w:hAnsi="Arial"/>
          <w:sz w:val="14"/>
          <w:szCs w:val="14"/>
          <w:b w:val="1"/>
          <w:bCs w:val="1"/>
          <w:color w:val="auto"/>
        </w:rPr>
      </w:pPr>
    </w:p>
    <w:p>
      <w:pPr>
        <w:ind w:left="500" w:right="60" w:hanging="274"/>
        <w:spacing w:after="0" w:line="252" w:lineRule="auto"/>
        <w:tabs>
          <w:tab w:leader="none" w:pos="500" w:val="left"/>
        </w:tabs>
        <w:numPr>
          <w:ilvl w:val="0"/>
          <w:numId w:val="27"/>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Annual Executive Compensation Review. </w:t>
      </w:r>
      <w:r>
        <w:rPr>
          <w:rFonts w:ascii="Arial" w:cs="Arial" w:eastAsia="Arial" w:hAnsi="Arial"/>
          <w:sz w:val="14"/>
          <w:szCs w:val="14"/>
          <w:color w:val="auto"/>
        </w:rPr>
        <w:t>The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reviews and approves our compensation strategy and policies planned to be done annually, including review and approval of the 2024 short-term incentive awards for executive officers.</w:t>
      </w:r>
    </w:p>
    <w:p>
      <w:pPr>
        <w:spacing w:after="0" w:line="113" w:lineRule="exact"/>
        <w:rPr>
          <w:rFonts w:ascii="Arial" w:cs="Arial" w:eastAsia="Arial" w:hAnsi="Arial"/>
          <w:sz w:val="14"/>
          <w:szCs w:val="14"/>
          <w:b w:val="1"/>
          <w:bCs w:val="1"/>
          <w:color w:val="auto"/>
        </w:rPr>
      </w:pPr>
    </w:p>
    <w:p>
      <w:pPr>
        <w:ind w:left="500" w:right="20" w:hanging="274"/>
        <w:spacing w:after="0" w:line="250" w:lineRule="auto"/>
        <w:tabs>
          <w:tab w:leader="none" w:pos="500" w:val="left"/>
        </w:tabs>
        <w:numPr>
          <w:ilvl w:val="0"/>
          <w:numId w:val="27"/>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Compensation “At-Risk.” </w:t>
      </w:r>
      <w:r>
        <w:rPr>
          <w:rFonts w:ascii="Arial" w:cs="Arial" w:eastAsia="Arial" w:hAnsi="Arial"/>
          <w:sz w:val="14"/>
          <w:szCs w:val="14"/>
          <w:color w:val="auto"/>
        </w:rPr>
        <w:t>Other than the compensation for</w:t>
      </w:r>
      <w:r>
        <w:rPr>
          <w:rFonts w:ascii="Arial" w:cs="Arial" w:eastAsia="Arial" w:hAnsi="Arial"/>
          <w:sz w:val="14"/>
          <w:szCs w:val="14"/>
          <w:i w:val="1"/>
          <w:iCs w:val="1"/>
          <w:color w:val="auto"/>
        </w:rPr>
        <w:t xml:space="preserve"> </w:t>
      </w:r>
      <w:r>
        <w:rPr>
          <w:rFonts w:ascii="Arial" w:cs="Arial" w:eastAsia="Arial" w:hAnsi="Arial"/>
          <w:sz w:val="14"/>
          <w:szCs w:val="14"/>
          <w:color w:val="auto"/>
        </w:rPr>
        <w:t>Mr. 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375" w:lineRule="exact"/>
        <w:rPr>
          <w:rFonts w:ascii="Arial" w:cs="Arial" w:eastAsia="Arial" w:hAnsi="Arial"/>
          <w:sz w:val="14"/>
          <w:szCs w:val="14"/>
          <w:b w:val="1"/>
          <w:bCs w:val="1"/>
          <w:color w:val="auto"/>
        </w:rPr>
      </w:pPr>
    </w:p>
    <w:p>
      <w:pPr>
        <w:ind w:left="500" w:hanging="274"/>
        <w:spacing w:after="0" w:line="256" w:lineRule="auto"/>
        <w:tabs>
          <w:tab w:leader="none" w:pos="500" w:val="left"/>
        </w:tabs>
        <w:numPr>
          <w:ilvl w:val="0"/>
          <w:numId w:val="27"/>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Use of “Pay-for-Performance” Philosophy. </w:t>
      </w:r>
      <w:r>
        <w:rPr>
          <w:rFonts w:ascii="Arial" w:cs="Arial" w:eastAsia="Arial" w:hAnsi="Arial"/>
          <w:sz w:val="14"/>
          <w:szCs w:val="14"/>
          <w:color w:val="auto"/>
        </w:rPr>
        <w:t>At least one-third of</w:t>
      </w:r>
      <w:r>
        <w:rPr>
          <w:rFonts w:ascii="Arial" w:cs="Arial" w:eastAsia="Arial" w:hAnsi="Arial"/>
          <w:sz w:val="14"/>
          <w:szCs w:val="14"/>
          <w:i w:val="1"/>
          <w:iCs w:val="1"/>
          <w:color w:val="auto"/>
        </w:rPr>
        <w:t xml:space="preserve"> </w:t>
      </w:r>
      <w:r>
        <w:rPr>
          <w:rFonts w:ascii="Arial" w:cs="Arial" w:eastAsia="Arial" w:hAnsi="Arial"/>
          <w:sz w:val="14"/>
          <w:szCs w:val="14"/>
          <w:color w:val="auto"/>
        </w:rPr>
        <w:t>our Named Executive Officers’ target annual total direct compensation, other than for Ms. Echard, is directly linked to our financial results and our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-2933065</wp:posOffset>
            </wp:positionV>
            <wp:extent cx="28975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-2221230</wp:posOffset>
            </wp:positionV>
            <wp:extent cx="28975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750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-1612900</wp:posOffset>
            </wp:positionV>
            <wp:extent cx="28975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-481330</wp:posOffset>
            </wp:positionV>
            <wp:extent cx="28975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32385</wp:posOffset>
            </wp:positionV>
            <wp:extent cx="28975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75565</wp:posOffset>
            </wp:positionV>
            <wp:extent cx="8229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288"/>
        <w:spacing w:after="0"/>
        <w:rPr>
          <w:sz w:val="20"/>
          <w:szCs w:val="20"/>
          <w:color w:val="auto"/>
        </w:rPr>
      </w:pPr>
      <w:r>
        <w:rPr>
          <w:rFonts w:ascii="Arial" w:cs="Arial" w:eastAsia="Arial" w:hAnsi="Arial"/>
          <w:sz w:val="14"/>
          <w:szCs w:val="14"/>
          <w:b w:val="1"/>
          <w:bCs w:val="1"/>
          <w:color w:val="FFFFFF"/>
        </w:rPr>
        <w:t>WHAT WE DON’T DO</w:t>
      </w:r>
    </w:p>
    <w:p>
      <w:pPr>
        <w:spacing w:after="0" w:line="271" w:lineRule="exact"/>
        <w:rPr>
          <w:sz w:val="20"/>
          <w:szCs w:val="20"/>
          <w:color w:val="auto"/>
        </w:rPr>
      </w:pPr>
    </w:p>
    <w:p>
      <w:pPr>
        <w:ind w:left="268" w:right="40" w:hanging="268"/>
        <w:spacing w:after="0" w:line="247" w:lineRule="auto"/>
        <w:tabs>
          <w:tab w:leader="none" w:pos="268"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 xml:space="preserve">No Executive Officer Retirement Plans. </w:t>
      </w:r>
      <w:r>
        <w:rPr>
          <w:rFonts w:ascii="Arial" w:cs="Arial" w:eastAsia="Arial" w:hAnsi="Arial"/>
          <w:sz w:val="14"/>
          <w:szCs w:val="14"/>
          <w:color w:val="auto"/>
        </w:rPr>
        <w:t>We do not currently</w:t>
      </w:r>
      <w:r>
        <w:rPr>
          <w:rFonts w:ascii="Arial" w:cs="Arial" w:eastAsia="Arial" w:hAnsi="Arial"/>
          <w:sz w:val="14"/>
          <w:szCs w:val="14"/>
          <w:i w:val="1"/>
          <w:iCs w:val="1"/>
          <w:color w:val="auto"/>
        </w:rPr>
        <w:t xml:space="preserve"> </w:t>
      </w:r>
      <w:r>
        <w:rPr>
          <w:rFonts w:ascii="Arial" w:cs="Arial" w:eastAsia="Arial" w:hAnsi="Arial"/>
          <w:sz w:val="14"/>
          <w:szCs w:val="14"/>
          <w:color w:val="auto"/>
        </w:rPr>
        <w:t>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118" w:lineRule="exact"/>
        <w:rPr>
          <w:rFonts w:ascii="Arial" w:cs="Arial" w:eastAsia="Arial" w:hAnsi="Arial"/>
          <w:sz w:val="14"/>
          <w:szCs w:val="14"/>
          <w:color w:val="auto"/>
        </w:rPr>
      </w:pPr>
    </w:p>
    <w:p>
      <w:pPr>
        <w:ind w:left="268" w:right="140" w:hanging="268"/>
        <w:spacing w:after="0" w:line="250" w:lineRule="auto"/>
        <w:tabs>
          <w:tab w:leader="none" w:pos="268"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 xml:space="preserve">Limited Executive Officer Perquisites. </w:t>
      </w:r>
      <w:r>
        <w:rPr>
          <w:rFonts w:ascii="Arial" w:cs="Arial" w:eastAsia="Arial" w:hAnsi="Arial"/>
          <w:sz w:val="14"/>
          <w:szCs w:val="14"/>
          <w:color w:val="auto"/>
        </w:rPr>
        <w:t>We generally provide</w:t>
      </w:r>
      <w:r>
        <w:rPr>
          <w:rFonts w:ascii="Arial" w:cs="Arial" w:eastAsia="Arial" w:hAnsi="Arial"/>
          <w:sz w:val="14"/>
          <w:szCs w:val="14"/>
          <w:i w:val="1"/>
          <w:iCs w:val="1"/>
          <w:color w:val="auto"/>
        </w:rPr>
        <w:t xml:space="preserve"> </w:t>
      </w:r>
      <w:r>
        <w:rPr>
          <w:rFonts w:ascii="Arial" w:cs="Arial" w:eastAsia="Arial" w:hAnsi="Arial"/>
          <w:sz w:val="14"/>
          <w:szCs w:val="14"/>
          <w:color w:val="auto"/>
        </w:rPr>
        <w:t>benefits to our Named Executive Officers on the same basis as provided to all of our employees, including health, dental and vision insurance; accidental death and dismemberment insurance; disability insurance; and a tax-qualified Section 401(k) plan.</w:t>
      </w:r>
    </w:p>
    <w:p>
      <w:pPr>
        <w:spacing w:after="0" w:line="114" w:lineRule="exact"/>
        <w:rPr>
          <w:rFonts w:ascii="Arial" w:cs="Arial" w:eastAsia="Arial" w:hAnsi="Arial"/>
          <w:sz w:val="14"/>
          <w:szCs w:val="14"/>
          <w:color w:val="auto"/>
        </w:rPr>
      </w:pPr>
    </w:p>
    <w:p>
      <w:pPr>
        <w:ind w:left="268" w:right="180" w:hanging="268"/>
        <w:spacing w:after="0" w:line="256" w:lineRule="auto"/>
        <w:tabs>
          <w:tab w:leader="none" w:pos="268"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 xml:space="preserve">No Tax Payments on Change-in-Control Arrangements. </w:t>
      </w:r>
      <w:r>
        <w:rPr>
          <w:rFonts w:ascii="Arial" w:cs="Arial" w:eastAsia="Arial" w:hAnsi="Arial"/>
          <w:sz w:val="14"/>
          <w:szCs w:val="14"/>
          <w:color w:val="auto"/>
        </w:rPr>
        <w:t>We</w:t>
      </w:r>
      <w:r>
        <w:rPr>
          <w:rFonts w:ascii="Arial" w:cs="Arial" w:eastAsia="Arial" w:hAnsi="Arial"/>
          <w:sz w:val="14"/>
          <w:szCs w:val="14"/>
          <w:i w:val="1"/>
          <w:iCs w:val="1"/>
          <w:color w:val="auto"/>
        </w:rPr>
        <w:t xml:space="preserve"> </w:t>
      </w:r>
      <w:r>
        <w:rPr>
          <w:rFonts w:ascii="Arial" w:cs="Arial" w:eastAsia="Arial" w:hAnsi="Arial"/>
          <w:sz w:val="14"/>
          <w:szCs w:val="14"/>
          <w:color w:val="auto"/>
        </w:rPr>
        <w:t>do not provide any excise tax reimbursement payments (including “gross-ups”) on payments or benefits that are contingent upon a change-in-control of the Company.</w:t>
      </w:r>
    </w:p>
    <w:p>
      <w:pPr>
        <w:spacing w:after="0" w:line="271" w:lineRule="exact"/>
        <w:rPr>
          <w:rFonts w:ascii="Arial" w:cs="Arial" w:eastAsia="Arial" w:hAnsi="Arial"/>
          <w:sz w:val="14"/>
          <w:szCs w:val="14"/>
          <w:color w:val="auto"/>
        </w:rPr>
      </w:pPr>
    </w:p>
    <w:p>
      <w:pPr>
        <w:ind w:left="268" w:hanging="268"/>
        <w:spacing w:after="0" w:line="246" w:lineRule="auto"/>
        <w:tabs>
          <w:tab w:leader="none" w:pos="268"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 xml:space="preserve">No Hedging or Pledging of our Securities. </w:t>
      </w:r>
      <w:r>
        <w:rPr>
          <w:rFonts w:ascii="Arial" w:cs="Arial" w:eastAsia="Arial" w:hAnsi="Arial"/>
          <w:sz w:val="14"/>
          <w:szCs w:val="14"/>
          <w:color w:val="auto"/>
        </w:rPr>
        <w:t>As part of our</w:t>
      </w:r>
      <w:r>
        <w:rPr>
          <w:rFonts w:ascii="Arial" w:cs="Arial" w:eastAsia="Arial" w:hAnsi="Arial"/>
          <w:sz w:val="14"/>
          <w:szCs w:val="14"/>
          <w:i w:val="1"/>
          <w:iCs w:val="1"/>
          <w:color w:val="auto"/>
        </w:rPr>
        <w:t xml:space="preserve"> </w:t>
      </w:r>
      <w:r>
        <w:rPr>
          <w:rFonts w:ascii="Arial" w:cs="Arial" w:eastAsia="Arial" w:hAnsi="Arial"/>
          <w:sz w:val="14"/>
          <w:szCs w:val="14"/>
          <w:color w:val="auto"/>
        </w:rPr>
        <w:t>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-2413000</wp:posOffset>
            </wp:positionV>
            <wp:extent cx="28886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-1701165</wp:posOffset>
            </wp:positionV>
            <wp:extent cx="28886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88615" cy="8890"/>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-1092835</wp:posOffset>
            </wp:positionV>
            <wp:extent cx="28886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38100</wp:posOffset>
            </wp:positionV>
            <wp:extent cx="28886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013" w:lineRule="exact"/>
        <w:rPr>
          <w:sz w:val="20"/>
          <w:szCs w:val="20"/>
          <w:color w:val="auto"/>
        </w:rPr>
      </w:pPr>
    </w:p>
    <w:p>
      <w:pPr>
        <w:sectPr>
          <w:pgSz w:w="11900" w:h="16838" w:orient="portrait"/>
          <w:cols w:equalWidth="0" w:num="2">
            <w:col w:w="4440" w:space="632"/>
            <w:col w:w="4228"/>
          </w:cols>
          <w:pgMar w:left="1240" w:top="114" w:right="1359" w:bottom="1440" w:gutter="0" w:footer="0" w:header="0"/>
          <w:type w:val="continuous"/>
        </w:sectPr>
      </w:pPr>
    </w:p>
    <w:p>
      <w:pPr>
        <w:ind w:left="240" w:right="120" w:hanging="234"/>
        <w:spacing w:after="0" w:line="200" w:lineRule="auto"/>
        <w:tabs>
          <w:tab w:leader="none" w:pos="240" w:val="left"/>
        </w:tabs>
        <w:numPr>
          <w:ilvl w:val="0"/>
          <w:numId w:val="29"/>
        </w:numPr>
        <w:rPr>
          <w:rFonts w:ascii="Arial" w:cs="Arial" w:eastAsia="Arial" w:hAnsi="Arial"/>
          <w:sz w:val="20"/>
          <w:szCs w:val="20"/>
          <w:b w:val="1"/>
          <w:bCs w:val="1"/>
          <w:color w:val="auto"/>
          <w:vertAlign w:val="superscript"/>
        </w:rPr>
      </w:pPr>
      <w:r>
        <w:rPr>
          <w:rFonts w:ascii="Arial" w:cs="Arial" w:eastAsia="Arial" w:hAnsi="Arial"/>
          <w:sz w:val="13"/>
          <w:szCs w:val="13"/>
          <w:b w:val="1"/>
          <w:bCs w:val="1"/>
          <w:color w:val="auto"/>
        </w:rPr>
        <w:t>Mr. Grazier ceased providing services to the Company on October 31, 2024. Ms. Echard does not have a target bonus under the agreement with SeatonHill described in the Form 8-K filed by the Company on July 20, 2023, although she was awarded a performance cash bonus as reflected in the Summary Compensation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59664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4560" w:type="dxa"/>
            <w:vAlign w:val="bottom"/>
            <w:shd w:val="clear" w:color="auto" w:fill="40C0C0"/>
          </w:tcPr>
          <w:p>
            <w:pPr>
              <w:ind w:left="1760"/>
              <w:spacing w:after="0"/>
              <w:rPr>
                <w:sz w:val="20"/>
                <w:szCs w:val="20"/>
                <w:color w:val="auto"/>
              </w:rPr>
            </w:pPr>
            <w:r>
              <w:rPr>
                <w:rFonts w:ascii="Arial" w:cs="Arial" w:eastAsia="Arial" w:hAnsi="Arial"/>
                <w:sz w:val="14"/>
                <w:szCs w:val="14"/>
                <w:b w:val="1"/>
                <w:bCs w:val="1"/>
                <w:color w:val="FFFFFF"/>
              </w:rPr>
              <w:t>WHAT WE DO</w:t>
            </w:r>
          </w:p>
        </w:tc>
        <w:tc>
          <w:tcPr>
            <w:tcW w:w="300" w:type="dxa"/>
            <w:vAlign w:val="bottom"/>
          </w:tcPr>
          <w:p>
            <w:pPr>
              <w:spacing w:after="0"/>
              <w:rPr>
                <w:sz w:val="24"/>
                <w:szCs w:val="24"/>
                <w:color w:val="auto"/>
              </w:rPr>
            </w:pPr>
          </w:p>
        </w:tc>
        <w:tc>
          <w:tcPr>
            <w:tcW w:w="4540" w:type="dxa"/>
            <w:vAlign w:val="bottom"/>
            <w:shd w:val="clear" w:color="auto" w:fill="000000"/>
          </w:tcPr>
          <w:p>
            <w:pPr>
              <w:ind w:left="1500"/>
              <w:spacing w:after="0"/>
              <w:rPr>
                <w:sz w:val="20"/>
                <w:szCs w:val="20"/>
                <w:color w:val="auto"/>
              </w:rPr>
            </w:pPr>
            <w:r>
              <w:rPr>
                <w:rFonts w:ascii="Arial" w:cs="Arial" w:eastAsia="Arial" w:hAnsi="Arial"/>
                <w:sz w:val="14"/>
                <w:szCs w:val="14"/>
                <w:b w:val="1"/>
                <w:bCs w:val="1"/>
                <w:color w:val="FFFFFF"/>
              </w:rPr>
              <w:t>WHAT WE DON’T DO</w:t>
            </w:r>
          </w:p>
        </w:tc>
      </w:tr>
      <w:tr>
        <w:trPr>
          <w:trHeight w:val="83"/>
        </w:trPr>
        <w:tc>
          <w:tcPr>
            <w:tcW w:w="4560" w:type="dxa"/>
            <w:vAlign w:val="bottom"/>
            <w:shd w:val="clear" w:color="auto" w:fill="40C0C0"/>
          </w:tcPr>
          <w:p>
            <w:pPr>
              <w:spacing w:after="0"/>
              <w:rPr>
                <w:sz w:val="7"/>
                <w:szCs w:val="7"/>
                <w:color w:val="auto"/>
              </w:rPr>
            </w:pPr>
          </w:p>
        </w:tc>
        <w:tc>
          <w:tcPr>
            <w:tcW w:w="300" w:type="dxa"/>
            <w:vAlign w:val="bottom"/>
          </w:tcPr>
          <w:p>
            <w:pPr>
              <w:spacing w:after="0"/>
              <w:rPr>
                <w:sz w:val="7"/>
                <w:szCs w:val="7"/>
                <w:color w:val="auto"/>
              </w:rPr>
            </w:pPr>
          </w:p>
        </w:tc>
        <w:tc>
          <w:tcPr>
            <w:tcW w:w="4540" w:type="dxa"/>
            <w:vAlign w:val="bottom"/>
            <w:shd w:val="clear" w:color="auto" w:fill="000000"/>
          </w:tcPr>
          <w:p>
            <w:pPr>
              <w:spacing w:after="0"/>
              <w:rPr>
                <w:sz w:val="7"/>
                <w:szCs w:val="7"/>
                <w:color w:val="auto"/>
              </w:rPr>
            </w:pPr>
          </w:p>
        </w:tc>
      </w:tr>
    </w:tbl>
    <w:p>
      <w:pPr>
        <w:spacing w:after="0" w:line="99" w:lineRule="exact"/>
        <w:rPr>
          <w:sz w:val="20"/>
          <w:szCs w:val="20"/>
          <w:color w:val="auto"/>
        </w:rPr>
      </w:pPr>
    </w:p>
    <w:p>
      <w:pPr>
        <w:jc w:val="both"/>
        <w:ind w:left="500" w:right="5080" w:hanging="274"/>
        <w:spacing w:after="0" w:line="256" w:lineRule="auto"/>
        <w:tabs>
          <w:tab w:leader="none" w:pos="500" w:val="left"/>
        </w:tabs>
        <w:numPr>
          <w:ilvl w:val="0"/>
          <w:numId w:val="30"/>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Multi-Year Vesting Requirements. </w:t>
      </w:r>
      <w:r>
        <w:rPr>
          <w:rFonts w:ascii="Arial" w:cs="Arial" w:eastAsia="Arial" w:hAnsi="Arial"/>
          <w:sz w:val="14"/>
          <w:szCs w:val="14"/>
          <w:color w:val="auto"/>
        </w:rPr>
        <w:t>The annual equity awards</w:t>
      </w:r>
      <w:r>
        <w:rPr>
          <w:rFonts w:ascii="Arial" w:cs="Arial" w:eastAsia="Arial" w:hAnsi="Arial"/>
          <w:sz w:val="14"/>
          <w:szCs w:val="14"/>
          <w:i w:val="1"/>
          <w:iCs w:val="1"/>
          <w:color w:val="auto"/>
        </w:rPr>
        <w:t xml:space="preserve"> </w:t>
      </w:r>
      <w:r>
        <w:rPr>
          <w:rFonts w:ascii="Arial" w:cs="Arial" w:eastAsia="Arial" w:hAnsi="Arial"/>
          <w:sz w:val="14"/>
          <w:szCs w:val="14"/>
          <w:color w:val="auto"/>
        </w:rPr>
        <w:t>granted to our Named Executive Officers are earned and/or vest over multi-year periods, consistent with current market practice and our retention objectives.</w:t>
      </w:r>
    </w:p>
    <w:p>
      <w:pPr>
        <w:spacing w:after="0" w:line="111" w:lineRule="exact"/>
        <w:rPr>
          <w:rFonts w:ascii="Arial" w:cs="Arial" w:eastAsia="Arial" w:hAnsi="Arial"/>
          <w:sz w:val="14"/>
          <w:szCs w:val="14"/>
          <w:b w:val="1"/>
          <w:bCs w:val="1"/>
          <w:color w:val="auto"/>
        </w:rPr>
      </w:pPr>
    </w:p>
    <w:p>
      <w:pPr>
        <w:ind w:left="500" w:right="5000" w:hanging="274"/>
        <w:spacing w:after="0" w:line="245" w:lineRule="auto"/>
        <w:tabs>
          <w:tab w:leader="none" w:pos="500" w:val="left"/>
        </w:tabs>
        <w:numPr>
          <w:ilvl w:val="0"/>
          <w:numId w:val="30"/>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Maintain “Double-Trigger” Change-in-Control Arrangements. </w:t>
      </w:r>
      <w:r>
        <w:rPr>
          <w:rFonts w:ascii="Arial" w:cs="Arial" w:eastAsia="Arial" w:hAnsi="Arial"/>
          <w:sz w:val="14"/>
          <w:szCs w:val="14"/>
          <w:color w:val="auto"/>
        </w:rPr>
        <w:t>Our Named Executive Officers other than Ms. Echard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118" w:lineRule="exact"/>
        <w:rPr>
          <w:rFonts w:ascii="Arial" w:cs="Arial" w:eastAsia="Arial" w:hAnsi="Arial"/>
          <w:sz w:val="14"/>
          <w:szCs w:val="14"/>
          <w:b w:val="1"/>
          <w:bCs w:val="1"/>
          <w:color w:val="auto"/>
        </w:rPr>
      </w:pPr>
    </w:p>
    <w:p>
      <w:pPr>
        <w:ind w:left="500" w:right="5060" w:hanging="274"/>
        <w:spacing w:after="0" w:line="256" w:lineRule="auto"/>
        <w:tabs>
          <w:tab w:leader="none" w:pos="500" w:val="left"/>
        </w:tabs>
        <w:numPr>
          <w:ilvl w:val="0"/>
          <w:numId w:val="30"/>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Only Broad-Based Health and Welfare Benefits. </w:t>
      </w:r>
      <w:r>
        <w:rPr>
          <w:rFonts w:ascii="Arial" w:cs="Arial" w:eastAsia="Arial" w:hAnsi="Arial"/>
          <w:sz w:val="14"/>
          <w:szCs w:val="14"/>
          <w:color w:val="auto"/>
        </w:rPr>
        <w:t>Our Named</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Officers participate in broad-based Company-sponsored health and welfare benefit programs on the same basis as our other employees.</w:t>
      </w:r>
    </w:p>
    <w:p>
      <w:pPr>
        <w:spacing w:after="0" w:line="109" w:lineRule="exact"/>
        <w:rPr>
          <w:rFonts w:ascii="Arial" w:cs="Arial" w:eastAsia="Arial" w:hAnsi="Arial"/>
          <w:sz w:val="14"/>
          <w:szCs w:val="14"/>
          <w:b w:val="1"/>
          <w:bCs w:val="1"/>
          <w:color w:val="auto"/>
        </w:rPr>
      </w:pPr>
    </w:p>
    <w:p>
      <w:pPr>
        <w:jc w:val="both"/>
        <w:ind w:left="500" w:right="5060" w:hanging="274"/>
        <w:spacing w:after="0" w:line="263" w:lineRule="auto"/>
        <w:tabs>
          <w:tab w:leader="none" w:pos="500" w:val="left"/>
        </w:tabs>
        <w:numPr>
          <w:ilvl w:val="0"/>
          <w:numId w:val="30"/>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Clawback Policy. </w:t>
      </w:r>
      <w:r>
        <w:rPr>
          <w:rFonts w:ascii="Arial" w:cs="Arial" w:eastAsia="Arial" w:hAnsi="Arial"/>
          <w:sz w:val="14"/>
          <w:szCs w:val="14"/>
          <w:color w:val="auto"/>
        </w:rPr>
        <w:t>We require compensation recoupment with</w:t>
      </w:r>
      <w:r>
        <w:rPr>
          <w:rFonts w:ascii="Arial" w:cs="Arial" w:eastAsia="Arial" w:hAnsi="Arial"/>
          <w:sz w:val="14"/>
          <w:szCs w:val="14"/>
          <w:i w:val="1"/>
          <w:iCs w:val="1"/>
          <w:color w:val="auto"/>
        </w:rPr>
        <w:t xml:space="preserve"> </w:t>
      </w:r>
      <w:r>
        <w:rPr>
          <w:rFonts w:ascii="Arial" w:cs="Arial" w:eastAsia="Arial" w:hAnsi="Arial"/>
          <w:sz w:val="14"/>
          <w:szCs w:val="14"/>
          <w:color w:val="auto"/>
        </w:rPr>
        <w:t>respect to our executive officers pursuant to the terms of our clawback policy.</w:t>
      </w:r>
    </w:p>
    <w:p>
      <w:pPr>
        <w:spacing w:after="0" w:line="105" w:lineRule="exact"/>
        <w:rPr>
          <w:rFonts w:ascii="Arial" w:cs="Arial" w:eastAsia="Arial" w:hAnsi="Arial"/>
          <w:sz w:val="14"/>
          <w:szCs w:val="14"/>
          <w:b w:val="1"/>
          <w:bCs w:val="1"/>
          <w:color w:val="auto"/>
        </w:rPr>
      </w:pPr>
    </w:p>
    <w:p>
      <w:pPr>
        <w:jc w:val="both"/>
        <w:ind w:left="500" w:right="4960" w:hanging="274"/>
        <w:spacing w:after="0" w:line="263" w:lineRule="auto"/>
        <w:tabs>
          <w:tab w:leader="none" w:pos="500" w:val="left"/>
        </w:tabs>
        <w:numPr>
          <w:ilvl w:val="0"/>
          <w:numId w:val="30"/>
        </w:numPr>
        <w:rPr>
          <w:rFonts w:ascii="Arial" w:cs="Arial" w:eastAsia="Arial" w:hAnsi="Arial"/>
          <w:sz w:val="14"/>
          <w:szCs w:val="14"/>
          <w:b w:val="1"/>
          <w:bCs w:val="1"/>
          <w:color w:val="auto"/>
        </w:rPr>
      </w:pPr>
      <w:r>
        <w:rPr>
          <w:rFonts w:ascii="Arial" w:cs="Arial" w:eastAsia="Arial" w:hAnsi="Arial"/>
          <w:sz w:val="14"/>
          <w:szCs w:val="14"/>
          <w:color w:val="auto"/>
        </w:rPr>
        <w:t>Succession Planning. We review the risks associated with our key executive officer positions to ensure adequate succession plans are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-2618740</wp:posOffset>
            </wp:positionV>
            <wp:extent cx="28975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-1289685</wp:posOffset>
            </wp:positionV>
            <wp:extent cx="28975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-784225</wp:posOffset>
            </wp:positionV>
            <wp:extent cx="28975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750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-381000</wp:posOffset>
            </wp:positionV>
            <wp:extent cx="28975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28975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Advisory Votes on Named Executive Officer Compensation</w:t>
      </w:r>
    </w:p>
    <w:p>
      <w:pPr>
        <w:spacing w:after="0" w:line="2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At the annual meeting to which this Proxy Statement relates, we will be conducting a non-binding vote on the compensation of our Named Executive Officers (commonly known as a “Say-on-Pay” vote).</w:t>
      </w:r>
    </w:p>
    <w:p>
      <w:pPr>
        <w:spacing w:after="0" w:line="10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See “Proposal No. 2: Advisory Vote, on a Non-binding Basis, to Approve the Compensation of Our Named Executive Officers for the Year Ended 2024” in this Proxy Statement.</w:t>
      </w:r>
    </w:p>
    <w:p>
      <w:pPr>
        <w:spacing w:after="0" w:line="102"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Although these are non-binding, advisory votes, we value the opinions of our stockholders. At our 2024 Annual Meeting of Stockholders, our stockholders approved, on an advisory basis, the compensation of our Named Executive Officers (98.22% of votes cast). The Board and the Compensation Committee believe this level of stockholder support reflects a very strong endorsement of our compensation policies and decisions. The Compensation Committee considered the results of this advisory vote in connection with developing our compensation policies and making compensation decisions for 2025.</w:t>
      </w:r>
    </w:p>
    <w:p>
      <w:pPr>
        <w:spacing w:after="0" w:line="126"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The Compensation Committee will consider the outcome of the 2025 Say-on-Pay vote, in addition to other relevant stockholder feedback that may be received throughout the year, when making future compensation decisions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59664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Executive Compensation Philosophy and Objectives</w:t>
      </w:r>
    </w:p>
    <w:p>
      <w:pPr>
        <w:spacing w:after="0" w:line="16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23" w:lineRule="exact"/>
        <w:rPr>
          <w:sz w:val="20"/>
          <w:szCs w:val="20"/>
          <w:color w:val="auto"/>
        </w:rPr>
      </w:pPr>
    </w:p>
    <w:p>
      <w:pPr>
        <w:ind w:left="600" w:right="520" w:hanging="288"/>
        <w:spacing w:after="0" w:line="286"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 Top Talent </w:t>
      </w:r>
      <w:r>
        <w:rPr>
          <w:rFonts w:ascii="Arial" w:cs="Arial" w:eastAsia="Arial" w:hAnsi="Arial"/>
          <w:sz w:val="16"/>
          <w:szCs w:val="16"/>
          <w:color w:val="auto"/>
        </w:rPr>
        <w:t>– Given the nature of our business and our long-term financial and strategic objectives, we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compete with other top technology companies for talent to build and grow our Company;</w:t>
      </w:r>
    </w:p>
    <w:p>
      <w:pPr>
        <w:spacing w:after="0" w:line="7" w:lineRule="exact"/>
        <w:rPr>
          <w:rFonts w:ascii="Arial" w:cs="Arial" w:eastAsia="Arial" w:hAnsi="Arial"/>
          <w:sz w:val="16"/>
          <w:szCs w:val="16"/>
          <w:color w:val="auto"/>
        </w:rPr>
      </w:pPr>
    </w:p>
    <w:p>
      <w:pPr>
        <w:ind w:left="600" w:right="40" w:hanging="288"/>
        <w:spacing w:after="0" w:line="266"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and Maintain a Performance-Based Culture </w:t>
      </w:r>
      <w:r>
        <w:rPr>
          <w:rFonts w:ascii="Arial" w:cs="Arial" w:eastAsia="Arial" w:hAnsi="Arial"/>
          <w:sz w:val="16"/>
          <w:szCs w:val="16"/>
          <w:color w:val="auto"/>
        </w:rPr>
        <w:t>– To be successful in a highly competitive market for talent,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must create consistency through a compensation program that motivates exceptional performance by expanding the reach of our employees’ incentives so that they may share in the success of our business with our stockholders; and</w:t>
      </w:r>
    </w:p>
    <w:p>
      <w:pPr>
        <w:spacing w:after="0" w:line="36" w:lineRule="exact"/>
        <w:rPr>
          <w:rFonts w:ascii="Arial" w:cs="Arial" w:eastAsia="Arial" w:hAnsi="Arial"/>
          <w:sz w:val="16"/>
          <w:szCs w:val="16"/>
          <w:color w:val="auto"/>
        </w:rPr>
      </w:pPr>
    </w:p>
    <w:p>
      <w:pPr>
        <w:ind w:left="600" w:right="20" w:hanging="288"/>
        <w:spacing w:after="0" w:line="266"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Retain Exceptional Employees </w:t>
      </w:r>
      <w:r>
        <w:rPr>
          <w:rFonts w:ascii="Arial" w:cs="Arial" w:eastAsia="Arial" w:hAnsi="Arial"/>
          <w:sz w:val="16"/>
          <w:szCs w:val="16"/>
          <w:color w:val="auto"/>
        </w:rPr>
        <w:t>– To ensure that we can meet our objectives, we must foster a culture that instills a sense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commitment to the organization and each other while, at the same time, recognizing and rewarding individual contributions and impact.</w:t>
      </w:r>
    </w:p>
    <w:p>
      <w:pPr>
        <w:spacing w:after="0" w:line="117" w:lineRule="exact"/>
        <w:rPr>
          <w:sz w:val="20"/>
          <w:szCs w:val="20"/>
          <w:color w:val="auto"/>
        </w:rPr>
      </w:pPr>
    </w:p>
    <w:p>
      <w:pPr>
        <w:ind w:right="560"/>
        <w:spacing w:after="0" w:line="259" w:lineRule="auto"/>
        <w:rPr>
          <w:sz w:val="20"/>
          <w:szCs w:val="20"/>
          <w:color w:val="auto"/>
        </w:rPr>
      </w:pPr>
      <w:r>
        <w:rPr>
          <w:rFonts w:ascii="Arial" w:cs="Arial" w:eastAsia="Arial" w:hAnsi="Arial"/>
          <w:sz w:val="16"/>
          <w:szCs w:val="16"/>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124" w:lineRule="exact"/>
        <w:rPr>
          <w:sz w:val="20"/>
          <w:szCs w:val="20"/>
          <w:color w:val="auto"/>
        </w:rPr>
      </w:pPr>
    </w:p>
    <w:p>
      <w:pPr>
        <w:jc w:val="both"/>
        <w:ind w:right="240"/>
        <w:spacing w:after="0" w:line="256" w:lineRule="auto"/>
        <w:rPr>
          <w:sz w:val="20"/>
          <w:szCs w:val="20"/>
          <w:color w:val="auto"/>
        </w:rPr>
      </w:pPr>
      <w:r>
        <w:rPr>
          <w:rFonts w:ascii="Arial" w:cs="Arial" w:eastAsia="Arial" w:hAnsi="Arial"/>
          <w:sz w:val="16"/>
          <w:szCs w:val="16"/>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Compensation Elements</w:t>
      </w:r>
    </w:p>
    <w:p>
      <w:pPr>
        <w:spacing w:after="0" w:line="16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Generally, our executive compensation program consists of three principal elements – base salary, cash bonus opportunities, and long-term incentive compensation in the form of equity awards.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1280" w:type="dxa"/>
            <w:vAlign w:val="bottom"/>
            <w:tcBorders>
              <w:bottom w:val="single" w:sz="8" w:color="auto"/>
            </w:tcBorders>
            <w:shd w:val="clear" w:color="auto" w:fill="000000"/>
          </w:tcPr>
          <w:p>
            <w:pPr>
              <w:ind w:left="160"/>
              <w:spacing w:after="0"/>
              <w:rPr>
                <w:sz w:val="20"/>
                <w:szCs w:val="20"/>
                <w:color w:val="auto"/>
              </w:rPr>
            </w:pPr>
            <w:r>
              <w:rPr>
                <w:rFonts w:ascii="Arial" w:cs="Arial" w:eastAsia="Arial" w:hAnsi="Arial"/>
                <w:sz w:val="14"/>
                <w:szCs w:val="14"/>
                <w:b w:val="1"/>
                <w:bCs w:val="1"/>
                <w:color w:val="FFFFFF"/>
              </w:rPr>
              <w:t>Element</w:t>
            </w:r>
          </w:p>
        </w:tc>
        <w:tc>
          <w:tcPr>
            <w:tcW w:w="1320" w:type="dxa"/>
            <w:vAlign w:val="bottom"/>
            <w:tcBorders>
              <w:bottom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Type of Element</w:t>
            </w:r>
          </w:p>
        </w:tc>
        <w:tc>
          <w:tcPr>
            <w:tcW w:w="2060" w:type="dxa"/>
            <w:vAlign w:val="bottom"/>
            <w:tcBorders>
              <w:bottom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Compensation Element</w:t>
            </w:r>
          </w:p>
        </w:tc>
        <w:tc>
          <w:tcPr>
            <w:tcW w:w="4740" w:type="dxa"/>
            <w:vAlign w:val="bottom"/>
            <w:tcBorders>
              <w:bottom w:val="single" w:sz="8" w:color="auto"/>
            </w:tcBorders>
            <w:shd w:val="clear" w:color="auto" w:fill="000000"/>
          </w:tcPr>
          <w:p>
            <w:pPr>
              <w:ind w:left="340"/>
              <w:spacing w:after="0"/>
              <w:rPr>
                <w:sz w:val="20"/>
                <w:szCs w:val="20"/>
                <w:color w:val="auto"/>
              </w:rPr>
            </w:pPr>
            <w:r>
              <w:rPr>
                <w:rFonts w:ascii="Arial" w:cs="Arial" w:eastAsia="Arial" w:hAnsi="Arial"/>
                <w:sz w:val="14"/>
                <w:szCs w:val="14"/>
                <w:b w:val="1"/>
                <w:bCs w:val="1"/>
                <w:color w:val="FFFFFF"/>
              </w:rPr>
              <w:t>Objective</w:t>
            </w:r>
          </w:p>
        </w:tc>
      </w:tr>
      <w:tr>
        <w:trPr>
          <w:trHeight w:val="220"/>
        </w:trPr>
        <w:tc>
          <w:tcPr>
            <w:tcW w:w="1280" w:type="dxa"/>
            <w:vAlign w:val="bottom"/>
          </w:tcPr>
          <w:p>
            <w:pPr>
              <w:ind w:left="160"/>
              <w:spacing w:after="0"/>
              <w:rPr>
                <w:sz w:val="20"/>
                <w:szCs w:val="20"/>
                <w:color w:val="auto"/>
              </w:rPr>
            </w:pPr>
            <w:r>
              <w:rPr>
                <w:rFonts w:ascii="Arial" w:cs="Arial" w:eastAsia="Arial" w:hAnsi="Arial"/>
                <w:sz w:val="14"/>
                <w:szCs w:val="14"/>
                <w:b w:val="1"/>
                <w:bCs w:val="1"/>
                <w:color w:val="40C0C0"/>
              </w:rPr>
              <w:t>Base Salary</w:t>
            </w:r>
          </w:p>
        </w:tc>
        <w:tc>
          <w:tcPr>
            <w:tcW w:w="1320" w:type="dxa"/>
            <w:vAlign w:val="bottom"/>
          </w:tcPr>
          <w:p>
            <w:pPr>
              <w:ind w:left="120"/>
              <w:spacing w:after="0"/>
              <w:rPr>
                <w:sz w:val="20"/>
                <w:szCs w:val="20"/>
                <w:color w:val="auto"/>
              </w:rPr>
            </w:pPr>
            <w:r>
              <w:rPr>
                <w:rFonts w:ascii="Arial" w:cs="Arial" w:eastAsia="Arial" w:hAnsi="Arial"/>
                <w:sz w:val="14"/>
                <w:szCs w:val="14"/>
                <w:color w:val="auto"/>
              </w:rPr>
              <w:t>Fixed</w:t>
            </w:r>
          </w:p>
        </w:tc>
        <w:tc>
          <w:tcPr>
            <w:tcW w:w="2060" w:type="dxa"/>
            <w:vAlign w:val="bottom"/>
          </w:tcPr>
          <w:p>
            <w:pPr>
              <w:ind w:left="120"/>
              <w:spacing w:after="0"/>
              <w:rPr>
                <w:sz w:val="20"/>
                <w:szCs w:val="20"/>
                <w:color w:val="auto"/>
              </w:rPr>
            </w:pPr>
            <w:r>
              <w:rPr>
                <w:rFonts w:ascii="Arial" w:cs="Arial" w:eastAsia="Arial" w:hAnsi="Arial"/>
                <w:sz w:val="14"/>
                <w:szCs w:val="14"/>
                <w:color w:val="auto"/>
              </w:rPr>
              <w:t>Cash</w:t>
            </w:r>
          </w:p>
        </w:tc>
        <w:tc>
          <w:tcPr>
            <w:tcW w:w="4740" w:type="dxa"/>
            <w:vAlign w:val="bottom"/>
          </w:tcPr>
          <w:p>
            <w:pPr>
              <w:ind w:left="340"/>
              <w:spacing w:after="0"/>
              <w:rPr>
                <w:sz w:val="20"/>
                <w:szCs w:val="20"/>
                <w:color w:val="auto"/>
              </w:rPr>
            </w:pPr>
            <w:r>
              <w:rPr>
                <w:rFonts w:ascii="Arial" w:cs="Arial" w:eastAsia="Arial" w:hAnsi="Arial"/>
                <w:sz w:val="14"/>
                <w:szCs w:val="14"/>
                <w:color w:val="auto"/>
              </w:rPr>
              <w:t>Designed to attract and retain executives by providing a</w:t>
            </w:r>
          </w:p>
        </w:tc>
      </w:tr>
      <w:tr>
        <w:trPr>
          <w:trHeight w:val="162"/>
        </w:trPr>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40" w:type="dxa"/>
            <w:vAlign w:val="bottom"/>
          </w:tcPr>
          <w:p>
            <w:pPr>
              <w:ind w:left="340"/>
              <w:spacing w:after="0"/>
              <w:rPr>
                <w:sz w:val="20"/>
                <w:szCs w:val="20"/>
                <w:color w:val="auto"/>
              </w:rPr>
            </w:pPr>
            <w:r>
              <w:rPr>
                <w:rFonts w:ascii="Arial" w:cs="Arial" w:eastAsia="Arial" w:hAnsi="Arial"/>
                <w:sz w:val="14"/>
                <w:szCs w:val="14"/>
                <w:color w:val="auto"/>
              </w:rPr>
              <w:t>competitive fixed amount of cash compensation based on the</w:t>
            </w:r>
          </w:p>
        </w:tc>
      </w:tr>
      <w:tr>
        <w:trPr>
          <w:trHeight w:val="162"/>
        </w:trPr>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40" w:type="dxa"/>
            <w:vAlign w:val="bottom"/>
          </w:tcPr>
          <w:p>
            <w:pPr>
              <w:ind w:left="340"/>
              <w:spacing w:after="0"/>
              <w:rPr>
                <w:sz w:val="20"/>
                <w:szCs w:val="20"/>
                <w:color w:val="auto"/>
              </w:rPr>
            </w:pPr>
            <w:r>
              <w:rPr>
                <w:rFonts w:ascii="Arial" w:cs="Arial" w:eastAsia="Arial" w:hAnsi="Arial"/>
                <w:sz w:val="14"/>
                <w:szCs w:val="14"/>
                <w:color w:val="auto"/>
              </w:rPr>
              <w:t>executive’s role, prior experience, and expected contributions to</w:t>
            </w:r>
          </w:p>
        </w:tc>
      </w:tr>
      <w:tr>
        <w:trPr>
          <w:trHeight w:val="190"/>
        </w:trPr>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40" w:type="dxa"/>
            <w:vAlign w:val="bottom"/>
          </w:tcPr>
          <w:p>
            <w:pPr>
              <w:ind w:left="340"/>
              <w:spacing w:after="0"/>
              <w:rPr>
                <w:sz w:val="20"/>
                <w:szCs w:val="20"/>
                <w:color w:val="auto"/>
              </w:rPr>
            </w:pPr>
            <w:r>
              <w:rPr>
                <w:rFonts w:ascii="Arial" w:cs="Arial" w:eastAsia="Arial" w:hAnsi="Arial"/>
                <w:sz w:val="14"/>
                <w:szCs w:val="14"/>
                <w:color w:val="auto"/>
              </w:rPr>
              <w:t>the Company</w:t>
            </w:r>
          </w:p>
        </w:tc>
      </w:tr>
      <w:tr>
        <w:trPr>
          <w:trHeight w:val="49"/>
        </w:trPr>
        <w:tc>
          <w:tcPr>
            <w:tcW w:w="1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r>
      <w:tr>
        <w:trPr>
          <w:trHeight w:val="214"/>
        </w:trPr>
        <w:tc>
          <w:tcPr>
            <w:tcW w:w="1280" w:type="dxa"/>
            <w:vAlign w:val="bottom"/>
          </w:tcPr>
          <w:p>
            <w:pPr>
              <w:ind w:left="160"/>
              <w:spacing w:after="0"/>
              <w:rPr>
                <w:sz w:val="20"/>
                <w:szCs w:val="20"/>
                <w:color w:val="auto"/>
              </w:rPr>
            </w:pPr>
            <w:r>
              <w:rPr>
                <w:rFonts w:ascii="Arial" w:cs="Arial" w:eastAsia="Arial" w:hAnsi="Arial"/>
                <w:sz w:val="14"/>
                <w:szCs w:val="14"/>
                <w:b w:val="1"/>
                <w:bCs w:val="1"/>
                <w:color w:val="40C0C0"/>
              </w:rPr>
              <w:t>Cash Bonuses</w:t>
            </w:r>
          </w:p>
        </w:tc>
        <w:tc>
          <w:tcPr>
            <w:tcW w:w="1320" w:type="dxa"/>
            <w:vAlign w:val="bottom"/>
          </w:tcPr>
          <w:p>
            <w:pPr>
              <w:ind w:left="120"/>
              <w:spacing w:after="0"/>
              <w:rPr>
                <w:sz w:val="20"/>
                <w:szCs w:val="20"/>
                <w:color w:val="auto"/>
              </w:rPr>
            </w:pPr>
            <w:r>
              <w:rPr>
                <w:rFonts w:ascii="Arial" w:cs="Arial" w:eastAsia="Arial" w:hAnsi="Arial"/>
                <w:sz w:val="14"/>
                <w:szCs w:val="14"/>
                <w:color w:val="auto"/>
              </w:rPr>
              <w:t>Variable</w:t>
            </w:r>
          </w:p>
        </w:tc>
        <w:tc>
          <w:tcPr>
            <w:tcW w:w="2060" w:type="dxa"/>
            <w:vAlign w:val="bottom"/>
          </w:tcPr>
          <w:p>
            <w:pPr>
              <w:ind w:left="120"/>
              <w:spacing w:after="0"/>
              <w:rPr>
                <w:sz w:val="20"/>
                <w:szCs w:val="20"/>
                <w:color w:val="auto"/>
              </w:rPr>
            </w:pPr>
            <w:r>
              <w:rPr>
                <w:rFonts w:ascii="Arial" w:cs="Arial" w:eastAsia="Arial" w:hAnsi="Arial"/>
                <w:sz w:val="14"/>
                <w:szCs w:val="14"/>
                <w:color w:val="auto"/>
              </w:rPr>
              <w:t>Cash</w:t>
            </w:r>
          </w:p>
        </w:tc>
        <w:tc>
          <w:tcPr>
            <w:tcW w:w="4740" w:type="dxa"/>
            <w:vAlign w:val="bottom"/>
          </w:tcPr>
          <w:p>
            <w:pPr>
              <w:ind w:left="340"/>
              <w:spacing w:after="0"/>
              <w:rPr>
                <w:sz w:val="20"/>
                <w:szCs w:val="20"/>
                <w:color w:val="auto"/>
              </w:rPr>
            </w:pPr>
            <w:r>
              <w:rPr>
                <w:rFonts w:ascii="Arial" w:cs="Arial" w:eastAsia="Arial" w:hAnsi="Arial"/>
                <w:sz w:val="14"/>
                <w:szCs w:val="14"/>
                <w:color w:val="auto"/>
              </w:rPr>
              <w:t>Designed to motivate our executives to achieve business</w:t>
            </w:r>
          </w:p>
        </w:tc>
      </w:tr>
      <w:tr>
        <w:trPr>
          <w:trHeight w:val="162"/>
        </w:trPr>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40" w:type="dxa"/>
            <w:vAlign w:val="bottom"/>
          </w:tcPr>
          <w:p>
            <w:pPr>
              <w:ind w:left="340"/>
              <w:spacing w:after="0"/>
              <w:rPr>
                <w:sz w:val="20"/>
                <w:szCs w:val="20"/>
                <w:color w:val="auto"/>
              </w:rPr>
            </w:pPr>
            <w:r>
              <w:rPr>
                <w:rFonts w:ascii="Arial" w:cs="Arial" w:eastAsia="Arial" w:hAnsi="Arial"/>
                <w:sz w:val="14"/>
                <w:szCs w:val="14"/>
                <w:color w:val="auto"/>
              </w:rPr>
              <w:t>objectives tied to specific Company metrics and which are aligned</w:t>
            </w:r>
          </w:p>
        </w:tc>
      </w:tr>
      <w:tr>
        <w:trPr>
          <w:trHeight w:val="162"/>
        </w:trPr>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40" w:type="dxa"/>
            <w:vAlign w:val="bottom"/>
          </w:tcPr>
          <w:p>
            <w:pPr>
              <w:ind w:left="340"/>
              <w:spacing w:after="0"/>
              <w:rPr>
                <w:sz w:val="20"/>
                <w:szCs w:val="20"/>
                <w:color w:val="auto"/>
              </w:rPr>
            </w:pPr>
            <w:r>
              <w:rPr>
                <w:rFonts w:ascii="Arial" w:cs="Arial" w:eastAsia="Arial" w:hAnsi="Arial"/>
                <w:sz w:val="14"/>
                <w:szCs w:val="14"/>
                <w:color w:val="auto"/>
              </w:rPr>
              <w:t>to our annual priorities, with the payout opportunity based on</w:t>
            </w:r>
          </w:p>
        </w:tc>
      </w:tr>
      <w:tr>
        <w:trPr>
          <w:trHeight w:val="190"/>
        </w:trPr>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40" w:type="dxa"/>
            <w:vAlign w:val="bottom"/>
          </w:tcPr>
          <w:p>
            <w:pPr>
              <w:ind w:left="340"/>
              <w:spacing w:after="0"/>
              <w:rPr>
                <w:sz w:val="20"/>
                <w:szCs w:val="20"/>
                <w:color w:val="auto"/>
              </w:rPr>
            </w:pPr>
            <w:r>
              <w:rPr>
                <w:rFonts w:ascii="Arial" w:cs="Arial" w:eastAsia="Arial" w:hAnsi="Arial"/>
                <w:sz w:val="14"/>
                <w:szCs w:val="14"/>
                <w:color w:val="auto"/>
              </w:rPr>
              <w:t>Company and individual 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59664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120" w:lineRule="exact"/>
        <w:rPr>
          <w:sz w:val="20"/>
          <w:szCs w:val="20"/>
          <w:color w:val="auto"/>
        </w:rPr>
      </w:pPr>
    </w:p>
    <w:p>
      <w:pPr>
        <w:ind w:left="160"/>
        <w:spacing w:after="0"/>
        <w:tabs>
          <w:tab w:leader="none" w:pos="1380" w:val="left"/>
          <w:tab w:leader="none" w:pos="2700" w:val="left"/>
        </w:tabs>
        <w:rPr>
          <w:sz w:val="20"/>
          <w:szCs w:val="20"/>
          <w:color w:val="auto"/>
        </w:rPr>
      </w:pPr>
      <w:r>
        <w:rPr>
          <w:rFonts w:ascii="Arial" w:cs="Arial" w:eastAsia="Arial" w:hAnsi="Arial"/>
          <w:sz w:val="14"/>
          <w:szCs w:val="14"/>
          <w:b w:val="1"/>
          <w:bCs w:val="1"/>
          <w:color w:val="40C0C0"/>
        </w:rPr>
        <w:t>Long Term</w:t>
      </w:r>
      <w:r>
        <w:rPr>
          <w:sz w:val="20"/>
          <w:szCs w:val="20"/>
          <w:color w:val="auto"/>
        </w:rPr>
        <w:tab/>
      </w:r>
      <w:r>
        <w:rPr>
          <w:rFonts w:ascii="Arial" w:cs="Arial" w:eastAsia="Arial" w:hAnsi="Arial"/>
          <w:sz w:val="14"/>
          <w:szCs w:val="14"/>
          <w:color w:val="auto"/>
        </w:rPr>
        <w:t>Variable</w:t>
      </w:r>
      <w:r>
        <w:rPr>
          <w:sz w:val="20"/>
          <w:szCs w:val="20"/>
          <w:color w:val="auto"/>
        </w:rPr>
        <w:tab/>
      </w:r>
      <w:r>
        <w:rPr>
          <w:rFonts w:ascii="Arial" w:cs="Arial" w:eastAsia="Arial" w:hAnsi="Arial"/>
          <w:sz w:val="14"/>
          <w:szCs w:val="14"/>
          <w:color w:val="auto"/>
        </w:rPr>
        <w:t>Equity awards in the form of</w:t>
      </w:r>
    </w:p>
    <w:p>
      <w:pPr>
        <w:spacing w:after="0" w:line="15" w:lineRule="exact"/>
        <w:rPr>
          <w:sz w:val="20"/>
          <w:szCs w:val="20"/>
          <w:color w:val="auto"/>
        </w:rPr>
      </w:pPr>
    </w:p>
    <w:p>
      <w:pPr>
        <w:ind w:left="160"/>
        <w:spacing w:after="0"/>
        <w:tabs>
          <w:tab w:leader="none" w:pos="2700" w:val="left"/>
        </w:tabs>
        <w:rPr>
          <w:sz w:val="20"/>
          <w:szCs w:val="20"/>
          <w:color w:val="auto"/>
        </w:rPr>
      </w:pPr>
      <w:r>
        <w:rPr>
          <w:rFonts w:ascii="Arial" w:cs="Arial" w:eastAsia="Arial" w:hAnsi="Arial"/>
          <w:sz w:val="14"/>
          <w:szCs w:val="14"/>
          <w:b w:val="1"/>
          <w:bCs w:val="1"/>
          <w:color w:val="40C0C0"/>
        </w:rPr>
        <w:t>Incentive</w:t>
      </w:r>
      <w:r>
        <w:rPr>
          <w:sz w:val="20"/>
          <w:szCs w:val="20"/>
          <w:color w:val="auto"/>
        </w:rPr>
        <w:tab/>
      </w:r>
      <w:r>
        <w:rPr>
          <w:rFonts w:ascii="Arial" w:cs="Arial" w:eastAsia="Arial" w:hAnsi="Arial"/>
          <w:sz w:val="14"/>
          <w:szCs w:val="14"/>
          <w:color w:val="auto"/>
        </w:rPr>
        <w:t>RSU awards that may be settled</w:t>
      </w:r>
    </w:p>
    <w:p>
      <w:pPr>
        <w:spacing w:after="0" w:line="1" w:lineRule="exact"/>
        <w:rPr>
          <w:sz w:val="20"/>
          <w:szCs w:val="20"/>
          <w:color w:val="auto"/>
        </w:rPr>
      </w:pPr>
    </w:p>
    <w:p>
      <w:pPr>
        <w:ind w:left="160"/>
        <w:spacing w:after="0"/>
        <w:tabs>
          <w:tab w:leader="none" w:pos="2700" w:val="left"/>
        </w:tabs>
        <w:rPr>
          <w:sz w:val="20"/>
          <w:szCs w:val="20"/>
          <w:color w:val="auto"/>
        </w:rPr>
      </w:pPr>
      <w:r>
        <w:rPr>
          <w:rFonts w:ascii="Arial" w:cs="Arial" w:eastAsia="Arial" w:hAnsi="Arial"/>
          <w:sz w:val="14"/>
          <w:szCs w:val="14"/>
          <w:b w:val="1"/>
          <w:bCs w:val="1"/>
          <w:color w:val="40C0C0"/>
        </w:rPr>
        <w:t>Compensation</w:t>
      </w:r>
      <w:r>
        <w:rPr>
          <w:sz w:val="20"/>
          <w:szCs w:val="20"/>
          <w:color w:val="auto"/>
        </w:rPr>
        <w:tab/>
      </w:r>
      <w:r>
        <w:rPr>
          <w:rFonts w:ascii="Arial" w:cs="Arial" w:eastAsia="Arial" w:hAnsi="Arial"/>
          <w:sz w:val="14"/>
          <w:szCs w:val="14"/>
          <w:color w:val="auto"/>
        </w:rPr>
        <w:t>for shares of our Class A</w:t>
      </w:r>
    </w:p>
    <w:p>
      <w:pPr>
        <w:spacing w:after="0" w:line="1"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Common Stock and PRSU</w:t>
      </w:r>
    </w:p>
    <w:p>
      <w:pPr>
        <w:spacing w:after="0" w:line="1"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awards that may be earned and</w:t>
      </w:r>
    </w:p>
    <w:p>
      <w:pPr>
        <w:spacing w:after="0" w:line="1"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settled for shares of our Class A</w:t>
      </w:r>
    </w:p>
    <w:p>
      <w:pPr>
        <w:spacing w:after="0" w:line="1"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59664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Designed to align the interests of our executives and our stockholders while helping to attract and retain talented leaders by paying for performance</w:t>
      </w:r>
    </w:p>
    <w:p>
      <w:pPr>
        <w:spacing w:after="0" w:line="817" w:lineRule="exact"/>
        <w:rPr>
          <w:sz w:val="20"/>
          <w:szCs w:val="20"/>
          <w:color w:val="auto"/>
        </w:rPr>
      </w:pPr>
    </w:p>
    <w:p>
      <w:pPr>
        <w:sectPr>
          <w:pgSz w:w="11900" w:h="16838" w:orient="portrait"/>
          <w:cols w:equalWidth="0" w:num="2">
            <w:col w:w="4780" w:space="220"/>
            <w:col w:w="4400"/>
          </w:cols>
          <w:pgMar w:left="1240" w:top="114" w:right="1259" w:bottom="1440" w:gutter="0" w:footer="0" w:header="0"/>
          <w:type w:val="continuous"/>
        </w:sectPr>
      </w:pPr>
    </w:p>
    <w:p>
      <w:pPr>
        <w:spacing w:after="0" w:line="52"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59664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annual base salaries of our Named Executive Officers for 2024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4880" w:type="dxa"/>
            <w:vAlign w:val="bottom"/>
            <w:shd w:val="clear" w:color="auto" w:fill="000000"/>
          </w:tcPr>
          <w:p>
            <w:pPr>
              <w:ind w:left="200"/>
              <w:spacing w:after="0"/>
              <w:rPr>
                <w:sz w:val="20"/>
                <w:szCs w:val="20"/>
                <w:color w:val="auto"/>
              </w:rPr>
            </w:pPr>
            <w:r>
              <w:rPr>
                <w:rFonts w:ascii="Arial" w:cs="Arial" w:eastAsia="Arial" w:hAnsi="Arial"/>
                <w:sz w:val="14"/>
                <w:szCs w:val="14"/>
                <w:b w:val="1"/>
                <w:bCs w:val="1"/>
                <w:color w:val="FFFFFF"/>
              </w:rPr>
              <w:t>Named Executive Officer</w:t>
            </w:r>
          </w:p>
        </w:tc>
        <w:tc>
          <w:tcPr>
            <w:tcW w:w="452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2024 Base Salary ($)</w:t>
            </w:r>
          </w:p>
        </w:tc>
      </w:tr>
      <w:tr>
        <w:trPr>
          <w:trHeight w:val="70"/>
        </w:trPr>
        <w:tc>
          <w:tcPr>
            <w:tcW w:w="4880" w:type="dxa"/>
            <w:vAlign w:val="bottom"/>
            <w:shd w:val="clear" w:color="auto" w:fill="000000"/>
          </w:tcPr>
          <w:p>
            <w:pPr>
              <w:spacing w:after="0"/>
              <w:rPr>
                <w:sz w:val="6"/>
                <w:szCs w:val="6"/>
                <w:color w:val="auto"/>
              </w:rPr>
            </w:pPr>
          </w:p>
        </w:tc>
        <w:tc>
          <w:tcPr>
            <w:tcW w:w="4520" w:type="dxa"/>
            <w:vAlign w:val="bottom"/>
            <w:shd w:val="clear" w:color="auto" w:fill="000000"/>
          </w:tcPr>
          <w:p>
            <w:pPr>
              <w:spacing w:after="0"/>
              <w:rPr>
                <w:sz w:val="6"/>
                <w:szCs w:val="6"/>
                <w:color w:val="auto"/>
              </w:rPr>
            </w:pPr>
          </w:p>
        </w:tc>
      </w:tr>
      <w:tr>
        <w:trPr>
          <w:trHeight w:val="378"/>
        </w:trPr>
        <w:tc>
          <w:tcPr>
            <w:tcW w:w="4880" w:type="dxa"/>
            <w:vAlign w:val="bottom"/>
            <w:tcBorders>
              <w:bottom w:val="single" w:sz="8" w:color="999999"/>
            </w:tcBorders>
          </w:tcPr>
          <w:p>
            <w:pPr>
              <w:ind w:left="200"/>
              <w:spacing w:after="0"/>
              <w:rPr>
                <w:sz w:val="20"/>
                <w:szCs w:val="20"/>
                <w:color w:val="auto"/>
              </w:rPr>
            </w:pPr>
            <w:r>
              <w:rPr>
                <w:rFonts w:ascii="Arial" w:cs="Arial" w:eastAsia="Arial" w:hAnsi="Arial"/>
                <w:sz w:val="14"/>
                <w:szCs w:val="14"/>
                <w:b w:val="1"/>
                <w:bCs w:val="1"/>
                <w:color w:val="40C0C0"/>
              </w:rPr>
              <w:t>Douglas Francis</w:t>
            </w:r>
            <w:r>
              <w:rPr>
                <w:rFonts w:ascii="Arial" w:cs="Arial" w:eastAsia="Arial" w:hAnsi="Arial"/>
                <w:sz w:val="23"/>
                <w:szCs w:val="23"/>
                <w:b w:val="1"/>
                <w:bCs w:val="1"/>
                <w:color w:val="40C0C0"/>
                <w:vertAlign w:val="superscript"/>
              </w:rPr>
              <w:t>(1)</w:t>
            </w:r>
          </w:p>
        </w:tc>
        <w:tc>
          <w:tcPr>
            <w:tcW w:w="4520" w:type="dxa"/>
            <w:vAlign w:val="bottom"/>
            <w:tcBorders>
              <w:bottom w:val="single" w:sz="8" w:color="999999"/>
            </w:tcBorders>
          </w:tcPr>
          <w:p>
            <w:pPr>
              <w:jc w:val="right"/>
              <w:ind w:right="188"/>
              <w:spacing w:after="0"/>
              <w:rPr>
                <w:sz w:val="20"/>
                <w:szCs w:val="20"/>
                <w:color w:val="auto"/>
              </w:rPr>
            </w:pPr>
            <w:r>
              <w:rPr>
                <w:rFonts w:ascii="Arial" w:cs="Arial" w:eastAsia="Arial" w:hAnsi="Arial"/>
                <w:sz w:val="14"/>
                <w:szCs w:val="14"/>
                <w:color w:val="auto"/>
              </w:rPr>
              <w:t>$987,346</w:t>
            </w:r>
          </w:p>
        </w:tc>
      </w:tr>
      <w:tr>
        <w:trPr>
          <w:trHeight w:val="358"/>
        </w:trPr>
        <w:tc>
          <w:tcPr>
            <w:tcW w:w="4880" w:type="dxa"/>
            <w:vAlign w:val="bottom"/>
            <w:tcBorders>
              <w:bottom w:val="single" w:sz="8" w:color="999999"/>
            </w:tcBorders>
          </w:tcPr>
          <w:p>
            <w:pPr>
              <w:ind w:left="200"/>
              <w:spacing w:after="0"/>
              <w:rPr>
                <w:sz w:val="20"/>
                <w:szCs w:val="20"/>
                <w:color w:val="auto"/>
              </w:rPr>
            </w:pPr>
            <w:r>
              <w:rPr>
                <w:rFonts w:ascii="Arial" w:cs="Arial" w:eastAsia="Arial" w:hAnsi="Arial"/>
                <w:sz w:val="14"/>
                <w:szCs w:val="14"/>
                <w:b w:val="1"/>
                <w:bCs w:val="1"/>
                <w:color w:val="40C0C0"/>
              </w:rPr>
              <w:t>Brian Camire</w:t>
            </w:r>
            <w:r>
              <w:rPr>
                <w:rFonts w:ascii="Arial" w:cs="Arial" w:eastAsia="Arial" w:hAnsi="Arial"/>
                <w:sz w:val="23"/>
                <w:szCs w:val="23"/>
                <w:b w:val="1"/>
                <w:bCs w:val="1"/>
                <w:color w:val="40C0C0"/>
                <w:vertAlign w:val="superscript"/>
              </w:rPr>
              <w:t>(2)</w:t>
            </w:r>
          </w:p>
        </w:tc>
        <w:tc>
          <w:tcPr>
            <w:tcW w:w="4520" w:type="dxa"/>
            <w:vAlign w:val="bottom"/>
            <w:tcBorders>
              <w:bottom w:val="single" w:sz="8" w:color="999999"/>
            </w:tcBorders>
          </w:tcPr>
          <w:p>
            <w:pPr>
              <w:jc w:val="right"/>
              <w:ind w:right="188"/>
              <w:spacing w:after="0"/>
              <w:rPr>
                <w:sz w:val="20"/>
                <w:szCs w:val="20"/>
                <w:color w:val="auto"/>
              </w:rPr>
            </w:pPr>
            <w:r>
              <w:rPr>
                <w:rFonts w:ascii="Arial" w:cs="Arial" w:eastAsia="Arial" w:hAnsi="Arial"/>
                <w:sz w:val="14"/>
                <w:szCs w:val="14"/>
                <w:color w:val="auto"/>
              </w:rPr>
              <w:t>$410,000</w:t>
            </w:r>
          </w:p>
        </w:tc>
      </w:tr>
      <w:tr>
        <w:trPr>
          <w:trHeight w:val="358"/>
        </w:trPr>
        <w:tc>
          <w:tcPr>
            <w:tcW w:w="4880" w:type="dxa"/>
            <w:vAlign w:val="bottom"/>
            <w:tcBorders>
              <w:bottom w:val="single" w:sz="8" w:color="999999"/>
            </w:tcBorders>
          </w:tcPr>
          <w:p>
            <w:pPr>
              <w:ind w:left="200"/>
              <w:spacing w:after="0"/>
              <w:rPr>
                <w:sz w:val="20"/>
                <w:szCs w:val="20"/>
                <w:color w:val="auto"/>
              </w:rPr>
            </w:pPr>
            <w:r>
              <w:rPr>
                <w:rFonts w:ascii="Arial" w:cs="Arial" w:eastAsia="Arial" w:hAnsi="Arial"/>
                <w:sz w:val="14"/>
                <w:szCs w:val="14"/>
                <w:b w:val="1"/>
                <w:bCs w:val="1"/>
                <w:color w:val="40C0C0"/>
              </w:rPr>
              <w:t>Duncan Grazier</w:t>
            </w:r>
            <w:r>
              <w:rPr>
                <w:rFonts w:ascii="Arial" w:cs="Arial" w:eastAsia="Arial" w:hAnsi="Arial"/>
                <w:sz w:val="23"/>
                <w:szCs w:val="23"/>
                <w:b w:val="1"/>
                <w:bCs w:val="1"/>
                <w:color w:val="40C0C0"/>
                <w:vertAlign w:val="superscript"/>
              </w:rPr>
              <w:t>(3)</w:t>
            </w:r>
          </w:p>
        </w:tc>
        <w:tc>
          <w:tcPr>
            <w:tcW w:w="4520" w:type="dxa"/>
            <w:vAlign w:val="bottom"/>
            <w:tcBorders>
              <w:bottom w:val="single" w:sz="8" w:color="999999"/>
            </w:tcBorders>
          </w:tcPr>
          <w:p>
            <w:pPr>
              <w:jc w:val="right"/>
              <w:ind w:right="188"/>
              <w:spacing w:after="0"/>
              <w:rPr>
                <w:sz w:val="20"/>
                <w:szCs w:val="20"/>
                <w:color w:val="auto"/>
              </w:rPr>
            </w:pPr>
            <w:r>
              <w:rPr>
                <w:rFonts w:ascii="Arial" w:cs="Arial" w:eastAsia="Arial" w:hAnsi="Arial"/>
                <w:sz w:val="14"/>
                <w:szCs w:val="14"/>
                <w:color w:val="auto"/>
              </w:rPr>
              <w:t>$425,000</w:t>
            </w:r>
          </w:p>
        </w:tc>
      </w:tr>
      <w:tr>
        <w:trPr>
          <w:trHeight w:val="358"/>
        </w:trPr>
        <w:tc>
          <w:tcPr>
            <w:tcW w:w="4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40C0C0"/>
              </w:rPr>
              <w:t>Susan Echard</w:t>
            </w:r>
            <w:r>
              <w:rPr>
                <w:rFonts w:ascii="Arial" w:cs="Arial" w:eastAsia="Arial" w:hAnsi="Arial"/>
                <w:sz w:val="23"/>
                <w:szCs w:val="23"/>
                <w:b w:val="1"/>
                <w:bCs w:val="1"/>
                <w:color w:val="40C0C0"/>
                <w:vertAlign w:val="superscript"/>
              </w:rPr>
              <w:t>(4)</w:t>
            </w:r>
          </w:p>
        </w:tc>
        <w:tc>
          <w:tcPr>
            <w:tcW w:w="4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$440,800</w:t>
            </w:r>
          </w:p>
        </w:tc>
      </w:tr>
    </w:tbl>
    <w:p>
      <w:pPr>
        <w:spacing w:after="0" w:line="198" w:lineRule="exact"/>
        <w:rPr>
          <w:sz w:val="20"/>
          <w:szCs w:val="20"/>
          <w:color w:val="auto"/>
        </w:rPr>
      </w:pPr>
    </w:p>
    <w:p>
      <w:pPr>
        <w:ind w:left="240" w:hanging="234"/>
        <w:spacing w:after="0"/>
        <w:tabs>
          <w:tab w:leader="none" w:pos="24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Mr. Francis’ previous annual base salary was $1,020,000 and was decreased to $750,000 on November 7, 2024.</w:t>
      </w:r>
    </w:p>
    <w:p>
      <w:pPr>
        <w:spacing w:after="0" w:line="66" w:lineRule="exact"/>
        <w:rPr>
          <w:rFonts w:ascii="Arial" w:cs="Arial" w:eastAsia="Arial" w:hAnsi="Arial"/>
          <w:sz w:val="13"/>
          <w:szCs w:val="13"/>
          <w:b w:val="1"/>
          <w:bCs w:val="1"/>
          <w:color w:val="auto"/>
        </w:rPr>
      </w:pPr>
    </w:p>
    <w:p>
      <w:pPr>
        <w:ind w:left="240" w:hanging="234"/>
        <w:spacing w:after="0"/>
        <w:tabs>
          <w:tab w:leader="none" w:pos="24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The Compensation Committee approved an increase of Mr. Camire’s annual base salary to $450,000 on March 5, 2025.</w:t>
      </w:r>
    </w:p>
    <w:p>
      <w:pPr>
        <w:spacing w:after="0" w:line="53" w:lineRule="exact"/>
        <w:rPr>
          <w:rFonts w:ascii="Arial" w:cs="Arial" w:eastAsia="Arial" w:hAnsi="Arial"/>
          <w:sz w:val="13"/>
          <w:szCs w:val="13"/>
          <w:b w:val="1"/>
          <w:bCs w:val="1"/>
          <w:color w:val="auto"/>
        </w:rPr>
      </w:pPr>
    </w:p>
    <w:p>
      <w:pPr>
        <w:ind w:left="240" w:right="20" w:hanging="234"/>
        <w:spacing w:after="0" w:line="252" w:lineRule="auto"/>
        <w:tabs>
          <w:tab w:leader="none" w:pos="24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Mr. Grazier’s annual base salary was $425,000 through his resignation date of October 31, 2024. For his actual amount earned in 2024, please refer to the Summary Compensation Table below.</w:t>
      </w:r>
    </w:p>
    <w:p>
      <w:pPr>
        <w:spacing w:after="0" w:line="23" w:lineRule="exact"/>
        <w:rPr>
          <w:rFonts w:ascii="Arial" w:cs="Arial" w:eastAsia="Arial" w:hAnsi="Arial"/>
          <w:sz w:val="13"/>
          <w:szCs w:val="13"/>
          <w:b w:val="1"/>
          <w:bCs w:val="1"/>
          <w:color w:val="auto"/>
        </w:rPr>
      </w:pPr>
    </w:p>
    <w:p>
      <w:pPr>
        <w:ind w:left="240" w:hanging="234"/>
        <w:spacing w:after="0"/>
        <w:tabs>
          <w:tab w:leader="none" w:pos="24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Ms. Echard is an employee of SeatonHill Partners, LP (SeatonHill), and indirectly received 80% of the fees paid to SeatonHill for her services.</w:t>
      </w:r>
    </w:p>
    <w:p>
      <w:pPr>
        <w:spacing w:after="0" w:line="151" w:lineRule="exact"/>
        <w:rPr>
          <w:sz w:val="20"/>
          <w:szCs w:val="20"/>
          <w:color w:val="auto"/>
        </w:rPr>
      </w:pPr>
    </w:p>
    <w:p>
      <w:pPr>
        <w:ind w:right="520"/>
        <w:spacing w:after="0" w:line="266" w:lineRule="auto"/>
        <w:rPr>
          <w:sz w:val="20"/>
          <w:szCs w:val="20"/>
          <w:color w:val="auto"/>
        </w:rPr>
      </w:pPr>
      <w:r>
        <w:rPr>
          <w:rFonts w:ascii="Arial" w:cs="Arial" w:eastAsia="Arial" w:hAnsi="Arial"/>
          <w:sz w:val="16"/>
          <w:szCs w:val="16"/>
          <w:color w:val="auto"/>
        </w:rPr>
        <w:t>Upon review, the Compensation Committee (i) awarded the adjusted annual base salary for Mr. Francis, and (ii) made no adjustment to, the annual base salaries of Mr. Camire and Mr. Grazier, who ceased providing services to the Company as of October 31, 2024, as part of its annual review of our executive compensation program.</w:t>
      </w:r>
    </w:p>
    <w:p>
      <w:pPr>
        <w:spacing w:after="0" w:line="117"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total base salaries paid to our Named Executive Officers during 2024 are set forth in the “Summary Compensation Table” below.</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Bonuses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Target Bonus Opportunities</w:t>
      </w:r>
    </w:p>
    <w:p>
      <w:pPr>
        <w:spacing w:after="0" w:line="16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(i) approved a target cash bonus opportunity for Mr. Francis of 100% of his base salary as part of his offer letter, and (ii) made no adjustments to the target cash bonus opportunities for Messrs. Camire and Grazier, who ceased providing services to the Company as of October 31, 2024, as part of its annual review of our executive compensation program. Ms. Echard does not have a target bonus under the agreement with SeatonHill described in the Form 8-K filed by the Company on July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59664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target cash bonus opportunities of our Named Executive Officers for 2024, as a percentage of annual base salary,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3940" w:type="dxa"/>
            <w:vAlign w:val="bottom"/>
            <w:shd w:val="clear" w:color="auto" w:fill="000000"/>
          </w:tcPr>
          <w:p>
            <w:pPr>
              <w:spacing w:after="0"/>
              <w:rPr>
                <w:sz w:val="24"/>
                <w:szCs w:val="24"/>
                <w:color w:val="auto"/>
              </w:rPr>
            </w:pPr>
          </w:p>
        </w:tc>
        <w:tc>
          <w:tcPr>
            <w:tcW w:w="3840" w:type="dxa"/>
            <w:vAlign w:val="bottom"/>
            <w:shd w:val="clear" w:color="auto" w:fill="000000"/>
          </w:tcPr>
          <w:p>
            <w:pPr>
              <w:jc w:val="right"/>
              <w:ind w:right="588"/>
              <w:spacing w:after="0"/>
              <w:rPr>
                <w:sz w:val="20"/>
                <w:szCs w:val="20"/>
                <w:color w:val="auto"/>
              </w:rPr>
            </w:pPr>
            <w:r>
              <w:rPr>
                <w:rFonts w:ascii="Arial" w:cs="Arial" w:eastAsia="Arial" w:hAnsi="Arial"/>
                <w:sz w:val="14"/>
                <w:szCs w:val="14"/>
                <w:b w:val="1"/>
                <w:bCs w:val="1"/>
                <w:color w:val="FFFFFF"/>
              </w:rPr>
              <w:t>2024 Target</w:t>
            </w:r>
          </w:p>
        </w:tc>
        <w:tc>
          <w:tcPr>
            <w:tcW w:w="1620" w:type="dxa"/>
            <w:vAlign w:val="bottom"/>
            <w:shd w:val="clear" w:color="auto" w:fill="000000"/>
          </w:tcPr>
          <w:p>
            <w:pPr>
              <w:spacing w:after="0"/>
              <w:rPr>
                <w:sz w:val="24"/>
                <w:szCs w:val="24"/>
                <w:color w:val="auto"/>
              </w:rPr>
            </w:pPr>
          </w:p>
        </w:tc>
      </w:tr>
      <w:tr>
        <w:trPr>
          <w:trHeight w:val="162"/>
        </w:trPr>
        <w:tc>
          <w:tcPr>
            <w:tcW w:w="3940" w:type="dxa"/>
            <w:vAlign w:val="bottom"/>
            <w:shd w:val="clear" w:color="auto" w:fill="000000"/>
          </w:tcPr>
          <w:p>
            <w:pPr>
              <w:spacing w:after="0"/>
              <w:rPr>
                <w:sz w:val="14"/>
                <w:szCs w:val="14"/>
                <w:color w:val="auto"/>
              </w:rPr>
            </w:pPr>
          </w:p>
        </w:tc>
        <w:tc>
          <w:tcPr>
            <w:tcW w:w="3840" w:type="dxa"/>
            <w:vAlign w:val="bottom"/>
            <w:shd w:val="clear" w:color="auto" w:fill="000000"/>
          </w:tcPr>
          <w:p>
            <w:pPr>
              <w:jc w:val="right"/>
              <w:ind w:right="588"/>
              <w:spacing w:after="0"/>
              <w:rPr>
                <w:sz w:val="20"/>
                <w:szCs w:val="20"/>
                <w:color w:val="auto"/>
              </w:rPr>
            </w:pPr>
            <w:r>
              <w:rPr>
                <w:rFonts w:ascii="Arial" w:cs="Arial" w:eastAsia="Arial" w:hAnsi="Arial"/>
                <w:sz w:val="14"/>
                <w:szCs w:val="14"/>
                <w:b w:val="1"/>
                <w:bCs w:val="1"/>
                <w:color w:val="FFFFFF"/>
              </w:rPr>
              <w:t>Cash Bonus</w:t>
            </w:r>
          </w:p>
        </w:tc>
        <w:tc>
          <w:tcPr>
            <w:tcW w:w="162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2024 Target</w:t>
            </w:r>
          </w:p>
        </w:tc>
      </w:tr>
      <w:tr>
        <w:trPr>
          <w:trHeight w:val="162"/>
        </w:trPr>
        <w:tc>
          <w:tcPr>
            <w:tcW w:w="3940" w:type="dxa"/>
            <w:vAlign w:val="bottom"/>
            <w:shd w:val="clear" w:color="auto" w:fill="000000"/>
          </w:tcPr>
          <w:p>
            <w:pPr>
              <w:spacing w:after="0"/>
              <w:rPr>
                <w:sz w:val="14"/>
                <w:szCs w:val="14"/>
                <w:color w:val="auto"/>
              </w:rPr>
            </w:pPr>
          </w:p>
        </w:tc>
        <w:tc>
          <w:tcPr>
            <w:tcW w:w="3840" w:type="dxa"/>
            <w:vAlign w:val="bottom"/>
            <w:shd w:val="clear" w:color="auto" w:fill="000000"/>
          </w:tcPr>
          <w:p>
            <w:pPr>
              <w:jc w:val="right"/>
              <w:ind w:right="588"/>
              <w:spacing w:after="0"/>
              <w:rPr>
                <w:sz w:val="20"/>
                <w:szCs w:val="20"/>
                <w:color w:val="auto"/>
              </w:rPr>
            </w:pPr>
            <w:r>
              <w:rPr>
                <w:rFonts w:ascii="Arial" w:cs="Arial" w:eastAsia="Arial" w:hAnsi="Arial"/>
                <w:sz w:val="14"/>
                <w:szCs w:val="14"/>
                <w:b w:val="1"/>
                <w:bCs w:val="1"/>
                <w:color w:val="FFFFFF"/>
              </w:rPr>
              <w:t>Opportunity</w:t>
            </w:r>
          </w:p>
        </w:tc>
        <w:tc>
          <w:tcPr>
            <w:tcW w:w="162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Cash Bonus</w:t>
            </w:r>
          </w:p>
        </w:tc>
      </w:tr>
      <w:tr>
        <w:trPr>
          <w:trHeight w:val="162"/>
        </w:trPr>
        <w:tc>
          <w:tcPr>
            <w:tcW w:w="3940" w:type="dxa"/>
            <w:vAlign w:val="bottom"/>
            <w:shd w:val="clear" w:color="auto" w:fill="000000"/>
          </w:tcPr>
          <w:p>
            <w:pPr>
              <w:spacing w:after="0"/>
              <w:rPr>
                <w:sz w:val="14"/>
                <w:szCs w:val="14"/>
                <w:color w:val="auto"/>
              </w:rPr>
            </w:pPr>
          </w:p>
        </w:tc>
        <w:tc>
          <w:tcPr>
            <w:tcW w:w="3840" w:type="dxa"/>
            <w:vAlign w:val="bottom"/>
            <w:shd w:val="clear" w:color="auto" w:fill="000000"/>
          </w:tcPr>
          <w:p>
            <w:pPr>
              <w:jc w:val="right"/>
              <w:ind w:right="588"/>
              <w:spacing w:after="0"/>
              <w:rPr>
                <w:sz w:val="20"/>
                <w:szCs w:val="20"/>
                <w:color w:val="auto"/>
              </w:rPr>
            </w:pPr>
            <w:r>
              <w:rPr>
                <w:rFonts w:ascii="Arial" w:cs="Arial" w:eastAsia="Arial" w:hAnsi="Arial"/>
                <w:sz w:val="14"/>
                <w:szCs w:val="14"/>
                <w:b w:val="1"/>
                <w:bCs w:val="1"/>
                <w:color w:val="FFFFFF"/>
              </w:rPr>
              <w:t>(as a percentage</w:t>
            </w:r>
          </w:p>
        </w:tc>
        <w:tc>
          <w:tcPr>
            <w:tcW w:w="162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Opportunity</w:t>
            </w:r>
          </w:p>
        </w:tc>
      </w:tr>
      <w:tr>
        <w:trPr>
          <w:trHeight w:val="196"/>
        </w:trPr>
        <w:tc>
          <w:tcPr>
            <w:tcW w:w="3940" w:type="dxa"/>
            <w:vAlign w:val="bottom"/>
            <w:shd w:val="clear" w:color="auto" w:fill="000000"/>
          </w:tcPr>
          <w:p>
            <w:pPr>
              <w:ind w:left="200"/>
              <w:spacing w:after="0"/>
              <w:rPr>
                <w:sz w:val="20"/>
                <w:szCs w:val="20"/>
                <w:color w:val="auto"/>
              </w:rPr>
            </w:pPr>
            <w:r>
              <w:rPr>
                <w:rFonts w:ascii="Arial" w:cs="Arial" w:eastAsia="Arial" w:hAnsi="Arial"/>
                <w:sz w:val="14"/>
                <w:szCs w:val="14"/>
                <w:b w:val="1"/>
                <w:bCs w:val="1"/>
                <w:color w:val="FFFFFF"/>
              </w:rPr>
              <w:t>Named Executive Officer</w:t>
            </w:r>
          </w:p>
        </w:tc>
        <w:tc>
          <w:tcPr>
            <w:tcW w:w="3840" w:type="dxa"/>
            <w:vAlign w:val="bottom"/>
            <w:shd w:val="clear" w:color="auto" w:fill="000000"/>
          </w:tcPr>
          <w:p>
            <w:pPr>
              <w:jc w:val="right"/>
              <w:ind w:right="548"/>
              <w:spacing w:after="0"/>
              <w:rPr>
                <w:sz w:val="20"/>
                <w:szCs w:val="20"/>
                <w:color w:val="auto"/>
              </w:rPr>
            </w:pPr>
            <w:r>
              <w:rPr>
                <w:rFonts w:ascii="Arial" w:cs="Arial" w:eastAsia="Arial" w:hAnsi="Arial"/>
                <w:sz w:val="14"/>
                <w:szCs w:val="14"/>
                <w:b w:val="1"/>
                <w:bCs w:val="1"/>
                <w:color w:val="FFFFFF"/>
              </w:rPr>
              <w:t>of base salary)</w:t>
            </w:r>
          </w:p>
        </w:tc>
        <w:tc>
          <w:tcPr>
            <w:tcW w:w="162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83"/>
        </w:trPr>
        <w:tc>
          <w:tcPr>
            <w:tcW w:w="3940" w:type="dxa"/>
            <w:vAlign w:val="bottom"/>
            <w:shd w:val="clear" w:color="auto" w:fill="000000"/>
          </w:tcPr>
          <w:p>
            <w:pPr>
              <w:spacing w:after="0"/>
              <w:rPr>
                <w:sz w:val="7"/>
                <w:szCs w:val="7"/>
                <w:color w:val="auto"/>
              </w:rPr>
            </w:pPr>
          </w:p>
        </w:tc>
        <w:tc>
          <w:tcPr>
            <w:tcW w:w="3840" w:type="dxa"/>
            <w:vAlign w:val="bottom"/>
            <w:shd w:val="clear" w:color="auto" w:fill="000000"/>
          </w:tcPr>
          <w:p>
            <w:pPr>
              <w:spacing w:after="0"/>
              <w:rPr>
                <w:sz w:val="7"/>
                <w:szCs w:val="7"/>
                <w:color w:val="auto"/>
              </w:rPr>
            </w:pPr>
          </w:p>
        </w:tc>
        <w:tc>
          <w:tcPr>
            <w:tcW w:w="1620" w:type="dxa"/>
            <w:vAlign w:val="bottom"/>
            <w:shd w:val="clear" w:color="auto" w:fill="000000"/>
          </w:tcPr>
          <w:p>
            <w:pPr>
              <w:spacing w:after="0"/>
              <w:rPr>
                <w:sz w:val="7"/>
                <w:szCs w:val="7"/>
                <w:color w:val="auto"/>
              </w:rPr>
            </w:pPr>
          </w:p>
        </w:tc>
      </w:tr>
      <w:tr>
        <w:trPr>
          <w:trHeight w:val="405"/>
        </w:trPr>
        <w:tc>
          <w:tcPr>
            <w:tcW w:w="3940" w:type="dxa"/>
            <w:vAlign w:val="bottom"/>
            <w:tcBorders>
              <w:bottom w:val="single" w:sz="8" w:color="999999"/>
            </w:tcBorders>
          </w:tcPr>
          <w:p>
            <w:pPr>
              <w:ind w:left="200"/>
              <w:spacing w:after="0"/>
              <w:rPr>
                <w:sz w:val="20"/>
                <w:szCs w:val="20"/>
                <w:color w:val="auto"/>
              </w:rPr>
            </w:pPr>
            <w:r>
              <w:rPr>
                <w:rFonts w:ascii="Arial" w:cs="Arial" w:eastAsia="Arial" w:hAnsi="Arial"/>
                <w:sz w:val="14"/>
                <w:szCs w:val="14"/>
                <w:b w:val="1"/>
                <w:bCs w:val="1"/>
                <w:color w:val="40C0C0"/>
              </w:rPr>
              <w:t>Douglas Francis</w:t>
            </w:r>
            <w:r>
              <w:rPr>
                <w:rFonts w:ascii="Arial" w:cs="Arial" w:eastAsia="Arial" w:hAnsi="Arial"/>
                <w:sz w:val="23"/>
                <w:szCs w:val="23"/>
                <w:b w:val="1"/>
                <w:bCs w:val="1"/>
                <w:color w:val="40C0C0"/>
                <w:vertAlign w:val="superscript"/>
              </w:rPr>
              <w:t>(1)</w:t>
            </w:r>
          </w:p>
        </w:tc>
        <w:tc>
          <w:tcPr>
            <w:tcW w:w="3840" w:type="dxa"/>
            <w:vAlign w:val="bottom"/>
            <w:tcBorders>
              <w:bottom w:val="single" w:sz="8" w:color="999999"/>
            </w:tcBorders>
          </w:tcPr>
          <w:p>
            <w:pPr>
              <w:jc w:val="right"/>
              <w:ind w:right="688"/>
              <w:spacing w:after="0"/>
              <w:rPr>
                <w:sz w:val="20"/>
                <w:szCs w:val="20"/>
                <w:color w:val="auto"/>
              </w:rPr>
            </w:pPr>
            <w:r>
              <w:rPr>
                <w:rFonts w:ascii="Arial" w:cs="Arial" w:eastAsia="Arial" w:hAnsi="Arial"/>
                <w:sz w:val="14"/>
                <w:szCs w:val="14"/>
                <w:color w:val="auto"/>
              </w:rPr>
              <w:t>100%</w:t>
            </w:r>
          </w:p>
        </w:tc>
        <w:tc>
          <w:tcPr>
            <w:tcW w:w="1620" w:type="dxa"/>
            <w:vAlign w:val="bottom"/>
            <w:tcBorders>
              <w:bottom w:val="single" w:sz="8" w:color="999999"/>
            </w:tcBorders>
          </w:tcPr>
          <w:p>
            <w:pPr>
              <w:jc w:val="right"/>
              <w:ind w:right="168"/>
              <w:spacing w:after="0"/>
              <w:rPr>
                <w:sz w:val="20"/>
                <w:szCs w:val="20"/>
                <w:color w:val="auto"/>
              </w:rPr>
            </w:pPr>
            <w:r>
              <w:rPr>
                <w:rFonts w:ascii="Arial" w:cs="Arial" w:eastAsia="Arial" w:hAnsi="Arial"/>
                <w:sz w:val="14"/>
                <w:szCs w:val="14"/>
                <w:color w:val="auto"/>
              </w:rPr>
              <w:t>$750,000</w:t>
            </w:r>
          </w:p>
        </w:tc>
      </w:tr>
      <w:tr>
        <w:trPr>
          <w:trHeight w:val="288"/>
        </w:trPr>
        <w:tc>
          <w:tcPr>
            <w:tcW w:w="3940" w:type="dxa"/>
            <w:vAlign w:val="bottom"/>
          </w:tcPr>
          <w:p>
            <w:pPr>
              <w:ind w:left="200"/>
              <w:spacing w:after="0"/>
              <w:rPr>
                <w:sz w:val="20"/>
                <w:szCs w:val="20"/>
                <w:color w:val="auto"/>
              </w:rPr>
            </w:pPr>
            <w:r>
              <w:rPr>
                <w:rFonts w:ascii="Arial" w:cs="Arial" w:eastAsia="Arial" w:hAnsi="Arial"/>
                <w:sz w:val="14"/>
                <w:szCs w:val="14"/>
                <w:b w:val="1"/>
                <w:bCs w:val="1"/>
                <w:color w:val="40C0C0"/>
              </w:rPr>
              <w:t>Brian Camire</w:t>
            </w:r>
          </w:p>
        </w:tc>
        <w:tc>
          <w:tcPr>
            <w:tcW w:w="3840" w:type="dxa"/>
            <w:vAlign w:val="bottom"/>
          </w:tcPr>
          <w:p>
            <w:pPr>
              <w:jc w:val="right"/>
              <w:ind w:right="688"/>
              <w:spacing w:after="0"/>
              <w:rPr>
                <w:sz w:val="20"/>
                <w:szCs w:val="20"/>
                <w:color w:val="auto"/>
              </w:rPr>
            </w:pPr>
            <w:r>
              <w:rPr>
                <w:rFonts w:ascii="Arial" w:cs="Arial" w:eastAsia="Arial" w:hAnsi="Arial"/>
                <w:sz w:val="14"/>
                <w:szCs w:val="14"/>
                <w:color w:val="auto"/>
              </w:rPr>
              <w:t>50%</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$205,000</w:t>
            </w:r>
          </w:p>
        </w:tc>
      </w:tr>
      <w:tr>
        <w:trPr>
          <w:trHeight w:val="83"/>
        </w:trPr>
        <w:tc>
          <w:tcPr>
            <w:tcW w:w="3940" w:type="dxa"/>
            <w:vAlign w:val="bottom"/>
            <w:tcBorders>
              <w:bottom w:val="single" w:sz="8" w:color="999999"/>
            </w:tcBorders>
          </w:tcPr>
          <w:p>
            <w:pPr>
              <w:spacing w:after="0"/>
              <w:rPr>
                <w:sz w:val="7"/>
                <w:szCs w:val="7"/>
                <w:color w:val="auto"/>
              </w:rPr>
            </w:pPr>
          </w:p>
        </w:tc>
        <w:tc>
          <w:tcPr>
            <w:tcW w:w="3840" w:type="dxa"/>
            <w:vAlign w:val="bottom"/>
            <w:tcBorders>
              <w:bottom w:val="single" w:sz="8" w:color="999999"/>
            </w:tcBorders>
          </w:tcPr>
          <w:p>
            <w:pPr>
              <w:spacing w:after="0"/>
              <w:rPr>
                <w:sz w:val="7"/>
                <w:szCs w:val="7"/>
                <w:color w:val="auto"/>
              </w:rPr>
            </w:pPr>
          </w:p>
        </w:tc>
        <w:tc>
          <w:tcPr>
            <w:tcW w:w="1620" w:type="dxa"/>
            <w:vAlign w:val="bottom"/>
            <w:tcBorders>
              <w:bottom w:val="single" w:sz="8" w:color="999999"/>
            </w:tcBorders>
          </w:tcPr>
          <w:p>
            <w:pPr>
              <w:spacing w:after="0"/>
              <w:rPr>
                <w:sz w:val="7"/>
                <w:szCs w:val="7"/>
                <w:color w:val="auto"/>
              </w:rPr>
            </w:pPr>
          </w:p>
        </w:tc>
      </w:tr>
      <w:tr>
        <w:trPr>
          <w:trHeight w:val="398"/>
        </w:trPr>
        <w:tc>
          <w:tcPr>
            <w:tcW w:w="3940" w:type="dxa"/>
            <w:vAlign w:val="bottom"/>
            <w:tcBorders>
              <w:bottom w:val="single" w:sz="8" w:color="999999"/>
            </w:tcBorders>
          </w:tcPr>
          <w:p>
            <w:pPr>
              <w:ind w:left="200"/>
              <w:spacing w:after="0"/>
              <w:rPr>
                <w:sz w:val="20"/>
                <w:szCs w:val="20"/>
                <w:color w:val="auto"/>
              </w:rPr>
            </w:pPr>
            <w:r>
              <w:rPr>
                <w:rFonts w:ascii="Arial" w:cs="Arial" w:eastAsia="Arial" w:hAnsi="Arial"/>
                <w:sz w:val="14"/>
                <w:szCs w:val="14"/>
                <w:b w:val="1"/>
                <w:bCs w:val="1"/>
                <w:color w:val="40C0C0"/>
              </w:rPr>
              <w:t>Duncan Grazier</w:t>
            </w:r>
            <w:r>
              <w:rPr>
                <w:rFonts w:ascii="Arial" w:cs="Arial" w:eastAsia="Arial" w:hAnsi="Arial"/>
                <w:sz w:val="23"/>
                <w:szCs w:val="23"/>
                <w:b w:val="1"/>
                <w:bCs w:val="1"/>
                <w:color w:val="40C0C0"/>
                <w:vertAlign w:val="superscript"/>
              </w:rPr>
              <w:t>(2)</w:t>
            </w:r>
          </w:p>
        </w:tc>
        <w:tc>
          <w:tcPr>
            <w:tcW w:w="3840" w:type="dxa"/>
            <w:vAlign w:val="bottom"/>
            <w:tcBorders>
              <w:bottom w:val="single" w:sz="8" w:color="999999"/>
            </w:tcBorders>
          </w:tcPr>
          <w:p>
            <w:pPr>
              <w:jc w:val="right"/>
              <w:ind w:right="688"/>
              <w:spacing w:after="0"/>
              <w:rPr>
                <w:sz w:val="20"/>
                <w:szCs w:val="20"/>
                <w:color w:val="auto"/>
              </w:rPr>
            </w:pPr>
            <w:r>
              <w:rPr>
                <w:rFonts w:ascii="Arial" w:cs="Arial" w:eastAsia="Arial" w:hAnsi="Arial"/>
                <w:sz w:val="14"/>
                <w:szCs w:val="14"/>
                <w:color w:val="auto"/>
              </w:rPr>
              <w:t>50%</w:t>
            </w:r>
          </w:p>
        </w:tc>
        <w:tc>
          <w:tcPr>
            <w:tcW w:w="1620" w:type="dxa"/>
            <w:vAlign w:val="bottom"/>
            <w:tcBorders>
              <w:bottom w:val="single" w:sz="8" w:color="999999"/>
            </w:tcBorders>
          </w:tcPr>
          <w:p>
            <w:pPr>
              <w:jc w:val="right"/>
              <w:ind w:right="168"/>
              <w:spacing w:after="0"/>
              <w:rPr>
                <w:sz w:val="20"/>
                <w:szCs w:val="20"/>
                <w:color w:val="auto"/>
              </w:rPr>
            </w:pPr>
            <w:r>
              <w:rPr>
                <w:rFonts w:ascii="Arial" w:cs="Arial" w:eastAsia="Arial" w:hAnsi="Arial"/>
                <w:sz w:val="14"/>
                <w:szCs w:val="14"/>
                <w:color w:val="auto"/>
              </w:rPr>
              <w:t>$212,500</w:t>
            </w:r>
          </w:p>
        </w:tc>
      </w:tr>
      <w:tr>
        <w:trPr>
          <w:trHeight w:val="385"/>
        </w:trPr>
        <w:tc>
          <w:tcPr>
            <w:tcW w:w="3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40C0C0"/>
              </w:rPr>
              <w:t>Susan Echard</w:t>
            </w:r>
            <w:r>
              <w:rPr>
                <w:rFonts w:ascii="Arial" w:cs="Arial" w:eastAsia="Arial" w:hAnsi="Arial"/>
                <w:sz w:val="23"/>
                <w:szCs w:val="23"/>
                <w:b w:val="1"/>
                <w:bCs w:val="1"/>
                <w:color w:val="40C0C0"/>
                <w:vertAlign w:val="superscript"/>
              </w:rPr>
              <w:t>(3)</w:t>
            </w:r>
          </w:p>
        </w:tc>
        <w:tc>
          <w:tcPr>
            <w:tcW w:w="3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r>
    </w:tbl>
    <w:p>
      <w:pPr>
        <w:spacing w:after="0" w:line="198" w:lineRule="exact"/>
        <w:rPr>
          <w:sz w:val="20"/>
          <w:szCs w:val="20"/>
          <w:color w:val="auto"/>
        </w:rPr>
      </w:pPr>
    </w:p>
    <w:p>
      <w:pPr>
        <w:ind w:left="240" w:hanging="234"/>
        <w:spacing w:after="0"/>
        <w:tabs>
          <w:tab w:leader="none" w:pos="24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Mr. Francis target cash bonus opportunity is a percentage of base salary in effect at November 7, 2024</w:t>
      </w:r>
    </w:p>
    <w:p>
      <w:pPr>
        <w:spacing w:after="0" w:line="66" w:lineRule="exact"/>
        <w:rPr>
          <w:rFonts w:ascii="Arial" w:cs="Arial" w:eastAsia="Arial" w:hAnsi="Arial"/>
          <w:sz w:val="13"/>
          <w:szCs w:val="13"/>
          <w:b w:val="1"/>
          <w:bCs w:val="1"/>
          <w:color w:val="auto"/>
        </w:rPr>
      </w:pPr>
    </w:p>
    <w:p>
      <w:pPr>
        <w:ind w:left="240" w:hanging="234"/>
        <w:spacing w:after="0"/>
        <w:tabs>
          <w:tab w:leader="none" w:pos="24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Mr. Grazier ceased providing services to the Company effective October 31, 2024.</w:t>
      </w:r>
    </w:p>
    <w:p>
      <w:pPr>
        <w:spacing w:after="0" w:line="53" w:lineRule="exact"/>
        <w:rPr>
          <w:rFonts w:ascii="Arial" w:cs="Arial" w:eastAsia="Arial" w:hAnsi="Arial"/>
          <w:sz w:val="13"/>
          <w:szCs w:val="13"/>
          <w:b w:val="1"/>
          <w:bCs w:val="1"/>
          <w:color w:val="auto"/>
        </w:rPr>
      </w:pPr>
    </w:p>
    <w:p>
      <w:pPr>
        <w:ind w:left="240" w:right="540" w:hanging="234"/>
        <w:spacing w:after="0" w:line="252" w:lineRule="auto"/>
        <w:tabs>
          <w:tab w:leader="none" w:pos="24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Ms. Echard does not have a target bonus under the agreement with SeatonHill described in the Form 8-K filed by the Company on July 20, 2023, although one may be and was awarded upon review, as reflected in the Summary Compensation Table below.</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Performance</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The cash bonuses awarded for 2024 by the Compensation Committee for Mr. Francis and Mr. Camire were 50% based on an individual award component and 50% was based on Company performance against Revenue, Adj. EBITDA and 2024 cash achievement targets set by management for fiscal year 2024 in the same manner as the core bonus plan for the rest of the employees of the Company. See the paragraph immediately below, </w:t>
      </w:r>
      <w:r>
        <w:rPr>
          <w:rFonts w:ascii="Arial" w:cs="Arial" w:eastAsia="Arial" w:hAnsi="Arial"/>
          <w:sz w:val="16"/>
          <w:szCs w:val="16"/>
          <w:i w:val="1"/>
          <w:iCs w:val="1"/>
          <w:color w:val="auto"/>
        </w:rPr>
        <w:t>Cash Bonus Payments</w:t>
      </w:r>
      <w:r>
        <w:rPr>
          <w:rFonts w:ascii="Arial" w:cs="Arial" w:eastAsia="Arial" w:hAnsi="Arial"/>
          <w:sz w:val="16"/>
          <w:szCs w:val="16"/>
          <w:color w:val="auto"/>
        </w:rPr>
        <w:t xml:space="preserve"> for additional details regarding our cash bonus payments.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Bonus Payments</w:t>
      </w:r>
    </w:p>
    <w:p>
      <w:pPr>
        <w:spacing w:after="0" w:line="16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March 2025 the Compensation Committee approved the short-term incentive payments for 2024, which were 50% based on our actual financial performance for the year and 50% based on an individual performance component. The company performance award was based on (i) fiscal year 2024 Revenue achievement, (ii) fiscal year 2024 Adj. EBITDA achievement (See Part II, Item 7. Management’s Discussion and Analysis of Financial Condition and Results of Operations—Non-GAAP Financial Measures in our Annual Report on Form 10-K for the fiscal year ended December 31, 2024 for a definition of non-GAAP, Adjusted EBIDTA and other information, including a reconciliation of net income (loss) to non-GAAP EBITDA and Adjusted EBIDTA for the fiscal years ended December 31, 2024 and 2023), and (iii) 2024 cash achievement measured as of December 31, 2024. The Compensation Committee reviewed and provided input on our Chief Executive Officer’s determinations as to each Named Executive Officer’s cash bonus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59664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March 2025, upon review and consideration of executive performance for 2024, our Compensation Committee determined that the 2024 short-term incentive goals achieved at 90% based on 80% achievement of the 2024 Revenue, 2024 Adjusted EBITDA (See Part II, Item 7. Management’s Discussion and Analysis of Financial Condition and Results of Operations—Non-GAAP Financial Measures in our Annual Report on Form 10-K for the fiscal year ended December 31, 2024 for a definition of non-GAAP, Adjusted EBIDTA and other information, including a reconciliation of net income (loss) to non-GAAP EBITDA and Adjusted EBIDTA for the fiscal years ended December 31, 2024 and 2023) and 2024 Cash goal components and 100% achievement of the individual performance component, and that a discretionary cash bonus should be paid to Mr. Francis and Mr. Camire to account for their individual contributions. The Compensation Committee also determined to award a discretionary cash bonus to Ms. Echard to account for her individual contributions in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3080" w:type="dxa"/>
            <w:vAlign w:val="bottom"/>
            <w:shd w:val="clear" w:color="auto" w:fill="000000"/>
          </w:tcPr>
          <w:p>
            <w:pPr>
              <w:spacing w:after="0"/>
              <w:rPr>
                <w:sz w:val="24"/>
                <w:szCs w:val="24"/>
                <w:color w:val="auto"/>
              </w:rPr>
            </w:pPr>
          </w:p>
        </w:tc>
        <w:tc>
          <w:tcPr>
            <w:tcW w:w="2780" w:type="dxa"/>
            <w:vAlign w:val="bottom"/>
            <w:shd w:val="clear" w:color="auto" w:fill="000000"/>
          </w:tcPr>
          <w:p>
            <w:pPr>
              <w:jc w:val="right"/>
              <w:ind w:right="228"/>
              <w:spacing w:after="0"/>
              <w:rPr>
                <w:sz w:val="20"/>
                <w:szCs w:val="20"/>
                <w:color w:val="auto"/>
              </w:rPr>
            </w:pPr>
            <w:r>
              <w:rPr>
                <w:rFonts w:ascii="Arial" w:cs="Arial" w:eastAsia="Arial" w:hAnsi="Arial"/>
                <w:sz w:val="14"/>
                <w:szCs w:val="14"/>
                <w:b w:val="1"/>
                <w:bCs w:val="1"/>
                <w:color w:val="FFFFFF"/>
              </w:rPr>
              <w:t>2024 Target Cash</w:t>
            </w:r>
          </w:p>
        </w:tc>
        <w:tc>
          <w:tcPr>
            <w:tcW w:w="138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rPr>
              <w:t>Actual 2024</w:t>
            </w:r>
          </w:p>
        </w:tc>
        <w:tc>
          <w:tcPr>
            <w:tcW w:w="216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Actual 2024 Cash Bonus</w:t>
            </w:r>
          </w:p>
        </w:tc>
      </w:tr>
      <w:tr>
        <w:trPr>
          <w:trHeight w:val="162"/>
        </w:trPr>
        <w:tc>
          <w:tcPr>
            <w:tcW w:w="3080" w:type="dxa"/>
            <w:vAlign w:val="bottom"/>
            <w:shd w:val="clear" w:color="auto" w:fill="000000"/>
          </w:tcPr>
          <w:p>
            <w:pPr>
              <w:spacing w:after="0"/>
              <w:rPr>
                <w:sz w:val="14"/>
                <w:szCs w:val="14"/>
                <w:color w:val="auto"/>
              </w:rPr>
            </w:pPr>
          </w:p>
        </w:tc>
        <w:tc>
          <w:tcPr>
            <w:tcW w:w="2780" w:type="dxa"/>
            <w:vAlign w:val="bottom"/>
            <w:shd w:val="clear" w:color="auto" w:fill="000000"/>
          </w:tcPr>
          <w:p>
            <w:pPr>
              <w:jc w:val="right"/>
              <w:ind w:right="228"/>
              <w:spacing w:after="0"/>
              <w:rPr>
                <w:sz w:val="20"/>
                <w:szCs w:val="20"/>
                <w:color w:val="auto"/>
              </w:rPr>
            </w:pPr>
            <w:r>
              <w:rPr>
                <w:rFonts w:ascii="Arial" w:cs="Arial" w:eastAsia="Arial" w:hAnsi="Arial"/>
                <w:sz w:val="14"/>
                <w:szCs w:val="14"/>
                <w:b w:val="1"/>
                <w:bCs w:val="1"/>
                <w:color w:val="FFFFFF"/>
              </w:rPr>
              <w:t>Bonus Opportunity</w:t>
            </w:r>
          </w:p>
        </w:tc>
        <w:tc>
          <w:tcPr>
            <w:tcW w:w="138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rPr>
              <w:t>Cash Bonus</w:t>
            </w:r>
          </w:p>
        </w:tc>
        <w:tc>
          <w:tcPr>
            <w:tcW w:w="216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(as a percentage of target</w:t>
            </w:r>
          </w:p>
        </w:tc>
      </w:tr>
      <w:tr>
        <w:trPr>
          <w:trHeight w:val="196"/>
        </w:trPr>
        <w:tc>
          <w:tcPr>
            <w:tcW w:w="3080" w:type="dxa"/>
            <w:vAlign w:val="bottom"/>
            <w:shd w:val="clear" w:color="auto" w:fill="000000"/>
          </w:tcPr>
          <w:p>
            <w:pPr>
              <w:ind w:left="200"/>
              <w:spacing w:after="0"/>
              <w:rPr>
                <w:sz w:val="20"/>
                <w:szCs w:val="20"/>
                <w:color w:val="auto"/>
              </w:rPr>
            </w:pPr>
            <w:r>
              <w:rPr>
                <w:rFonts w:ascii="Arial" w:cs="Arial" w:eastAsia="Arial" w:hAnsi="Arial"/>
                <w:sz w:val="14"/>
                <w:szCs w:val="14"/>
                <w:b w:val="1"/>
                <w:bCs w:val="1"/>
                <w:color w:val="FFFFFF"/>
              </w:rPr>
              <w:t>Named Executive Officer</w:t>
            </w:r>
          </w:p>
        </w:tc>
        <w:tc>
          <w:tcPr>
            <w:tcW w:w="2780" w:type="dxa"/>
            <w:vAlign w:val="bottom"/>
            <w:shd w:val="clear" w:color="auto" w:fill="000000"/>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0000"/>
          </w:tcPr>
          <w:p>
            <w:pPr>
              <w:jc w:val="right"/>
              <w:ind w:right="188"/>
              <w:spacing w:after="0"/>
              <w:rPr>
                <w:sz w:val="20"/>
                <w:szCs w:val="20"/>
                <w:color w:val="auto"/>
              </w:rPr>
            </w:pPr>
            <w:r>
              <w:rPr>
                <w:rFonts w:ascii="Arial" w:cs="Arial" w:eastAsia="Arial" w:hAnsi="Arial"/>
                <w:sz w:val="14"/>
                <w:szCs w:val="14"/>
                <w:b w:val="1"/>
                <w:bCs w:val="1"/>
                <w:color w:val="FFFFFF"/>
              </w:rPr>
              <w:t>($)</w:t>
            </w:r>
          </w:p>
        </w:tc>
        <w:tc>
          <w:tcPr>
            <w:tcW w:w="216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cash bonus opportunity)</w:t>
            </w:r>
          </w:p>
        </w:tc>
      </w:tr>
      <w:tr>
        <w:trPr>
          <w:trHeight w:val="83"/>
        </w:trPr>
        <w:tc>
          <w:tcPr>
            <w:tcW w:w="3080" w:type="dxa"/>
            <w:vAlign w:val="bottom"/>
            <w:shd w:val="clear" w:color="auto" w:fill="000000"/>
          </w:tcPr>
          <w:p>
            <w:pPr>
              <w:spacing w:after="0"/>
              <w:rPr>
                <w:sz w:val="7"/>
                <w:szCs w:val="7"/>
                <w:color w:val="auto"/>
              </w:rPr>
            </w:pPr>
          </w:p>
        </w:tc>
        <w:tc>
          <w:tcPr>
            <w:tcW w:w="2780" w:type="dxa"/>
            <w:vAlign w:val="bottom"/>
            <w:shd w:val="clear" w:color="auto" w:fill="000000"/>
          </w:tcPr>
          <w:p>
            <w:pPr>
              <w:spacing w:after="0"/>
              <w:rPr>
                <w:sz w:val="7"/>
                <w:szCs w:val="7"/>
                <w:color w:val="auto"/>
              </w:rPr>
            </w:pPr>
          </w:p>
        </w:tc>
        <w:tc>
          <w:tcPr>
            <w:tcW w:w="1380" w:type="dxa"/>
            <w:vAlign w:val="bottom"/>
            <w:shd w:val="clear" w:color="auto" w:fill="000000"/>
          </w:tcPr>
          <w:p>
            <w:pPr>
              <w:spacing w:after="0"/>
              <w:rPr>
                <w:sz w:val="7"/>
                <w:szCs w:val="7"/>
                <w:color w:val="auto"/>
              </w:rPr>
            </w:pPr>
          </w:p>
        </w:tc>
        <w:tc>
          <w:tcPr>
            <w:tcW w:w="2160" w:type="dxa"/>
            <w:vAlign w:val="bottom"/>
            <w:shd w:val="clear" w:color="auto" w:fill="000000"/>
          </w:tcPr>
          <w:p>
            <w:pPr>
              <w:spacing w:after="0"/>
              <w:rPr>
                <w:sz w:val="7"/>
                <w:szCs w:val="7"/>
                <w:color w:val="auto"/>
              </w:rPr>
            </w:pPr>
          </w:p>
        </w:tc>
      </w:tr>
      <w:tr>
        <w:trPr>
          <w:trHeight w:val="295"/>
        </w:trPr>
        <w:tc>
          <w:tcPr>
            <w:tcW w:w="3080" w:type="dxa"/>
            <w:vAlign w:val="bottom"/>
          </w:tcPr>
          <w:p>
            <w:pPr>
              <w:ind w:left="200"/>
              <w:spacing w:after="0"/>
              <w:rPr>
                <w:sz w:val="20"/>
                <w:szCs w:val="20"/>
                <w:color w:val="auto"/>
              </w:rPr>
            </w:pPr>
            <w:r>
              <w:rPr>
                <w:rFonts w:ascii="Arial" w:cs="Arial" w:eastAsia="Arial" w:hAnsi="Arial"/>
                <w:sz w:val="14"/>
                <w:szCs w:val="14"/>
                <w:b w:val="1"/>
                <w:bCs w:val="1"/>
                <w:color w:val="40C0C0"/>
              </w:rPr>
              <w:t>Douglas Francis</w:t>
            </w:r>
          </w:p>
        </w:tc>
        <w:tc>
          <w:tcPr>
            <w:tcW w:w="2780" w:type="dxa"/>
            <w:vAlign w:val="bottom"/>
          </w:tcPr>
          <w:p>
            <w:pPr>
              <w:jc w:val="right"/>
              <w:ind w:right="328"/>
              <w:spacing w:after="0"/>
              <w:rPr>
                <w:sz w:val="20"/>
                <w:szCs w:val="20"/>
                <w:color w:val="auto"/>
              </w:rPr>
            </w:pPr>
            <w:r>
              <w:rPr>
                <w:rFonts w:ascii="Arial" w:cs="Arial" w:eastAsia="Arial" w:hAnsi="Arial"/>
                <w:sz w:val="14"/>
                <w:szCs w:val="14"/>
                <w:color w:val="auto"/>
              </w:rPr>
              <w:t>$750,000</w:t>
            </w:r>
          </w:p>
        </w:tc>
        <w:tc>
          <w:tcPr>
            <w:tcW w:w="1380" w:type="dxa"/>
            <w:vAlign w:val="bottom"/>
          </w:tcPr>
          <w:p>
            <w:pPr>
              <w:jc w:val="center"/>
              <w:spacing w:after="0"/>
              <w:rPr>
                <w:sz w:val="20"/>
                <w:szCs w:val="20"/>
                <w:color w:val="auto"/>
              </w:rPr>
            </w:pPr>
            <w:r>
              <w:rPr>
                <w:rFonts w:ascii="Arial" w:cs="Arial" w:eastAsia="Arial" w:hAnsi="Arial"/>
                <w:sz w:val="14"/>
                <w:szCs w:val="14"/>
                <w:color w:val="auto"/>
              </w:rPr>
              <w:t>$675,000</w:t>
            </w:r>
          </w:p>
        </w:tc>
        <w:tc>
          <w:tcPr>
            <w:tcW w:w="2160" w:type="dxa"/>
            <w:vAlign w:val="bottom"/>
          </w:tcPr>
          <w:p>
            <w:pPr>
              <w:jc w:val="right"/>
              <w:ind w:right="228"/>
              <w:spacing w:after="0"/>
              <w:rPr>
                <w:sz w:val="20"/>
                <w:szCs w:val="20"/>
                <w:color w:val="auto"/>
              </w:rPr>
            </w:pPr>
            <w:r>
              <w:rPr>
                <w:rFonts w:ascii="Arial" w:cs="Arial" w:eastAsia="Arial" w:hAnsi="Arial"/>
                <w:sz w:val="14"/>
                <w:szCs w:val="14"/>
                <w:color w:val="auto"/>
              </w:rPr>
              <w:t>90%</w:t>
            </w:r>
          </w:p>
        </w:tc>
      </w:tr>
      <w:tr>
        <w:trPr>
          <w:trHeight w:val="83"/>
        </w:trPr>
        <w:tc>
          <w:tcPr>
            <w:tcW w:w="3080" w:type="dxa"/>
            <w:vAlign w:val="bottom"/>
            <w:tcBorders>
              <w:bottom w:val="single" w:sz="8" w:color="999999"/>
            </w:tcBorders>
          </w:tcPr>
          <w:p>
            <w:pPr>
              <w:spacing w:after="0"/>
              <w:rPr>
                <w:sz w:val="7"/>
                <w:szCs w:val="7"/>
                <w:color w:val="auto"/>
              </w:rPr>
            </w:pPr>
          </w:p>
        </w:tc>
        <w:tc>
          <w:tcPr>
            <w:tcW w:w="2780" w:type="dxa"/>
            <w:vAlign w:val="bottom"/>
            <w:tcBorders>
              <w:bottom w:val="single" w:sz="8" w:color="999999"/>
            </w:tcBorders>
          </w:tcPr>
          <w:p>
            <w:pPr>
              <w:spacing w:after="0"/>
              <w:rPr>
                <w:sz w:val="7"/>
                <w:szCs w:val="7"/>
                <w:color w:val="auto"/>
              </w:rPr>
            </w:pPr>
          </w:p>
        </w:tc>
        <w:tc>
          <w:tcPr>
            <w:tcW w:w="1380" w:type="dxa"/>
            <w:vAlign w:val="bottom"/>
            <w:tcBorders>
              <w:bottom w:val="single" w:sz="8" w:color="999999"/>
            </w:tcBorders>
          </w:tcPr>
          <w:p>
            <w:pPr>
              <w:spacing w:after="0"/>
              <w:rPr>
                <w:sz w:val="7"/>
                <w:szCs w:val="7"/>
                <w:color w:val="auto"/>
              </w:rPr>
            </w:pPr>
          </w:p>
        </w:tc>
        <w:tc>
          <w:tcPr>
            <w:tcW w:w="2160" w:type="dxa"/>
            <w:vAlign w:val="bottom"/>
            <w:tcBorders>
              <w:bottom w:val="single" w:sz="8" w:color="999999"/>
            </w:tcBorders>
          </w:tcPr>
          <w:p>
            <w:pPr>
              <w:spacing w:after="0"/>
              <w:rPr>
                <w:sz w:val="7"/>
                <w:szCs w:val="7"/>
                <w:color w:val="auto"/>
              </w:rPr>
            </w:pPr>
          </w:p>
        </w:tc>
      </w:tr>
      <w:tr>
        <w:trPr>
          <w:trHeight w:val="288"/>
        </w:trPr>
        <w:tc>
          <w:tcPr>
            <w:tcW w:w="3080" w:type="dxa"/>
            <w:vAlign w:val="bottom"/>
          </w:tcPr>
          <w:p>
            <w:pPr>
              <w:ind w:left="200"/>
              <w:spacing w:after="0"/>
              <w:rPr>
                <w:sz w:val="20"/>
                <w:szCs w:val="20"/>
                <w:color w:val="auto"/>
              </w:rPr>
            </w:pPr>
            <w:r>
              <w:rPr>
                <w:rFonts w:ascii="Arial" w:cs="Arial" w:eastAsia="Arial" w:hAnsi="Arial"/>
                <w:sz w:val="14"/>
                <w:szCs w:val="14"/>
                <w:b w:val="1"/>
                <w:bCs w:val="1"/>
                <w:color w:val="40C0C0"/>
              </w:rPr>
              <w:t>Brian Camire</w:t>
            </w:r>
          </w:p>
        </w:tc>
        <w:tc>
          <w:tcPr>
            <w:tcW w:w="2780" w:type="dxa"/>
            <w:vAlign w:val="bottom"/>
          </w:tcPr>
          <w:p>
            <w:pPr>
              <w:jc w:val="right"/>
              <w:ind w:right="328"/>
              <w:spacing w:after="0"/>
              <w:rPr>
                <w:sz w:val="20"/>
                <w:szCs w:val="20"/>
                <w:color w:val="auto"/>
              </w:rPr>
            </w:pPr>
            <w:r>
              <w:rPr>
                <w:rFonts w:ascii="Arial" w:cs="Arial" w:eastAsia="Arial" w:hAnsi="Arial"/>
                <w:sz w:val="14"/>
                <w:szCs w:val="14"/>
                <w:color w:val="auto"/>
              </w:rPr>
              <w:t>$205,000</w:t>
            </w:r>
          </w:p>
        </w:tc>
        <w:tc>
          <w:tcPr>
            <w:tcW w:w="1380" w:type="dxa"/>
            <w:vAlign w:val="bottom"/>
          </w:tcPr>
          <w:p>
            <w:pPr>
              <w:jc w:val="center"/>
              <w:spacing w:after="0"/>
              <w:rPr>
                <w:sz w:val="20"/>
                <w:szCs w:val="20"/>
                <w:color w:val="auto"/>
              </w:rPr>
            </w:pPr>
            <w:r>
              <w:rPr>
                <w:rFonts w:ascii="Arial" w:cs="Arial" w:eastAsia="Arial" w:hAnsi="Arial"/>
                <w:sz w:val="14"/>
                <w:szCs w:val="14"/>
                <w:color w:val="auto"/>
              </w:rPr>
              <w:t>$184,950</w:t>
            </w:r>
          </w:p>
        </w:tc>
        <w:tc>
          <w:tcPr>
            <w:tcW w:w="2160" w:type="dxa"/>
            <w:vAlign w:val="bottom"/>
          </w:tcPr>
          <w:p>
            <w:pPr>
              <w:jc w:val="right"/>
              <w:ind w:right="228"/>
              <w:spacing w:after="0"/>
              <w:rPr>
                <w:sz w:val="20"/>
                <w:szCs w:val="20"/>
                <w:color w:val="auto"/>
              </w:rPr>
            </w:pPr>
            <w:r>
              <w:rPr>
                <w:rFonts w:ascii="Arial" w:cs="Arial" w:eastAsia="Arial" w:hAnsi="Arial"/>
                <w:sz w:val="14"/>
                <w:szCs w:val="14"/>
                <w:color w:val="auto"/>
              </w:rPr>
              <w:t>90%​</w:t>
            </w:r>
          </w:p>
        </w:tc>
      </w:tr>
      <w:tr>
        <w:trPr>
          <w:trHeight w:val="83"/>
        </w:trPr>
        <w:tc>
          <w:tcPr>
            <w:tcW w:w="3080" w:type="dxa"/>
            <w:vAlign w:val="bottom"/>
            <w:tcBorders>
              <w:bottom w:val="single" w:sz="8" w:color="999999"/>
            </w:tcBorders>
          </w:tcPr>
          <w:p>
            <w:pPr>
              <w:spacing w:after="0"/>
              <w:rPr>
                <w:sz w:val="7"/>
                <w:szCs w:val="7"/>
                <w:color w:val="auto"/>
              </w:rPr>
            </w:pPr>
          </w:p>
        </w:tc>
        <w:tc>
          <w:tcPr>
            <w:tcW w:w="2780" w:type="dxa"/>
            <w:vAlign w:val="bottom"/>
            <w:tcBorders>
              <w:bottom w:val="single" w:sz="8" w:color="999999"/>
            </w:tcBorders>
          </w:tcPr>
          <w:p>
            <w:pPr>
              <w:spacing w:after="0"/>
              <w:rPr>
                <w:sz w:val="7"/>
                <w:szCs w:val="7"/>
                <w:color w:val="auto"/>
              </w:rPr>
            </w:pPr>
          </w:p>
        </w:tc>
        <w:tc>
          <w:tcPr>
            <w:tcW w:w="1380" w:type="dxa"/>
            <w:vAlign w:val="bottom"/>
            <w:tcBorders>
              <w:bottom w:val="single" w:sz="8" w:color="999999"/>
            </w:tcBorders>
          </w:tcPr>
          <w:p>
            <w:pPr>
              <w:spacing w:after="0"/>
              <w:rPr>
                <w:sz w:val="7"/>
                <w:szCs w:val="7"/>
                <w:color w:val="auto"/>
              </w:rPr>
            </w:pPr>
          </w:p>
        </w:tc>
        <w:tc>
          <w:tcPr>
            <w:tcW w:w="2160" w:type="dxa"/>
            <w:vAlign w:val="bottom"/>
            <w:tcBorders>
              <w:bottom w:val="single" w:sz="8" w:color="999999"/>
            </w:tcBorders>
          </w:tcPr>
          <w:p>
            <w:pPr>
              <w:spacing w:after="0"/>
              <w:rPr>
                <w:sz w:val="7"/>
                <w:szCs w:val="7"/>
                <w:color w:val="auto"/>
              </w:rPr>
            </w:pPr>
          </w:p>
        </w:tc>
      </w:tr>
      <w:tr>
        <w:trPr>
          <w:trHeight w:val="398"/>
        </w:trPr>
        <w:tc>
          <w:tcPr>
            <w:tcW w:w="3080" w:type="dxa"/>
            <w:vAlign w:val="bottom"/>
            <w:tcBorders>
              <w:bottom w:val="single" w:sz="8" w:color="999999"/>
            </w:tcBorders>
          </w:tcPr>
          <w:p>
            <w:pPr>
              <w:ind w:left="200"/>
              <w:spacing w:after="0"/>
              <w:rPr>
                <w:sz w:val="20"/>
                <w:szCs w:val="20"/>
                <w:color w:val="auto"/>
              </w:rPr>
            </w:pPr>
            <w:r>
              <w:rPr>
                <w:rFonts w:ascii="Arial" w:cs="Arial" w:eastAsia="Arial" w:hAnsi="Arial"/>
                <w:sz w:val="14"/>
                <w:szCs w:val="14"/>
                <w:b w:val="1"/>
                <w:bCs w:val="1"/>
                <w:color w:val="40C0C0"/>
              </w:rPr>
              <w:t>Duncan Grazier</w:t>
            </w:r>
            <w:r>
              <w:rPr>
                <w:rFonts w:ascii="Arial" w:cs="Arial" w:eastAsia="Arial" w:hAnsi="Arial"/>
                <w:sz w:val="23"/>
                <w:szCs w:val="23"/>
                <w:b w:val="1"/>
                <w:bCs w:val="1"/>
                <w:color w:val="40C0C0"/>
                <w:vertAlign w:val="superscript"/>
              </w:rPr>
              <w:t>(1)</w:t>
            </w:r>
          </w:p>
        </w:tc>
        <w:tc>
          <w:tcPr>
            <w:tcW w:w="2780" w:type="dxa"/>
            <w:vAlign w:val="bottom"/>
            <w:tcBorders>
              <w:bottom w:val="single" w:sz="8" w:color="999999"/>
            </w:tcBorders>
          </w:tcPr>
          <w:p>
            <w:pPr>
              <w:jc w:val="right"/>
              <w:ind w:right="328"/>
              <w:spacing w:after="0"/>
              <w:rPr>
                <w:sz w:val="20"/>
                <w:szCs w:val="20"/>
                <w:color w:val="auto"/>
              </w:rPr>
            </w:pPr>
            <w:r>
              <w:rPr>
                <w:rFonts w:ascii="Arial" w:cs="Arial" w:eastAsia="Arial" w:hAnsi="Arial"/>
                <w:sz w:val="14"/>
                <w:szCs w:val="14"/>
                <w:color w:val="auto"/>
              </w:rPr>
              <w:t>$212,500</w:t>
            </w:r>
          </w:p>
        </w:tc>
        <w:tc>
          <w:tcPr>
            <w:tcW w:w="1380" w:type="dxa"/>
            <w:vAlign w:val="bottom"/>
            <w:tcBorders>
              <w:bottom w:val="single" w:sz="8" w:color="999999"/>
            </w:tcBorders>
          </w:tcPr>
          <w:p>
            <w:pPr>
              <w:jc w:val="right"/>
              <w:ind w:right="26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999999"/>
            </w:tcBorders>
          </w:tcPr>
          <w:p>
            <w:pPr>
              <w:jc w:val="right"/>
              <w:ind w:right="208"/>
              <w:spacing w:after="0"/>
              <w:rPr>
                <w:sz w:val="20"/>
                <w:szCs w:val="20"/>
                <w:color w:val="auto"/>
              </w:rPr>
            </w:pPr>
            <w:r>
              <w:rPr>
                <w:rFonts w:ascii="Arial" w:cs="Arial" w:eastAsia="Arial" w:hAnsi="Arial"/>
                <w:sz w:val="14"/>
                <w:szCs w:val="14"/>
                <w:color w:val="auto"/>
              </w:rPr>
              <w:t>—</w:t>
            </w:r>
          </w:p>
        </w:tc>
      </w:tr>
      <w:tr>
        <w:trPr>
          <w:trHeight w:val="385"/>
        </w:trPr>
        <w:tc>
          <w:tcPr>
            <w:tcW w:w="3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40C0C0"/>
              </w:rPr>
              <w:t>Susan Echard</w:t>
            </w:r>
            <w:r>
              <w:rPr>
                <w:rFonts w:ascii="Arial" w:cs="Arial" w:eastAsia="Arial" w:hAnsi="Arial"/>
                <w:sz w:val="23"/>
                <w:szCs w:val="23"/>
                <w:b w:val="1"/>
                <w:bCs w:val="1"/>
                <w:color w:val="40C0C0"/>
                <w:vertAlign w:val="superscript"/>
              </w:rPr>
              <w:t>(2)</w:t>
            </w:r>
          </w:p>
        </w:tc>
        <w:tc>
          <w:tcPr>
            <w:tcW w:w="2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$200,000</w:t>
            </w:r>
          </w:p>
        </w:tc>
        <w:tc>
          <w:tcPr>
            <w:tcW w:w="2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r>
    </w:tbl>
    <w:p>
      <w:pPr>
        <w:spacing w:after="0" w:line="198" w:lineRule="exact"/>
        <w:rPr>
          <w:sz w:val="20"/>
          <w:szCs w:val="20"/>
          <w:color w:val="auto"/>
        </w:rPr>
      </w:pPr>
    </w:p>
    <w:p>
      <w:pPr>
        <w:ind w:left="240" w:hanging="234"/>
        <w:spacing w:after="0"/>
        <w:tabs>
          <w:tab w:leader="none" w:pos="24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Excludes Severance Payments for Mr. Grazier.</w:t>
      </w:r>
    </w:p>
    <w:p>
      <w:pPr>
        <w:spacing w:after="0" w:line="66" w:lineRule="exact"/>
        <w:rPr>
          <w:rFonts w:ascii="Arial" w:cs="Arial" w:eastAsia="Arial" w:hAnsi="Arial"/>
          <w:sz w:val="13"/>
          <w:szCs w:val="13"/>
          <w:b w:val="1"/>
          <w:bCs w:val="1"/>
          <w:color w:val="auto"/>
        </w:rPr>
      </w:pPr>
    </w:p>
    <w:p>
      <w:pPr>
        <w:ind w:left="240" w:right="280" w:hanging="234"/>
        <w:spacing w:after="0" w:line="252" w:lineRule="auto"/>
        <w:tabs>
          <w:tab w:leader="none" w:pos="24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Actual 2024 Cash Bonus for Ms. Echard was a discretionary award as Ms. Echard does not have a target bonus under the agreement with SeatonHill described in the Form 8-K filed by the Company on July 20, 2023.</w:t>
      </w:r>
    </w:p>
    <w:p>
      <w:pPr>
        <w:spacing w:after="0" w:line="122"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Going forward, we anticipate the Compensation Committee will design and adopt a similar cash bonus plan for our Named Executive Officers as part of its annual review of our executive compensation program.</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annual bonuses awarded to our Named Executive Officers for 2024 are set forth in the “Summary Compensation Table” below.</w:t>
      </w:r>
    </w:p>
    <w:p>
      <w:pPr>
        <w:spacing w:after="0" w:line="167" w:lineRule="exact"/>
        <w:rPr>
          <w:sz w:val="20"/>
          <w:szCs w:val="20"/>
          <w:color w:val="auto"/>
        </w:rPr>
      </w:pPr>
    </w:p>
    <w:p>
      <w:pPr>
        <w:jc w:val="both"/>
        <w:ind w:right="260"/>
        <w:spacing w:after="0" w:line="259" w:lineRule="auto"/>
        <w:rPr>
          <w:sz w:val="20"/>
          <w:szCs w:val="20"/>
          <w:color w:val="auto"/>
        </w:rPr>
      </w:pPr>
      <w:r>
        <w:rPr>
          <w:rFonts w:ascii="Arial" w:cs="Arial" w:eastAsia="Arial" w:hAnsi="Arial"/>
          <w:sz w:val="16"/>
          <w:szCs w:val="16"/>
          <w:color w:val="auto"/>
        </w:rPr>
        <w:t>In addition, on July 18, 2024, the Compensation Committee, awarded Mr. Francis, a discretionary performance bonus for fiscal year 2023 in the amount of $835,000, in recognition of the Company’s performance and his individual performance in the role of Executive Chair and principal executive officer, which bonus was considered immediately earned and paid to Mr. Francis by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Equity Incentive Compensation</w:t>
      </w:r>
    </w:p>
    <w:p>
      <w:pPr>
        <w:spacing w:after="0" w:line="16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encounter significant competition for qualified personnel, and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59664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In November 2024, we granted time-based RSU awards and PRSU awards, which may be settled for shares of our Class A Common Stock, to motivate and reward our Chief Executive Officer for long-term increases in the value of our Class A Common Stock. Mr. Camire, Mr. Grazier and Ms. Echard did not receive any RSU awards in 2024 in their roles as General Counsel, former Chief Technology Officer and Chief Financial Officer, respectively.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w:t>
      </w:r>
    </w:p>
    <w:p>
      <w:pPr>
        <w:spacing w:after="0" w:line="14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and PRSU awards to Mr. Francis in November 2024. Based upon these factors, the Compensation Committee determined the size of each equity award at levels considered appropriate to create a meaningful opportunity for reward predicated on the creation of long-term stockholder value.</w:t>
      </w:r>
    </w:p>
    <w:p>
      <w:pPr>
        <w:spacing w:after="0" w:line="12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equity awards granted to our Named Executive Officers in 2024 under the WM Technology, Inc. 2021 Equity Incentive Plan (the “2021 Equity Plan”),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980" w:type="dxa"/>
            <w:vAlign w:val="bottom"/>
            <w:shd w:val="clear" w:color="auto" w:fill="000000"/>
          </w:tcPr>
          <w:p>
            <w:pPr>
              <w:spacing w:after="0"/>
              <w:rPr>
                <w:sz w:val="24"/>
                <w:szCs w:val="24"/>
                <w:color w:val="auto"/>
              </w:rPr>
            </w:pPr>
          </w:p>
        </w:tc>
        <w:tc>
          <w:tcPr>
            <w:tcW w:w="2480" w:type="dxa"/>
            <w:vAlign w:val="bottom"/>
            <w:shd w:val="clear" w:color="auto" w:fill="000000"/>
          </w:tcPr>
          <w:p>
            <w:pPr>
              <w:spacing w:after="0"/>
              <w:rPr>
                <w:sz w:val="24"/>
                <w:szCs w:val="24"/>
                <w:color w:val="auto"/>
              </w:rPr>
            </w:pPr>
          </w:p>
        </w:tc>
        <w:tc>
          <w:tcPr>
            <w:tcW w:w="124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RSU Awards</w:t>
            </w:r>
          </w:p>
        </w:tc>
        <w:tc>
          <w:tcPr>
            <w:tcW w:w="140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PRSU Awards</w:t>
            </w:r>
          </w:p>
        </w:tc>
        <w:tc>
          <w:tcPr>
            <w:tcW w:w="130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PRSU Awards</w:t>
            </w:r>
          </w:p>
        </w:tc>
      </w:tr>
      <w:tr>
        <w:trPr>
          <w:trHeight w:val="162"/>
        </w:trPr>
        <w:tc>
          <w:tcPr>
            <w:tcW w:w="2980" w:type="dxa"/>
            <w:vAlign w:val="bottom"/>
            <w:shd w:val="clear" w:color="auto" w:fill="000000"/>
          </w:tcPr>
          <w:p>
            <w:pPr>
              <w:spacing w:after="0"/>
              <w:rPr>
                <w:sz w:val="14"/>
                <w:szCs w:val="14"/>
                <w:color w:val="auto"/>
              </w:rPr>
            </w:pPr>
          </w:p>
        </w:tc>
        <w:tc>
          <w:tcPr>
            <w:tcW w:w="248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RSU Awards</w:t>
            </w:r>
          </w:p>
        </w:tc>
        <w:tc>
          <w:tcPr>
            <w:tcW w:w="124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(grant date</w:t>
            </w:r>
          </w:p>
        </w:tc>
        <w:tc>
          <w:tcPr>
            <w:tcW w:w="140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(target number</w:t>
            </w:r>
          </w:p>
        </w:tc>
        <w:tc>
          <w:tcPr>
            <w:tcW w:w="130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(grant date</w:t>
            </w:r>
          </w:p>
        </w:tc>
      </w:tr>
      <w:tr>
        <w:trPr>
          <w:trHeight w:val="162"/>
        </w:trPr>
        <w:tc>
          <w:tcPr>
            <w:tcW w:w="2980" w:type="dxa"/>
            <w:vAlign w:val="bottom"/>
            <w:shd w:val="clear" w:color="auto" w:fill="000000"/>
          </w:tcPr>
          <w:p>
            <w:pPr>
              <w:spacing w:after="0"/>
              <w:rPr>
                <w:sz w:val="14"/>
                <w:szCs w:val="14"/>
                <w:color w:val="auto"/>
              </w:rPr>
            </w:pPr>
          </w:p>
        </w:tc>
        <w:tc>
          <w:tcPr>
            <w:tcW w:w="248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(number of units)</w:t>
            </w:r>
          </w:p>
        </w:tc>
        <w:tc>
          <w:tcPr>
            <w:tcW w:w="124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fair value)</w:t>
            </w:r>
          </w:p>
        </w:tc>
        <w:tc>
          <w:tcPr>
            <w:tcW w:w="140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of units)</w:t>
            </w:r>
          </w:p>
        </w:tc>
        <w:tc>
          <w:tcPr>
            <w:tcW w:w="130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fair value)</w:t>
            </w:r>
          </w:p>
        </w:tc>
      </w:tr>
      <w:tr>
        <w:trPr>
          <w:trHeight w:val="196"/>
        </w:trPr>
        <w:tc>
          <w:tcPr>
            <w:tcW w:w="2980" w:type="dxa"/>
            <w:vAlign w:val="bottom"/>
            <w:shd w:val="clear" w:color="auto" w:fill="000000"/>
          </w:tcPr>
          <w:p>
            <w:pPr>
              <w:ind w:left="200"/>
              <w:spacing w:after="0"/>
              <w:rPr>
                <w:sz w:val="20"/>
                <w:szCs w:val="20"/>
                <w:color w:val="auto"/>
              </w:rPr>
            </w:pPr>
            <w:r>
              <w:rPr>
                <w:rFonts w:ascii="Arial" w:cs="Arial" w:eastAsia="Arial" w:hAnsi="Arial"/>
                <w:sz w:val="14"/>
                <w:szCs w:val="14"/>
                <w:b w:val="1"/>
                <w:bCs w:val="1"/>
                <w:color w:val="FFFFFF"/>
              </w:rPr>
              <w:t>Named Executive Officer</w:t>
            </w:r>
          </w:p>
        </w:tc>
        <w:tc>
          <w:tcPr>
            <w:tcW w:w="2480" w:type="dxa"/>
            <w:vAlign w:val="bottom"/>
            <w:shd w:val="clear" w:color="auto" w:fill="000000"/>
          </w:tcPr>
          <w:p>
            <w:pPr>
              <w:jc w:val="right"/>
              <w:ind w:right="88"/>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83"/>
        </w:trPr>
        <w:tc>
          <w:tcPr>
            <w:tcW w:w="2980" w:type="dxa"/>
            <w:vAlign w:val="bottom"/>
            <w:shd w:val="clear" w:color="auto" w:fill="000000"/>
          </w:tcPr>
          <w:p>
            <w:pPr>
              <w:spacing w:after="0"/>
              <w:rPr>
                <w:sz w:val="7"/>
                <w:szCs w:val="7"/>
                <w:color w:val="auto"/>
              </w:rPr>
            </w:pPr>
          </w:p>
        </w:tc>
        <w:tc>
          <w:tcPr>
            <w:tcW w:w="2480" w:type="dxa"/>
            <w:vAlign w:val="bottom"/>
            <w:shd w:val="clear" w:color="auto" w:fill="000000"/>
          </w:tcPr>
          <w:p>
            <w:pPr>
              <w:spacing w:after="0"/>
              <w:rPr>
                <w:sz w:val="7"/>
                <w:szCs w:val="7"/>
                <w:color w:val="auto"/>
              </w:rPr>
            </w:pPr>
          </w:p>
        </w:tc>
        <w:tc>
          <w:tcPr>
            <w:tcW w:w="1240" w:type="dxa"/>
            <w:vAlign w:val="bottom"/>
            <w:shd w:val="clear" w:color="auto" w:fill="000000"/>
          </w:tcPr>
          <w:p>
            <w:pPr>
              <w:spacing w:after="0"/>
              <w:rPr>
                <w:sz w:val="7"/>
                <w:szCs w:val="7"/>
                <w:color w:val="auto"/>
              </w:rPr>
            </w:pPr>
          </w:p>
        </w:tc>
        <w:tc>
          <w:tcPr>
            <w:tcW w:w="1400" w:type="dxa"/>
            <w:vAlign w:val="bottom"/>
            <w:shd w:val="clear" w:color="auto" w:fill="000000"/>
          </w:tcPr>
          <w:p>
            <w:pPr>
              <w:spacing w:after="0"/>
              <w:rPr>
                <w:sz w:val="7"/>
                <w:szCs w:val="7"/>
                <w:color w:val="auto"/>
              </w:rPr>
            </w:pPr>
          </w:p>
        </w:tc>
        <w:tc>
          <w:tcPr>
            <w:tcW w:w="1300" w:type="dxa"/>
            <w:vAlign w:val="bottom"/>
            <w:shd w:val="clear" w:color="auto" w:fill="000000"/>
          </w:tcPr>
          <w:p>
            <w:pPr>
              <w:spacing w:after="0"/>
              <w:rPr>
                <w:sz w:val="7"/>
                <w:szCs w:val="7"/>
                <w:color w:val="auto"/>
              </w:rPr>
            </w:pPr>
          </w:p>
        </w:tc>
      </w:tr>
      <w:tr>
        <w:trPr>
          <w:trHeight w:val="295"/>
        </w:trPr>
        <w:tc>
          <w:tcPr>
            <w:tcW w:w="2980" w:type="dxa"/>
            <w:vAlign w:val="bottom"/>
          </w:tcPr>
          <w:p>
            <w:pPr>
              <w:ind w:left="200"/>
              <w:spacing w:after="0"/>
              <w:rPr>
                <w:sz w:val="20"/>
                <w:szCs w:val="20"/>
                <w:color w:val="auto"/>
              </w:rPr>
            </w:pPr>
            <w:r>
              <w:rPr>
                <w:rFonts w:ascii="Arial" w:cs="Arial" w:eastAsia="Arial" w:hAnsi="Arial"/>
                <w:sz w:val="14"/>
                <w:szCs w:val="14"/>
                <w:b w:val="1"/>
                <w:bCs w:val="1"/>
                <w:color w:val="40C0C0"/>
              </w:rPr>
              <w:t>Douglas Francis</w:t>
            </w:r>
          </w:p>
        </w:tc>
        <w:tc>
          <w:tcPr>
            <w:tcW w:w="2480" w:type="dxa"/>
            <w:vAlign w:val="bottom"/>
          </w:tcPr>
          <w:p>
            <w:pPr>
              <w:jc w:val="right"/>
              <w:ind w:right="228"/>
              <w:spacing w:after="0"/>
              <w:rPr>
                <w:sz w:val="20"/>
                <w:szCs w:val="20"/>
                <w:color w:val="auto"/>
              </w:rPr>
            </w:pPr>
            <w:r>
              <w:rPr>
                <w:rFonts w:ascii="Arial" w:cs="Arial" w:eastAsia="Arial" w:hAnsi="Arial"/>
                <w:sz w:val="14"/>
                <w:szCs w:val="14"/>
                <w:color w:val="auto"/>
              </w:rPr>
              <w:t>4,342,391</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$3,343,641</w:t>
            </w: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4,342,391</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$1,650,109</w:t>
            </w:r>
          </w:p>
        </w:tc>
      </w:tr>
      <w:tr>
        <w:trPr>
          <w:trHeight w:val="83"/>
        </w:trPr>
        <w:tc>
          <w:tcPr>
            <w:tcW w:w="2980" w:type="dxa"/>
            <w:vAlign w:val="bottom"/>
            <w:tcBorders>
              <w:bottom w:val="single" w:sz="8" w:color="999999"/>
            </w:tcBorders>
          </w:tcPr>
          <w:p>
            <w:pPr>
              <w:spacing w:after="0"/>
              <w:rPr>
                <w:sz w:val="7"/>
                <w:szCs w:val="7"/>
                <w:color w:val="auto"/>
              </w:rPr>
            </w:pPr>
          </w:p>
        </w:tc>
        <w:tc>
          <w:tcPr>
            <w:tcW w:w="2480" w:type="dxa"/>
            <w:vAlign w:val="bottom"/>
            <w:tcBorders>
              <w:bottom w:val="single" w:sz="8" w:color="999999"/>
            </w:tcBorders>
          </w:tcPr>
          <w:p>
            <w:pPr>
              <w:spacing w:after="0"/>
              <w:rPr>
                <w:sz w:val="7"/>
                <w:szCs w:val="7"/>
                <w:color w:val="auto"/>
              </w:rPr>
            </w:pPr>
          </w:p>
        </w:tc>
        <w:tc>
          <w:tcPr>
            <w:tcW w:w="1240" w:type="dxa"/>
            <w:vAlign w:val="bottom"/>
            <w:tcBorders>
              <w:bottom w:val="single" w:sz="8" w:color="999999"/>
            </w:tcBorders>
          </w:tcPr>
          <w:p>
            <w:pPr>
              <w:spacing w:after="0"/>
              <w:rPr>
                <w:sz w:val="7"/>
                <w:szCs w:val="7"/>
                <w:color w:val="auto"/>
              </w:rPr>
            </w:pPr>
          </w:p>
        </w:tc>
        <w:tc>
          <w:tcPr>
            <w:tcW w:w="1400" w:type="dxa"/>
            <w:vAlign w:val="bottom"/>
            <w:tcBorders>
              <w:bottom w:val="single" w:sz="8" w:color="999999"/>
            </w:tcBorders>
          </w:tcPr>
          <w:p>
            <w:pPr>
              <w:spacing w:after="0"/>
              <w:rPr>
                <w:sz w:val="7"/>
                <w:szCs w:val="7"/>
                <w:color w:val="auto"/>
              </w:rPr>
            </w:pPr>
          </w:p>
        </w:tc>
        <w:tc>
          <w:tcPr>
            <w:tcW w:w="1300" w:type="dxa"/>
            <w:vAlign w:val="bottom"/>
            <w:tcBorders>
              <w:bottom w:val="single" w:sz="8" w:color="999999"/>
            </w:tcBorders>
          </w:tcPr>
          <w:p>
            <w:pPr>
              <w:spacing w:after="0"/>
              <w:rPr>
                <w:sz w:val="7"/>
                <w:szCs w:val="7"/>
                <w:color w:val="auto"/>
              </w:rPr>
            </w:pPr>
          </w:p>
        </w:tc>
      </w:tr>
      <w:tr>
        <w:trPr>
          <w:trHeight w:val="288"/>
        </w:trPr>
        <w:tc>
          <w:tcPr>
            <w:tcW w:w="2980" w:type="dxa"/>
            <w:vAlign w:val="bottom"/>
          </w:tcPr>
          <w:p>
            <w:pPr>
              <w:ind w:left="200"/>
              <w:spacing w:after="0"/>
              <w:rPr>
                <w:sz w:val="20"/>
                <w:szCs w:val="20"/>
                <w:color w:val="auto"/>
              </w:rPr>
            </w:pPr>
            <w:r>
              <w:rPr>
                <w:rFonts w:ascii="Arial" w:cs="Arial" w:eastAsia="Arial" w:hAnsi="Arial"/>
                <w:sz w:val="14"/>
                <w:szCs w:val="14"/>
                <w:b w:val="1"/>
                <w:bCs w:val="1"/>
                <w:color w:val="40C0C0"/>
              </w:rPr>
              <w:t>Duncan Grazier</w:t>
            </w:r>
          </w:p>
        </w:tc>
        <w:tc>
          <w:tcPr>
            <w:tcW w:w="2480" w:type="dxa"/>
            <w:vAlign w:val="bottom"/>
          </w:tcPr>
          <w:p>
            <w:pPr>
              <w:ind w:left="20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83"/>
        </w:trPr>
        <w:tc>
          <w:tcPr>
            <w:tcW w:w="2980" w:type="dxa"/>
            <w:vAlign w:val="bottom"/>
            <w:tcBorders>
              <w:bottom w:val="single" w:sz="8" w:color="999999"/>
            </w:tcBorders>
          </w:tcPr>
          <w:p>
            <w:pPr>
              <w:spacing w:after="0"/>
              <w:rPr>
                <w:sz w:val="7"/>
                <w:szCs w:val="7"/>
                <w:color w:val="auto"/>
              </w:rPr>
            </w:pPr>
          </w:p>
        </w:tc>
        <w:tc>
          <w:tcPr>
            <w:tcW w:w="2480" w:type="dxa"/>
            <w:vAlign w:val="bottom"/>
            <w:tcBorders>
              <w:bottom w:val="single" w:sz="8" w:color="999999"/>
            </w:tcBorders>
          </w:tcPr>
          <w:p>
            <w:pPr>
              <w:spacing w:after="0"/>
              <w:rPr>
                <w:sz w:val="7"/>
                <w:szCs w:val="7"/>
                <w:color w:val="auto"/>
              </w:rPr>
            </w:pPr>
          </w:p>
        </w:tc>
        <w:tc>
          <w:tcPr>
            <w:tcW w:w="1240" w:type="dxa"/>
            <w:vAlign w:val="bottom"/>
            <w:tcBorders>
              <w:bottom w:val="single" w:sz="8" w:color="999999"/>
            </w:tcBorders>
          </w:tcPr>
          <w:p>
            <w:pPr>
              <w:spacing w:after="0"/>
              <w:rPr>
                <w:sz w:val="7"/>
                <w:szCs w:val="7"/>
                <w:color w:val="auto"/>
              </w:rPr>
            </w:pPr>
          </w:p>
        </w:tc>
        <w:tc>
          <w:tcPr>
            <w:tcW w:w="1400" w:type="dxa"/>
            <w:vAlign w:val="bottom"/>
            <w:tcBorders>
              <w:bottom w:val="single" w:sz="8" w:color="999999"/>
            </w:tcBorders>
          </w:tcPr>
          <w:p>
            <w:pPr>
              <w:spacing w:after="0"/>
              <w:rPr>
                <w:sz w:val="7"/>
                <w:szCs w:val="7"/>
                <w:color w:val="auto"/>
              </w:rPr>
            </w:pPr>
          </w:p>
        </w:tc>
        <w:tc>
          <w:tcPr>
            <w:tcW w:w="1300" w:type="dxa"/>
            <w:vAlign w:val="bottom"/>
            <w:tcBorders>
              <w:bottom w:val="single" w:sz="8" w:color="999999"/>
            </w:tcBorders>
          </w:tcPr>
          <w:p>
            <w:pPr>
              <w:spacing w:after="0"/>
              <w:rPr>
                <w:sz w:val="7"/>
                <w:szCs w:val="7"/>
                <w:color w:val="auto"/>
              </w:rPr>
            </w:pPr>
          </w:p>
        </w:tc>
      </w:tr>
      <w:tr>
        <w:trPr>
          <w:trHeight w:val="289"/>
        </w:trPr>
        <w:tc>
          <w:tcPr>
            <w:tcW w:w="2980" w:type="dxa"/>
            <w:vAlign w:val="bottom"/>
          </w:tcPr>
          <w:p>
            <w:pPr>
              <w:ind w:left="200"/>
              <w:spacing w:after="0"/>
              <w:rPr>
                <w:sz w:val="20"/>
                <w:szCs w:val="20"/>
                <w:color w:val="auto"/>
              </w:rPr>
            </w:pPr>
            <w:r>
              <w:rPr>
                <w:rFonts w:ascii="Arial" w:cs="Arial" w:eastAsia="Arial" w:hAnsi="Arial"/>
                <w:sz w:val="14"/>
                <w:szCs w:val="14"/>
                <w:b w:val="1"/>
                <w:bCs w:val="1"/>
                <w:color w:val="40C0C0"/>
              </w:rPr>
              <w:t>Brian Camire</w:t>
            </w:r>
          </w:p>
        </w:tc>
        <w:tc>
          <w:tcPr>
            <w:tcW w:w="2480" w:type="dxa"/>
            <w:vAlign w:val="bottom"/>
          </w:tcPr>
          <w:p>
            <w:pPr>
              <w:ind w:left="20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83"/>
        </w:trPr>
        <w:tc>
          <w:tcPr>
            <w:tcW w:w="2980" w:type="dxa"/>
            <w:vAlign w:val="bottom"/>
            <w:tcBorders>
              <w:bottom w:val="single" w:sz="8" w:color="999999"/>
            </w:tcBorders>
          </w:tcPr>
          <w:p>
            <w:pPr>
              <w:spacing w:after="0"/>
              <w:rPr>
                <w:sz w:val="7"/>
                <w:szCs w:val="7"/>
                <w:color w:val="auto"/>
              </w:rPr>
            </w:pPr>
          </w:p>
        </w:tc>
        <w:tc>
          <w:tcPr>
            <w:tcW w:w="2480" w:type="dxa"/>
            <w:vAlign w:val="bottom"/>
            <w:tcBorders>
              <w:bottom w:val="single" w:sz="8" w:color="999999"/>
            </w:tcBorders>
          </w:tcPr>
          <w:p>
            <w:pPr>
              <w:spacing w:after="0"/>
              <w:rPr>
                <w:sz w:val="7"/>
                <w:szCs w:val="7"/>
                <w:color w:val="auto"/>
              </w:rPr>
            </w:pPr>
          </w:p>
        </w:tc>
        <w:tc>
          <w:tcPr>
            <w:tcW w:w="1240" w:type="dxa"/>
            <w:vAlign w:val="bottom"/>
            <w:tcBorders>
              <w:bottom w:val="single" w:sz="8" w:color="999999"/>
            </w:tcBorders>
          </w:tcPr>
          <w:p>
            <w:pPr>
              <w:spacing w:after="0"/>
              <w:rPr>
                <w:sz w:val="7"/>
                <w:szCs w:val="7"/>
                <w:color w:val="auto"/>
              </w:rPr>
            </w:pPr>
          </w:p>
        </w:tc>
        <w:tc>
          <w:tcPr>
            <w:tcW w:w="1400" w:type="dxa"/>
            <w:vAlign w:val="bottom"/>
            <w:tcBorders>
              <w:bottom w:val="single" w:sz="8" w:color="999999"/>
            </w:tcBorders>
          </w:tcPr>
          <w:p>
            <w:pPr>
              <w:spacing w:after="0"/>
              <w:rPr>
                <w:sz w:val="7"/>
                <w:szCs w:val="7"/>
                <w:color w:val="auto"/>
              </w:rPr>
            </w:pPr>
          </w:p>
        </w:tc>
        <w:tc>
          <w:tcPr>
            <w:tcW w:w="1300" w:type="dxa"/>
            <w:vAlign w:val="bottom"/>
            <w:tcBorders>
              <w:bottom w:val="single" w:sz="8" w:color="999999"/>
            </w:tcBorders>
          </w:tcPr>
          <w:p>
            <w:pPr>
              <w:spacing w:after="0"/>
              <w:rPr>
                <w:sz w:val="7"/>
                <w:szCs w:val="7"/>
                <w:color w:val="auto"/>
              </w:rPr>
            </w:pPr>
          </w:p>
        </w:tc>
      </w:tr>
      <w:tr>
        <w:trPr>
          <w:trHeight w:val="288"/>
        </w:trPr>
        <w:tc>
          <w:tcPr>
            <w:tcW w:w="2980" w:type="dxa"/>
            <w:vAlign w:val="bottom"/>
          </w:tcPr>
          <w:p>
            <w:pPr>
              <w:ind w:left="200"/>
              <w:spacing w:after="0"/>
              <w:rPr>
                <w:sz w:val="20"/>
                <w:szCs w:val="20"/>
                <w:color w:val="auto"/>
              </w:rPr>
            </w:pPr>
            <w:r>
              <w:rPr>
                <w:rFonts w:ascii="Arial" w:cs="Arial" w:eastAsia="Arial" w:hAnsi="Arial"/>
                <w:sz w:val="14"/>
                <w:szCs w:val="14"/>
                <w:b w:val="1"/>
                <w:bCs w:val="1"/>
                <w:color w:val="40C0C0"/>
              </w:rPr>
              <w:t>Susan Echard(1)</w:t>
            </w:r>
          </w:p>
        </w:tc>
        <w:tc>
          <w:tcPr>
            <w:tcW w:w="2480" w:type="dxa"/>
            <w:vAlign w:val="bottom"/>
          </w:tcPr>
          <w:p>
            <w:pPr>
              <w:ind w:left="20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70"/>
        </w:trPr>
        <w:tc>
          <w:tcPr>
            <w:tcW w:w="298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bl>
    <w:p>
      <w:pPr>
        <w:spacing w:after="0" w:line="198" w:lineRule="exact"/>
        <w:rPr>
          <w:sz w:val="20"/>
          <w:szCs w:val="20"/>
          <w:color w:val="auto"/>
        </w:rPr>
      </w:pPr>
    </w:p>
    <w:p>
      <w:pPr>
        <w:ind w:left="240" w:right="160" w:hanging="234"/>
        <w:spacing w:after="0" w:line="252" w:lineRule="auto"/>
        <w:tabs>
          <w:tab w:leader="none" w:pos="24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Ms. Echard was and is not an employee and therefore was not eligible for an award under the 2021 Equity Plan in 2024 pursuant to the agreement with SeatonHill.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RSU Awards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RSU awards granted to Mr. Camire in 2021, and to Mr. Grazier and Mr. Camire in September 2023, and to Mr. Francis in November 2024 each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59664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RSU awards originally granted to Mr. Grazier in August 2021 and March 2022 vested in equal quarterly installments over four years commencing on the first vest date (except that 25% of Mr. Grazier’s first grant vested on a one-year cliff first vest date), and vesting terminated upon Mr. Grazier’s termination of continuous service with us. Each unit granted pursuant to these RSU awards represented a contingent right to receive one share of our Class A Common Stock for each unit that vests. The RSU awards granted to Mr. Francis in previous years in his capacity as a director of the Company, are as described in the section titled “Director Compensation” below.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PRSU Awards</w:t>
      </w:r>
    </w:p>
    <w:p>
      <w:pPr>
        <w:spacing w:after="0" w:line="16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PRSUs granted to Mr. Francis vest only if we achieved specified stock performance milestones during the performance period beginning on November 7, 2024 and ending on December 31, 2027 (the “Performance Period”). The actual number of PRSUs that vest will be determined based upon the following milestone achievements: (i) one half of the PRSUs will vest if the volume weighted average price of our Class A Common Stock during any period of 30 trading days during the Performance Period equals or exceeds $3.25, and (ii) one half of the PRSUs will vest if the volume weighted average price of our Class A Common Stock during any period of 30 trading days during the Performance Period equals or exceeds $5.00.</w:t>
      </w:r>
    </w:p>
    <w:p>
      <w:pPr>
        <w:spacing w:after="0" w:line="12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number of PRSUs that vest will be determined by our Compensation Committee at any applicable time during Performance Period that an achievement milestone is met, but in no event past the 90-day period following the end of the Performance Period. Mr. Francis must remain employed by us through the determination date for the PRSU award to vest.</w:t>
      </w:r>
    </w:p>
    <w:p>
      <w:pPr>
        <w:spacing w:after="0" w:line="117"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The equity awards vested to our Named Executive Officers during the performance period are set forth in the “Summary Compensation Table” below.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Health and Welfare Benefits</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 In addition, Mr. Francis is eligible for a reimbursement of the annual membership fee for a concierge medical plan selected by Mr. Francis, subject to a net after-tax maximum yearly amount of $24,000, which Mr. Francis did not use in 2024.</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Section 401(k) Plan</w:t>
      </w:r>
    </w:p>
    <w:p>
      <w:pPr>
        <w:spacing w:after="0" w:line="16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59664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Perquisites and Other Personal Benefits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2024, our Named Executive Officers did not receive perquisites or other personal benefits that were, in the aggregate, $10,000 or more for each individual.</w:t>
      </w:r>
    </w:p>
    <w:p>
      <w:pPr>
        <w:spacing w:after="0" w:line="319"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Equity Award Grant Policy</w:t>
      </w:r>
    </w:p>
    <w:p>
      <w:pPr>
        <w:spacing w:after="0" w:line="16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Compensation Committee has adopted an equity award grant policy to ensure the integrity and efficiency of our equity award process. The Board has delegated to the Compensation Committee the express authority to serve as administrator of the</w:t>
      </w:r>
    </w:p>
    <w:p>
      <w:pPr>
        <w:spacing w:after="0" w:line="1" w:lineRule="exact"/>
        <w:rPr>
          <w:sz w:val="20"/>
          <w:szCs w:val="20"/>
          <w:color w:val="auto"/>
        </w:rPr>
      </w:pPr>
    </w:p>
    <w:p>
      <w:pPr>
        <w:ind w:right="420"/>
        <w:spacing w:after="0" w:line="265" w:lineRule="auto"/>
        <w:rPr>
          <w:sz w:val="20"/>
          <w:szCs w:val="20"/>
          <w:color w:val="auto"/>
        </w:rPr>
      </w:pPr>
      <w:r>
        <w:rPr>
          <w:rFonts w:ascii="Arial" w:cs="Arial" w:eastAsia="Arial" w:hAnsi="Arial"/>
          <w:sz w:val="16"/>
          <w:szCs w:val="16"/>
          <w:color w:val="auto"/>
        </w:rPr>
        <w:t>2021 Equity Plan, although such delegation of authority is not exclusive as the Board retains concurrent rights to grant equity awards under the 2021 Equity Plan.</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12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59664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Summary Compensation Table</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following table shows compensation awarded or paid to, or earned by, our Named Executive Officers with respect to the years ended 2024 and 2023.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For 2024, our Named Executive Officers were:</w:t>
      </w:r>
    </w:p>
    <w:p>
      <w:pPr>
        <w:spacing w:after="0" w:line="73" w:lineRule="exact"/>
        <w:rPr>
          <w:sz w:val="20"/>
          <w:szCs w:val="20"/>
          <w:color w:val="auto"/>
        </w:rPr>
      </w:pPr>
    </w:p>
    <w:p>
      <w:pPr>
        <w:ind w:left="600" w:hanging="288"/>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Douglas Francis, our principal executive officer and Chief Executive Officer;</w:t>
      </w:r>
    </w:p>
    <w:p>
      <w:pPr>
        <w:spacing w:after="0" w:line="86" w:lineRule="exact"/>
        <w:rPr>
          <w:rFonts w:ascii="Arial" w:cs="Arial" w:eastAsia="Arial" w:hAnsi="Arial"/>
          <w:sz w:val="16"/>
          <w:szCs w:val="16"/>
          <w:color w:val="auto"/>
        </w:rPr>
      </w:pPr>
    </w:p>
    <w:p>
      <w:pPr>
        <w:ind w:left="600" w:hanging="288"/>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Brian Camire, our General Counsel and Secretary.</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Duncan Grazier, our former Chief Technology Officer</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Susan Echard, our Chief Financial Officer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100" w:type="dxa"/>
            <w:vAlign w:val="bottom"/>
            <w:shd w:val="clear" w:color="auto" w:fill="000000"/>
          </w:tcPr>
          <w:p>
            <w:pPr>
              <w:spacing w:after="0"/>
              <w:rPr>
                <w:sz w:val="24"/>
                <w:szCs w:val="24"/>
                <w:color w:val="auto"/>
              </w:rPr>
            </w:pPr>
          </w:p>
        </w:tc>
        <w:tc>
          <w:tcPr>
            <w:tcW w:w="1520" w:type="dxa"/>
            <w:vAlign w:val="bottom"/>
            <w:shd w:val="clear" w:color="auto" w:fill="000000"/>
          </w:tcPr>
          <w:p>
            <w:pPr>
              <w:spacing w:after="0"/>
              <w:rPr>
                <w:sz w:val="24"/>
                <w:szCs w:val="24"/>
                <w:color w:val="auto"/>
              </w:rPr>
            </w:pPr>
          </w:p>
        </w:tc>
        <w:tc>
          <w:tcPr>
            <w:tcW w:w="480" w:type="dxa"/>
            <w:vAlign w:val="bottom"/>
            <w:shd w:val="clear" w:color="auto" w:fill="000000"/>
          </w:tcPr>
          <w:p>
            <w:pPr>
              <w:spacing w:after="0"/>
              <w:rPr>
                <w:sz w:val="24"/>
                <w:szCs w:val="24"/>
                <w:color w:val="auto"/>
              </w:rPr>
            </w:pPr>
          </w:p>
        </w:tc>
        <w:tc>
          <w:tcPr>
            <w:tcW w:w="720" w:type="dxa"/>
            <w:vAlign w:val="bottom"/>
            <w:shd w:val="clear" w:color="auto" w:fill="000000"/>
          </w:tcPr>
          <w:p>
            <w:pPr>
              <w:spacing w:after="0"/>
              <w:rPr>
                <w:sz w:val="24"/>
                <w:szCs w:val="24"/>
                <w:color w:val="auto"/>
              </w:rPr>
            </w:pPr>
          </w:p>
        </w:tc>
        <w:tc>
          <w:tcPr>
            <w:tcW w:w="74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680" w:type="dxa"/>
            <w:vAlign w:val="bottom"/>
            <w:shd w:val="clear" w:color="auto" w:fill="000000"/>
          </w:tcPr>
          <w:p>
            <w:pPr>
              <w:spacing w:after="0"/>
              <w:rPr>
                <w:sz w:val="24"/>
                <w:szCs w:val="24"/>
                <w:color w:val="auto"/>
              </w:rPr>
            </w:pPr>
          </w:p>
        </w:tc>
        <w:tc>
          <w:tcPr>
            <w:tcW w:w="60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1140" w:type="dxa"/>
            <w:vAlign w:val="bottom"/>
            <w:shd w:val="clear" w:color="auto" w:fill="000000"/>
          </w:tcPr>
          <w:p>
            <w:pPr>
              <w:jc w:val="right"/>
              <w:ind w:right="48"/>
              <w:spacing w:after="0"/>
              <w:rPr>
                <w:sz w:val="20"/>
                <w:szCs w:val="20"/>
                <w:color w:val="auto"/>
              </w:rPr>
            </w:pPr>
            <w:r>
              <w:rPr>
                <w:rFonts w:ascii="Arial" w:cs="Arial" w:eastAsia="Arial" w:hAnsi="Arial"/>
                <w:sz w:val="14"/>
                <w:szCs w:val="14"/>
                <w:b w:val="1"/>
                <w:bCs w:val="1"/>
                <w:color w:val="FFFFFF"/>
              </w:rPr>
              <w:t>Change in</w:t>
            </w:r>
          </w:p>
        </w:tc>
        <w:tc>
          <w:tcPr>
            <w:tcW w:w="1160" w:type="dxa"/>
            <w:vAlign w:val="bottom"/>
            <w:shd w:val="clear" w:color="auto" w:fill="000000"/>
          </w:tcPr>
          <w:p>
            <w:pPr>
              <w:spacing w:after="0"/>
              <w:rPr>
                <w:sz w:val="24"/>
                <w:szCs w:val="24"/>
                <w:color w:val="auto"/>
              </w:rPr>
            </w:pPr>
          </w:p>
        </w:tc>
        <w:tc>
          <w:tcPr>
            <w:tcW w:w="88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0000"/>
          </w:tcPr>
          <w:p>
            <w:pPr>
              <w:spacing w:after="0"/>
              <w:rPr>
                <w:sz w:val="14"/>
                <w:szCs w:val="14"/>
                <w:color w:val="auto"/>
              </w:rPr>
            </w:pPr>
          </w:p>
        </w:tc>
        <w:tc>
          <w:tcPr>
            <w:tcW w:w="1520" w:type="dxa"/>
            <w:vAlign w:val="bottom"/>
            <w:shd w:val="clear" w:color="auto" w:fill="000000"/>
          </w:tcPr>
          <w:p>
            <w:pPr>
              <w:spacing w:after="0"/>
              <w:rPr>
                <w:sz w:val="14"/>
                <w:szCs w:val="14"/>
                <w:color w:val="auto"/>
              </w:rPr>
            </w:pPr>
          </w:p>
        </w:tc>
        <w:tc>
          <w:tcPr>
            <w:tcW w:w="48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c>
          <w:tcPr>
            <w:tcW w:w="68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540" w:type="dxa"/>
            <w:vAlign w:val="bottom"/>
            <w:shd w:val="clear" w:color="auto" w:fill="000000"/>
          </w:tcPr>
          <w:p>
            <w:pPr>
              <w:spacing w:after="0"/>
              <w:rPr>
                <w:sz w:val="14"/>
                <w:szCs w:val="14"/>
                <w:color w:val="auto"/>
              </w:rPr>
            </w:pPr>
          </w:p>
        </w:tc>
        <w:tc>
          <w:tcPr>
            <w:tcW w:w="1140" w:type="dxa"/>
            <w:vAlign w:val="bottom"/>
            <w:shd w:val="clear" w:color="auto" w:fill="000000"/>
          </w:tcPr>
          <w:p>
            <w:pPr>
              <w:jc w:val="right"/>
              <w:ind w:right="48"/>
              <w:spacing w:after="0"/>
              <w:rPr>
                <w:sz w:val="20"/>
                <w:szCs w:val="20"/>
                <w:color w:val="auto"/>
              </w:rPr>
            </w:pPr>
            <w:r>
              <w:rPr>
                <w:rFonts w:ascii="Arial" w:cs="Arial" w:eastAsia="Arial" w:hAnsi="Arial"/>
                <w:sz w:val="14"/>
                <w:szCs w:val="14"/>
                <w:b w:val="1"/>
                <w:bCs w:val="1"/>
                <w:color w:val="FFFFFF"/>
              </w:rPr>
              <w:t>pension</w:t>
            </w:r>
          </w:p>
        </w:tc>
        <w:tc>
          <w:tcPr>
            <w:tcW w:w="1160" w:type="dxa"/>
            <w:vAlign w:val="bottom"/>
            <w:shd w:val="clear" w:color="auto" w:fill="000000"/>
          </w:tcPr>
          <w:p>
            <w:pPr>
              <w:spacing w:after="0"/>
              <w:rPr>
                <w:sz w:val="14"/>
                <w:szCs w:val="14"/>
                <w:color w:val="auto"/>
              </w:rPr>
            </w:pPr>
          </w:p>
        </w:tc>
        <w:tc>
          <w:tcPr>
            <w:tcW w:w="8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0000"/>
          </w:tcPr>
          <w:p>
            <w:pPr>
              <w:spacing w:after="0"/>
              <w:rPr>
                <w:sz w:val="14"/>
                <w:szCs w:val="14"/>
                <w:color w:val="auto"/>
              </w:rPr>
            </w:pPr>
          </w:p>
        </w:tc>
        <w:tc>
          <w:tcPr>
            <w:tcW w:w="1520" w:type="dxa"/>
            <w:vAlign w:val="bottom"/>
            <w:shd w:val="clear" w:color="auto" w:fill="000000"/>
          </w:tcPr>
          <w:p>
            <w:pPr>
              <w:spacing w:after="0"/>
              <w:rPr>
                <w:sz w:val="14"/>
                <w:szCs w:val="14"/>
                <w:color w:val="auto"/>
              </w:rPr>
            </w:pPr>
          </w:p>
        </w:tc>
        <w:tc>
          <w:tcPr>
            <w:tcW w:w="48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c>
          <w:tcPr>
            <w:tcW w:w="680" w:type="dxa"/>
            <w:vAlign w:val="bottom"/>
            <w:shd w:val="clear" w:color="auto" w:fill="000000"/>
          </w:tcPr>
          <w:p>
            <w:pPr>
              <w:spacing w:after="0"/>
              <w:rPr>
                <w:sz w:val="14"/>
                <w:szCs w:val="14"/>
                <w:color w:val="auto"/>
              </w:rPr>
            </w:pPr>
          </w:p>
        </w:tc>
        <w:tc>
          <w:tcPr>
            <w:tcW w:w="1140" w:type="dxa"/>
            <w:vAlign w:val="bottom"/>
            <w:gridSpan w:val="2"/>
            <w:vMerge w:val="restart"/>
            <w:shd w:val="clear" w:color="auto" w:fill="000000"/>
          </w:tcPr>
          <w:p>
            <w:pPr>
              <w:jc w:val="right"/>
              <w:ind w:right="50"/>
              <w:spacing w:after="0"/>
              <w:rPr>
                <w:sz w:val="20"/>
                <w:szCs w:val="20"/>
                <w:color w:val="auto"/>
              </w:rPr>
            </w:pPr>
            <w:r>
              <w:rPr>
                <w:rFonts w:ascii="Arial" w:cs="Arial" w:eastAsia="Arial" w:hAnsi="Arial"/>
                <w:sz w:val="14"/>
                <w:szCs w:val="14"/>
                <w:b w:val="1"/>
                <w:bCs w:val="1"/>
                <w:color w:val="FFFFFF"/>
              </w:rPr>
              <w:t>Non-equity</w:t>
            </w:r>
          </w:p>
        </w:tc>
        <w:tc>
          <w:tcPr>
            <w:tcW w:w="1140" w:type="dxa"/>
            <w:vAlign w:val="bottom"/>
            <w:shd w:val="clear" w:color="auto" w:fill="000000"/>
          </w:tcPr>
          <w:p>
            <w:pPr>
              <w:jc w:val="right"/>
              <w:ind w:right="48"/>
              <w:spacing w:after="0"/>
              <w:rPr>
                <w:sz w:val="20"/>
                <w:szCs w:val="20"/>
                <w:color w:val="auto"/>
              </w:rPr>
            </w:pPr>
            <w:r>
              <w:rPr>
                <w:rFonts w:ascii="Arial" w:cs="Arial" w:eastAsia="Arial" w:hAnsi="Arial"/>
                <w:sz w:val="14"/>
                <w:szCs w:val="14"/>
                <w:b w:val="1"/>
                <w:bCs w:val="1"/>
                <w:color w:val="FFFFFF"/>
              </w:rPr>
              <w:t>value and</w:t>
            </w:r>
          </w:p>
        </w:tc>
        <w:tc>
          <w:tcPr>
            <w:tcW w:w="1160" w:type="dxa"/>
            <w:vAlign w:val="bottom"/>
            <w:shd w:val="clear" w:color="auto" w:fill="000000"/>
          </w:tcPr>
          <w:p>
            <w:pPr>
              <w:spacing w:after="0"/>
              <w:rPr>
                <w:sz w:val="14"/>
                <w:szCs w:val="14"/>
                <w:color w:val="auto"/>
              </w:rPr>
            </w:pPr>
          </w:p>
        </w:tc>
        <w:tc>
          <w:tcPr>
            <w:tcW w:w="8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000000"/>
          </w:tcPr>
          <w:p>
            <w:pPr>
              <w:spacing w:after="0"/>
              <w:rPr>
                <w:sz w:val="12"/>
                <w:szCs w:val="12"/>
                <w:color w:val="auto"/>
              </w:rPr>
            </w:pPr>
          </w:p>
        </w:tc>
        <w:tc>
          <w:tcPr>
            <w:tcW w:w="1520" w:type="dxa"/>
            <w:vAlign w:val="bottom"/>
            <w:shd w:val="clear" w:color="auto" w:fill="000000"/>
          </w:tcPr>
          <w:p>
            <w:pPr>
              <w:spacing w:after="0"/>
              <w:rPr>
                <w:sz w:val="12"/>
                <w:szCs w:val="12"/>
                <w:color w:val="auto"/>
              </w:rPr>
            </w:pPr>
          </w:p>
        </w:tc>
        <w:tc>
          <w:tcPr>
            <w:tcW w:w="480" w:type="dxa"/>
            <w:vAlign w:val="bottom"/>
            <w:shd w:val="clear" w:color="auto" w:fill="000000"/>
          </w:tcPr>
          <w:p>
            <w:pPr>
              <w:spacing w:after="0"/>
              <w:rPr>
                <w:sz w:val="12"/>
                <w:szCs w:val="12"/>
                <w:color w:val="auto"/>
              </w:rPr>
            </w:pPr>
          </w:p>
        </w:tc>
        <w:tc>
          <w:tcPr>
            <w:tcW w:w="72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84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140" w:type="dxa"/>
            <w:vAlign w:val="bottom"/>
            <w:gridSpan w:val="2"/>
            <w:vMerge w:val="continue"/>
            <w:shd w:val="clear" w:color="auto" w:fill="000000"/>
          </w:tcPr>
          <w:p>
            <w:pPr>
              <w:spacing w:after="0"/>
              <w:rPr>
                <w:sz w:val="12"/>
                <w:szCs w:val="12"/>
                <w:color w:val="auto"/>
              </w:rPr>
            </w:pPr>
          </w:p>
        </w:tc>
        <w:tc>
          <w:tcPr>
            <w:tcW w:w="1140" w:type="dxa"/>
            <w:vAlign w:val="bottom"/>
            <w:shd w:val="clear" w:color="auto" w:fill="000000"/>
          </w:tcPr>
          <w:p>
            <w:pPr>
              <w:jc w:val="right"/>
              <w:ind w:right="48"/>
              <w:spacing w:after="0" w:line="145" w:lineRule="exact"/>
              <w:rPr>
                <w:sz w:val="20"/>
                <w:szCs w:val="20"/>
                <w:color w:val="auto"/>
              </w:rPr>
            </w:pPr>
            <w:r>
              <w:rPr>
                <w:rFonts w:ascii="Arial" w:cs="Arial" w:eastAsia="Arial" w:hAnsi="Arial"/>
                <w:sz w:val="14"/>
                <w:szCs w:val="14"/>
                <w:b w:val="1"/>
                <w:bCs w:val="1"/>
                <w:color w:val="FFFFFF"/>
              </w:rPr>
              <w:t>nonqualified</w:t>
            </w:r>
          </w:p>
        </w:tc>
        <w:tc>
          <w:tcPr>
            <w:tcW w:w="1160" w:type="dxa"/>
            <w:vAlign w:val="bottom"/>
            <w:shd w:val="clear" w:color="auto" w:fill="000000"/>
          </w:tcPr>
          <w:p>
            <w:pPr>
              <w:spacing w:after="0"/>
              <w:rPr>
                <w:sz w:val="12"/>
                <w:szCs w:val="12"/>
                <w:color w:val="auto"/>
              </w:rPr>
            </w:pPr>
          </w:p>
        </w:tc>
        <w:tc>
          <w:tcPr>
            <w:tcW w:w="8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0000"/>
          </w:tcPr>
          <w:p>
            <w:pPr>
              <w:spacing w:after="0"/>
              <w:rPr>
                <w:sz w:val="14"/>
                <w:szCs w:val="14"/>
                <w:color w:val="auto"/>
              </w:rPr>
            </w:pPr>
          </w:p>
        </w:tc>
        <w:tc>
          <w:tcPr>
            <w:tcW w:w="1520" w:type="dxa"/>
            <w:vAlign w:val="bottom"/>
            <w:shd w:val="clear" w:color="auto" w:fill="000000"/>
          </w:tcPr>
          <w:p>
            <w:pPr>
              <w:spacing w:after="0"/>
              <w:rPr>
                <w:sz w:val="14"/>
                <w:szCs w:val="14"/>
                <w:color w:val="auto"/>
              </w:rPr>
            </w:pPr>
          </w:p>
        </w:tc>
        <w:tc>
          <w:tcPr>
            <w:tcW w:w="48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c>
          <w:tcPr>
            <w:tcW w:w="680" w:type="dxa"/>
            <w:vAlign w:val="bottom"/>
            <w:shd w:val="clear" w:color="auto" w:fill="000000"/>
          </w:tcPr>
          <w:p>
            <w:pPr>
              <w:spacing w:after="0"/>
              <w:rPr>
                <w:sz w:val="14"/>
                <w:szCs w:val="14"/>
                <w:color w:val="auto"/>
              </w:rPr>
            </w:pPr>
          </w:p>
        </w:tc>
        <w:tc>
          <w:tcPr>
            <w:tcW w:w="1140" w:type="dxa"/>
            <w:vAlign w:val="bottom"/>
            <w:gridSpan w:val="2"/>
            <w:shd w:val="clear" w:color="auto" w:fill="000000"/>
          </w:tcPr>
          <w:p>
            <w:pPr>
              <w:jc w:val="right"/>
              <w:ind w:right="50"/>
              <w:spacing w:after="0"/>
              <w:rPr>
                <w:sz w:val="20"/>
                <w:szCs w:val="20"/>
                <w:color w:val="auto"/>
              </w:rPr>
            </w:pPr>
            <w:r>
              <w:rPr>
                <w:rFonts w:ascii="Arial" w:cs="Arial" w:eastAsia="Arial" w:hAnsi="Arial"/>
                <w:sz w:val="14"/>
                <w:szCs w:val="14"/>
                <w:b w:val="1"/>
                <w:bCs w:val="1"/>
                <w:color w:val="FFFFFF"/>
              </w:rPr>
              <w:t>incentive</w:t>
            </w:r>
          </w:p>
        </w:tc>
        <w:tc>
          <w:tcPr>
            <w:tcW w:w="1140" w:type="dxa"/>
            <w:vAlign w:val="bottom"/>
            <w:shd w:val="clear" w:color="auto" w:fill="000000"/>
          </w:tcPr>
          <w:p>
            <w:pPr>
              <w:jc w:val="right"/>
              <w:ind w:right="48"/>
              <w:spacing w:after="0"/>
              <w:rPr>
                <w:sz w:val="20"/>
                <w:szCs w:val="20"/>
                <w:color w:val="auto"/>
              </w:rPr>
            </w:pPr>
            <w:r>
              <w:rPr>
                <w:rFonts w:ascii="Arial" w:cs="Arial" w:eastAsia="Arial" w:hAnsi="Arial"/>
                <w:sz w:val="14"/>
                <w:szCs w:val="14"/>
                <w:b w:val="1"/>
                <w:bCs w:val="1"/>
                <w:color w:val="FFFFFF"/>
              </w:rPr>
              <w:t>deferred</w:t>
            </w:r>
          </w:p>
        </w:tc>
        <w:tc>
          <w:tcPr>
            <w:tcW w:w="1160" w:type="dxa"/>
            <w:vAlign w:val="bottom"/>
            <w:shd w:val="clear" w:color="auto" w:fill="000000"/>
          </w:tcPr>
          <w:p>
            <w:pPr>
              <w:spacing w:after="0"/>
              <w:rPr>
                <w:sz w:val="14"/>
                <w:szCs w:val="14"/>
                <w:color w:val="auto"/>
              </w:rPr>
            </w:pPr>
          </w:p>
        </w:tc>
        <w:tc>
          <w:tcPr>
            <w:tcW w:w="8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0000"/>
          </w:tcPr>
          <w:p>
            <w:pPr>
              <w:spacing w:after="0"/>
              <w:rPr>
                <w:sz w:val="14"/>
                <w:szCs w:val="14"/>
                <w:color w:val="auto"/>
              </w:rPr>
            </w:pPr>
          </w:p>
        </w:tc>
        <w:tc>
          <w:tcPr>
            <w:tcW w:w="1520" w:type="dxa"/>
            <w:vAlign w:val="bottom"/>
            <w:shd w:val="clear" w:color="auto" w:fill="000000"/>
          </w:tcPr>
          <w:p>
            <w:pPr>
              <w:spacing w:after="0"/>
              <w:rPr>
                <w:sz w:val="14"/>
                <w:szCs w:val="14"/>
                <w:color w:val="auto"/>
              </w:rPr>
            </w:pPr>
          </w:p>
        </w:tc>
        <w:tc>
          <w:tcPr>
            <w:tcW w:w="48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840" w:type="dxa"/>
            <w:vAlign w:val="bottom"/>
            <w:shd w:val="clear" w:color="auto" w:fill="000000"/>
          </w:tcPr>
          <w:p>
            <w:pPr>
              <w:jc w:val="right"/>
              <w:ind w:right="49"/>
              <w:spacing w:after="0"/>
              <w:rPr>
                <w:sz w:val="20"/>
                <w:szCs w:val="20"/>
                <w:color w:val="auto"/>
              </w:rPr>
            </w:pPr>
            <w:r>
              <w:rPr>
                <w:rFonts w:ascii="Arial" w:cs="Arial" w:eastAsia="Arial" w:hAnsi="Arial"/>
                <w:sz w:val="14"/>
                <w:szCs w:val="14"/>
                <w:b w:val="1"/>
                <w:bCs w:val="1"/>
                <w:color w:val="FFFFFF"/>
              </w:rPr>
              <w:t>Stock</w:t>
            </w:r>
          </w:p>
        </w:tc>
        <w:tc>
          <w:tcPr>
            <w:tcW w:w="68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Option</w:t>
            </w:r>
          </w:p>
        </w:tc>
        <w:tc>
          <w:tcPr>
            <w:tcW w:w="600" w:type="dxa"/>
            <w:vAlign w:val="bottom"/>
            <w:shd w:val="clear" w:color="auto" w:fill="000000"/>
          </w:tcPr>
          <w:p>
            <w:pPr>
              <w:spacing w:after="0"/>
              <w:rPr>
                <w:sz w:val="14"/>
                <w:szCs w:val="14"/>
                <w:color w:val="auto"/>
              </w:rPr>
            </w:pPr>
          </w:p>
        </w:tc>
        <w:tc>
          <w:tcPr>
            <w:tcW w:w="540" w:type="dxa"/>
            <w:vAlign w:val="bottom"/>
            <w:shd w:val="clear" w:color="auto" w:fill="000000"/>
          </w:tcPr>
          <w:p>
            <w:pPr>
              <w:jc w:val="right"/>
              <w:ind w:right="50"/>
              <w:spacing w:after="0"/>
              <w:rPr>
                <w:sz w:val="20"/>
                <w:szCs w:val="20"/>
                <w:color w:val="auto"/>
              </w:rPr>
            </w:pPr>
            <w:r>
              <w:rPr>
                <w:rFonts w:ascii="Arial" w:cs="Arial" w:eastAsia="Arial" w:hAnsi="Arial"/>
                <w:sz w:val="14"/>
                <w:szCs w:val="14"/>
                <w:b w:val="1"/>
                <w:bCs w:val="1"/>
                <w:color w:val="FFFFFF"/>
              </w:rPr>
              <w:t>plan</w:t>
            </w:r>
          </w:p>
        </w:tc>
        <w:tc>
          <w:tcPr>
            <w:tcW w:w="1140" w:type="dxa"/>
            <w:vAlign w:val="bottom"/>
            <w:shd w:val="clear" w:color="auto" w:fill="000000"/>
          </w:tcPr>
          <w:p>
            <w:pPr>
              <w:jc w:val="right"/>
              <w:ind w:right="8"/>
              <w:spacing w:after="0"/>
              <w:rPr>
                <w:sz w:val="20"/>
                <w:szCs w:val="20"/>
                <w:color w:val="auto"/>
              </w:rPr>
            </w:pPr>
            <w:r>
              <w:rPr>
                <w:rFonts w:ascii="Arial" w:cs="Arial" w:eastAsia="Arial" w:hAnsi="Arial"/>
                <w:sz w:val="14"/>
                <w:szCs w:val="14"/>
                <w:b w:val="1"/>
                <w:bCs w:val="1"/>
                <w:color w:val="FFFFFF"/>
              </w:rPr>
              <w:t>compensation</w:t>
            </w:r>
          </w:p>
        </w:tc>
        <w:tc>
          <w:tcPr>
            <w:tcW w:w="1160" w:type="dxa"/>
            <w:vAlign w:val="bottom"/>
            <w:shd w:val="clear" w:color="auto" w:fill="000000"/>
          </w:tcPr>
          <w:p>
            <w:pPr>
              <w:jc w:val="right"/>
              <w:ind w:right="49"/>
              <w:spacing w:after="0"/>
              <w:rPr>
                <w:sz w:val="20"/>
                <w:szCs w:val="20"/>
                <w:color w:val="auto"/>
              </w:rPr>
            </w:pPr>
            <w:r>
              <w:rPr>
                <w:rFonts w:ascii="Arial" w:cs="Arial" w:eastAsia="Arial" w:hAnsi="Arial"/>
                <w:sz w:val="14"/>
                <w:szCs w:val="14"/>
                <w:b w:val="1"/>
                <w:bCs w:val="1"/>
                <w:color w:val="FFFFFF"/>
              </w:rPr>
              <w:t>All other</w:t>
            </w:r>
          </w:p>
        </w:tc>
        <w:tc>
          <w:tcPr>
            <w:tcW w:w="8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0000"/>
          </w:tcPr>
          <w:p>
            <w:pPr>
              <w:spacing w:after="0"/>
              <w:rPr>
                <w:sz w:val="14"/>
                <w:szCs w:val="14"/>
                <w:color w:val="auto"/>
              </w:rPr>
            </w:pPr>
          </w:p>
        </w:tc>
        <w:tc>
          <w:tcPr>
            <w:tcW w:w="152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Name and Principal</w:t>
            </w:r>
          </w:p>
        </w:tc>
        <w:tc>
          <w:tcPr>
            <w:tcW w:w="480" w:type="dxa"/>
            <w:vAlign w:val="bottom"/>
            <w:shd w:val="clear" w:color="auto" w:fill="000000"/>
          </w:tcPr>
          <w:p>
            <w:pPr>
              <w:spacing w:after="0"/>
              <w:rPr>
                <w:sz w:val="14"/>
                <w:szCs w:val="14"/>
                <w:color w:val="auto"/>
              </w:rPr>
            </w:pPr>
          </w:p>
        </w:tc>
        <w:tc>
          <w:tcPr>
            <w:tcW w:w="720" w:type="dxa"/>
            <w:vAlign w:val="bottom"/>
            <w:shd w:val="clear" w:color="auto" w:fill="000000"/>
          </w:tcPr>
          <w:p>
            <w:pPr>
              <w:jc w:val="right"/>
              <w:ind w:right="48"/>
              <w:spacing w:after="0"/>
              <w:rPr>
                <w:sz w:val="20"/>
                <w:szCs w:val="20"/>
                <w:color w:val="auto"/>
              </w:rPr>
            </w:pPr>
            <w:r>
              <w:rPr>
                <w:rFonts w:ascii="Arial" w:cs="Arial" w:eastAsia="Arial" w:hAnsi="Arial"/>
                <w:sz w:val="14"/>
                <w:szCs w:val="14"/>
                <w:b w:val="1"/>
                <w:bCs w:val="1"/>
                <w:color w:val="FFFFFF"/>
              </w:rPr>
              <w:t>Salary</w:t>
            </w:r>
          </w:p>
        </w:tc>
        <w:tc>
          <w:tcPr>
            <w:tcW w:w="740" w:type="dxa"/>
            <w:vAlign w:val="bottom"/>
            <w:shd w:val="clear" w:color="auto" w:fill="000000"/>
          </w:tcPr>
          <w:p>
            <w:pPr>
              <w:jc w:val="right"/>
              <w:ind w:right="49"/>
              <w:spacing w:after="0"/>
              <w:rPr>
                <w:sz w:val="20"/>
                <w:szCs w:val="20"/>
                <w:color w:val="auto"/>
              </w:rPr>
            </w:pPr>
            <w:r>
              <w:rPr>
                <w:rFonts w:ascii="Arial" w:cs="Arial" w:eastAsia="Arial" w:hAnsi="Arial"/>
                <w:sz w:val="14"/>
                <w:szCs w:val="14"/>
                <w:b w:val="1"/>
                <w:bCs w:val="1"/>
                <w:color w:val="FFFFFF"/>
              </w:rPr>
              <w:t>Bonus</w:t>
            </w:r>
          </w:p>
        </w:tc>
        <w:tc>
          <w:tcPr>
            <w:tcW w:w="840" w:type="dxa"/>
            <w:vAlign w:val="bottom"/>
            <w:shd w:val="clear" w:color="auto" w:fill="000000"/>
          </w:tcPr>
          <w:p>
            <w:pPr>
              <w:jc w:val="right"/>
              <w:ind w:right="49"/>
              <w:spacing w:after="0"/>
              <w:rPr>
                <w:sz w:val="20"/>
                <w:szCs w:val="20"/>
                <w:color w:val="auto"/>
              </w:rPr>
            </w:pPr>
            <w:r>
              <w:rPr>
                <w:rFonts w:ascii="Arial" w:cs="Arial" w:eastAsia="Arial" w:hAnsi="Arial"/>
                <w:sz w:val="14"/>
                <w:szCs w:val="14"/>
                <w:b w:val="1"/>
                <w:bCs w:val="1"/>
                <w:color w:val="FFFFFF"/>
              </w:rPr>
              <w:t>awards</w:t>
            </w:r>
          </w:p>
        </w:tc>
        <w:tc>
          <w:tcPr>
            <w:tcW w:w="68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awards</w:t>
            </w:r>
          </w:p>
        </w:tc>
        <w:tc>
          <w:tcPr>
            <w:tcW w:w="1140" w:type="dxa"/>
            <w:vAlign w:val="bottom"/>
            <w:gridSpan w:val="2"/>
            <w:shd w:val="clear" w:color="auto" w:fill="000000"/>
          </w:tcPr>
          <w:p>
            <w:pPr>
              <w:jc w:val="right"/>
              <w:ind w:right="10"/>
              <w:spacing w:after="0"/>
              <w:rPr>
                <w:sz w:val="20"/>
                <w:szCs w:val="20"/>
                <w:color w:val="auto"/>
              </w:rPr>
            </w:pPr>
            <w:r>
              <w:rPr>
                <w:rFonts w:ascii="Arial" w:cs="Arial" w:eastAsia="Arial" w:hAnsi="Arial"/>
                <w:sz w:val="14"/>
                <w:szCs w:val="14"/>
                <w:b w:val="1"/>
                <w:bCs w:val="1"/>
                <w:color w:val="FFFFFF"/>
              </w:rPr>
              <w:t>compensation</w:t>
            </w:r>
          </w:p>
        </w:tc>
        <w:tc>
          <w:tcPr>
            <w:tcW w:w="1140" w:type="dxa"/>
            <w:vAlign w:val="bottom"/>
            <w:shd w:val="clear" w:color="auto" w:fill="000000"/>
          </w:tcPr>
          <w:p>
            <w:pPr>
              <w:jc w:val="right"/>
              <w:ind w:right="48"/>
              <w:spacing w:after="0"/>
              <w:rPr>
                <w:sz w:val="20"/>
                <w:szCs w:val="20"/>
                <w:color w:val="auto"/>
              </w:rPr>
            </w:pPr>
            <w:r>
              <w:rPr>
                <w:rFonts w:ascii="Arial" w:cs="Arial" w:eastAsia="Arial" w:hAnsi="Arial"/>
                <w:sz w:val="14"/>
                <w:szCs w:val="14"/>
                <w:b w:val="1"/>
                <w:bCs w:val="1"/>
                <w:color w:val="FFFFFF"/>
              </w:rPr>
              <w:t>earnings</w:t>
            </w:r>
          </w:p>
        </w:tc>
        <w:tc>
          <w:tcPr>
            <w:tcW w:w="1160" w:type="dxa"/>
            <w:vAlign w:val="bottom"/>
            <w:shd w:val="clear" w:color="auto" w:fill="000000"/>
          </w:tcPr>
          <w:p>
            <w:pPr>
              <w:jc w:val="right"/>
              <w:ind w:right="9"/>
              <w:spacing w:after="0"/>
              <w:rPr>
                <w:sz w:val="20"/>
                <w:szCs w:val="20"/>
                <w:color w:val="auto"/>
              </w:rPr>
            </w:pPr>
            <w:r>
              <w:rPr>
                <w:rFonts w:ascii="Arial" w:cs="Arial" w:eastAsia="Arial" w:hAnsi="Arial"/>
                <w:sz w:val="14"/>
                <w:szCs w:val="14"/>
                <w:b w:val="1"/>
                <w:bCs w:val="1"/>
                <w:color w:val="FFFFFF"/>
              </w:rPr>
              <w:t>compensation</w:t>
            </w:r>
          </w:p>
        </w:tc>
        <w:tc>
          <w:tcPr>
            <w:tcW w:w="880" w:type="dxa"/>
            <w:vAlign w:val="bottom"/>
            <w:shd w:val="clear" w:color="auto" w:fill="000000"/>
          </w:tcPr>
          <w:p>
            <w:pPr>
              <w:jc w:val="right"/>
              <w:ind w:right="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97"/>
        </w:trPr>
        <w:tc>
          <w:tcPr>
            <w:tcW w:w="100" w:type="dxa"/>
            <w:vAlign w:val="bottom"/>
            <w:shd w:val="clear" w:color="auto" w:fill="000000"/>
          </w:tcPr>
          <w:p>
            <w:pPr>
              <w:spacing w:after="0"/>
              <w:rPr>
                <w:sz w:val="24"/>
                <w:szCs w:val="24"/>
                <w:color w:val="auto"/>
              </w:rPr>
            </w:pPr>
          </w:p>
        </w:tc>
        <w:tc>
          <w:tcPr>
            <w:tcW w:w="152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Position</w:t>
            </w:r>
            <w:r>
              <w:rPr>
                <w:rFonts w:ascii="Arial" w:cs="Arial" w:eastAsia="Arial" w:hAnsi="Arial"/>
                <w:sz w:val="23"/>
                <w:szCs w:val="23"/>
                <w:b w:val="1"/>
                <w:bCs w:val="1"/>
                <w:color w:val="FFFFFF"/>
                <w:vertAlign w:val="superscript"/>
              </w:rPr>
              <w:t>(1)</w:t>
            </w:r>
          </w:p>
        </w:tc>
        <w:tc>
          <w:tcPr>
            <w:tcW w:w="480" w:type="dxa"/>
            <w:vAlign w:val="bottom"/>
            <w:shd w:val="clear" w:color="auto" w:fill="000000"/>
          </w:tcPr>
          <w:p>
            <w:pPr>
              <w:jc w:val="right"/>
              <w:ind w:right="8"/>
              <w:spacing w:after="0"/>
              <w:rPr>
                <w:sz w:val="20"/>
                <w:szCs w:val="20"/>
                <w:color w:val="auto"/>
              </w:rPr>
            </w:pPr>
            <w:r>
              <w:rPr>
                <w:rFonts w:ascii="Arial" w:cs="Arial" w:eastAsia="Arial" w:hAnsi="Arial"/>
                <w:sz w:val="14"/>
                <w:szCs w:val="14"/>
                <w:b w:val="1"/>
                <w:bCs w:val="1"/>
                <w:color w:val="FFFFFF"/>
              </w:rPr>
              <w:t>Year</w:t>
            </w:r>
          </w:p>
        </w:tc>
        <w:tc>
          <w:tcPr>
            <w:tcW w:w="720" w:type="dxa"/>
            <w:vAlign w:val="bottom"/>
            <w:shd w:val="clear" w:color="auto" w:fill="000000"/>
          </w:tcPr>
          <w:p>
            <w:pPr>
              <w:jc w:val="right"/>
              <w:ind w:right="8"/>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000000"/>
          </w:tcPr>
          <w:p>
            <w:pPr>
              <w:jc w:val="right"/>
              <w:ind w:right="9"/>
              <w:spacing w:after="0" w:line="29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(2)</w:t>
            </w:r>
          </w:p>
        </w:tc>
        <w:tc>
          <w:tcPr>
            <w:tcW w:w="840" w:type="dxa"/>
            <w:vAlign w:val="bottom"/>
            <w:shd w:val="clear" w:color="auto" w:fill="000000"/>
          </w:tcPr>
          <w:p>
            <w:pPr>
              <w:jc w:val="right"/>
              <w:ind w:right="9"/>
              <w:spacing w:after="0" w:line="29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(3)</w:t>
            </w:r>
          </w:p>
        </w:tc>
        <w:tc>
          <w:tcPr>
            <w:tcW w:w="68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w:t>
            </w:r>
          </w:p>
        </w:tc>
        <w:tc>
          <w:tcPr>
            <w:tcW w:w="600" w:type="dxa"/>
            <w:vAlign w:val="bottom"/>
            <w:shd w:val="clear" w:color="auto" w:fill="000000"/>
          </w:tcPr>
          <w:p>
            <w:pPr>
              <w:spacing w:after="0"/>
              <w:rPr>
                <w:sz w:val="24"/>
                <w:szCs w:val="24"/>
                <w:color w:val="auto"/>
              </w:rPr>
            </w:pPr>
          </w:p>
        </w:tc>
        <w:tc>
          <w:tcPr>
            <w:tcW w:w="540" w:type="dxa"/>
            <w:vAlign w:val="bottom"/>
            <w:shd w:val="clear" w:color="auto" w:fill="000000"/>
          </w:tcPr>
          <w:p>
            <w:pPr>
              <w:jc w:val="right"/>
              <w:ind w:right="10"/>
              <w:spacing w:after="0" w:line="29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(4)</w:t>
            </w:r>
          </w:p>
        </w:tc>
        <w:tc>
          <w:tcPr>
            <w:tcW w:w="1140" w:type="dxa"/>
            <w:vAlign w:val="bottom"/>
            <w:shd w:val="clear" w:color="auto" w:fill="000000"/>
          </w:tcPr>
          <w:p>
            <w:pPr>
              <w:jc w:val="right"/>
              <w:ind w:right="8"/>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000000"/>
          </w:tcPr>
          <w:p>
            <w:pPr>
              <w:jc w:val="right"/>
              <w:ind w:right="9"/>
              <w:spacing w:after="0" w:line="29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(5)</w:t>
            </w:r>
          </w:p>
        </w:tc>
        <w:tc>
          <w:tcPr>
            <w:tcW w:w="880" w:type="dxa"/>
            <w:vAlign w:val="bottom"/>
            <w:shd w:val="clear" w:color="auto" w:fill="000000"/>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40C0C0"/>
              </w:rPr>
              <w:t>Douglas Francis,</w:t>
            </w: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rPr>
              <w:t>2024</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987,346</w:t>
            </w:r>
          </w:p>
        </w:tc>
        <w:tc>
          <w:tcPr>
            <w:tcW w:w="740" w:type="dxa"/>
            <w:vAlign w:val="bottom"/>
            <w:vMerge w:val="restart"/>
          </w:tcPr>
          <w:p>
            <w:pPr>
              <w:jc w:val="right"/>
              <w:ind w:right="69"/>
              <w:spacing w:after="0"/>
              <w:rPr>
                <w:sz w:val="20"/>
                <w:szCs w:val="20"/>
                <w:color w:val="auto"/>
              </w:rPr>
            </w:pPr>
            <w:r>
              <w:rPr>
                <w:rFonts w:ascii="Arial" w:cs="Arial" w:eastAsia="Arial" w:hAnsi="Arial"/>
                <w:sz w:val="14"/>
                <w:szCs w:val="14"/>
                <w:color w:val="auto"/>
              </w:rPr>
              <w:t>835,000</w:t>
            </w:r>
          </w:p>
        </w:tc>
        <w:tc>
          <w:tcPr>
            <w:tcW w:w="840" w:type="dxa"/>
            <w:vAlign w:val="bottom"/>
            <w:vMerge w:val="restart"/>
          </w:tcPr>
          <w:p>
            <w:pPr>
              <w:jc w:val="right"/>
              <w:ind w:right="49"/>
              <w:spacing w:after="0"/>
              <w:rPr>
                <w:sz w:val="20"/>
                <w:szCs w:val="20"/>
                <w:color w:val="auto"/>
              </w:rPr>
            </w:pPr>
            <w:r>
              <w:rPr>
                <w:rFonts w:ascii="Arial" w:cs="Arial" w:eastAsia="Arial" w:hAnsi="Arial"/>
                <w:sz w:val="14"/>
                <w:szCs w:val="14"/>
                <w:color w:val="auto"/>
              </w:rPr>
              <w:t>4,993,750</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ind w:left="440"/>
              <w:spacing w:after="0"/>
              <w:rPr>
                <w:sz w:val="20"/>
                <w:szCs w:val="20"/>
                <w:color w:val="auto"/>
              </w:rPr>
            </w:pPr>
            <w:r>
              <w:rPr>
                <w:rFonts w:ascii="Arial" w:cs="Arial" w:eastAsia="Arial" w:hAnsi="Arial"/>
                <w:sz w:val="14"/>
                <w:szCs w:val="14"/>
                <w:color w:val="auto"/>
              </w:rPr>
              <w:t>675,000​</w:t>
            </w:r>
          </w:p>
        </w:tc>
        <w:tc>
          <w:tcPr>
            <w:tcW w:w="114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09"/>
              <w:spacing w:after="0"/>
              <w:rPr>
                <w:sz w:val="20"/>
                <w:szCs w:val="20"/>
                <w:color w:val="auto"/>
              </w:rPr>
            </w:pPr>
            <w:r>
              <w:rPr>
                <w:rFonts w:ascii="Arial" w:cs="Arial" w:eastAsia="Arial" w:hAnsi="Arial"/>
                <w:sz w:val="14"/>
                <w:szCs w:val="14"/>
                <w:color w:val="auto"/>
              </w:rPr>
              <w:t>17,931</w:t>
            </w: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color w:val="auto"/>
              </w:rPr>
              <w:t>7,509,027​</w:t>
            </w: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Chief Executive</w:t>
            </w: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Officer and</w:t>
            </w:r>
          </w:p>
        </w:tc>
        <w:tc>
          <w:tcPr>
            <w:tcW w:w="480" w:type="dxa"/>
            <w:vAlign w:val="bottom"/>
            <w:tcBorders>
              <w:bottom w:val="single" w:sz="8" w:color="999999"/>
            </w:tcBorders>
          </w:tcPr>
          <w:p>
            <w:pPr>
              <w:spacing w:after="0"/>
              <w:rPr>
                <w:sz w:val="10"/>
                <w:szCs w:val="10"/>
                <w:color w:val="auto"/>
              </w:rPr>
            </w:pPr>
          </w:p>
        </w:tc>
        <w:tc>
          <w:tcPr>
            <w:tcW w:w="720" w:type="dxa"/>
            <w:vAlign w:val="bottom"/>
            <w:tcBorders>
              <w:bottom w:val="single" w:sz="8" w:color="999999"/>
            </w:tcBorders>
          </w:tcPr>
          <w:p>
            <w:pPr>
              <w:spacing w:after="0"/>
              <w:rPr>
                <w:sz w:val="10"/>
                <w:szCs w:val="10"/>
                <w:color w:val="auto"/>
              </w:rPr>
            </w:pPr>
          </w:p>
        </w:tc>
        <w:tc>
          <w:tcPr>
            <w:tcW w:w="740" w:type="dxa"/>
            <w:vAlign w:val="bottom"/>
            <w:tcBorders>
              <w:bottom w:val="single" w:sz="8" w:color="999999"/>
            </w:tcBorders>
          </w:tcPr>
          <w:p>
            <w:pPr>
              <w:spacing w:after="0"/>
              <w:rPr>
                <w:sz w:val="10"/>
                <w:szCs w:val="10"/>
                <w:color w:val="auto"/>
              </w:rPr>
            </w:pPr>
          </w:p>
        </w:tc>
        <w:tc>
          <w:tcPr>
            <w:tcW w:w="840" w:type="dxa"/>
            <w:vAlign w:val="bottom"/>
            <w:tcBorders>
              <w:bottom w:val="single" w:sz="8" w:color="999999"/>
            </w:tcBorders>
          </w:tcPr>
          <w:p>
            <w:pPr>
              <w:spacing w:after="0"/>
              <w:rPr>
                <w:sz w:val="10"/>
                <w:szCs w:val="10"/>
                <w:color w:val="auto"/>
              </w:rPr>
            </w:pPr>
          </w:p>
        </w:tc>
        <w:tc>
          <w:tcPr>
            <w:tcW w:w="680" w:type="dxa"/>
            <w:vAlign w:val="bottom"/>
            <w:tcBorders>
              <w:bottom w:val="single" w:sz="8" w:color="999999"/>
            </w:tcBorders>
          </w:tcPr>
          <w:p>
            <w:pPr>
              <w:spacing w:after="0"/>
              <w:rPr>
                <w:sz w:val="10"/>
                <w:szCs w:val="10"/>
                <w:color w:val="auto"/>
              </w:rPr>
            </w:pPr>
          </w:p>
        </w:tc>
        <w:tc>
          <w:tcPr>
            <w:tcW w:w="600" w:type="dxa"/>
            <w:vAlign w:val="bottom"/>
            <w:tcBorders>
              <w:bottom w:val="single" w:sz="8" w:color="999999"/>
            </w:tcBorders>
          </w:tcPr>
          <w:p>
            <w:pPr>
              <w:spacing w:after="0"/>
              <w:rPr>
                <w:sz w:val="10"/>
                <w:szCs w:val="10"/>
                <w:color w:val="auto"/>
              </w:rPr>
            </w:pPr>
          </w:p>
        </w:tc>
        <w:tc>
          <w:tcPr>
            <w:tcW w:w="540" w:type="dxa"/>
            <w:vAlign w:val="bottom"/>
            <w:tcBorders>
              <w:bottom w:val="single" w:sz="8" w:color="999999"/>
            </w:tcBorders>
          </w:tcPr>
          <w:p>
            <w:pPr>
              <w:spacing w:after="0"/>
              <w:rPr>
                <w:sz w:val="10"/>
                <w:szCs w:val="10"/>
                <w:color w:val="auto"/>
              </w:rPr>
            </w:pPr>
          </w:p>
        </w:tc>
        <w:tc>
          <w:tcPr>
            <w:tcW w:w="1140" w:type="dxa"/>
            <w:vAlign w:val="bottom"/>
            <w:tcBorders>
              <w:bottom w:val="single" w:sz="8" w:color="999999"/>
            </w:tcBorders>
          </w:tcPr>
          <w:p>
            <w:pPr>
              <w:spacing w:after="0"/>
              <w:rPr>
                <w:sz w:val="10"/>
                <w:szCs w:val="10"/>
                <w:color w:val="auto"/>
              </w:rPr>
            </w:pPr>
          </w:p>
        </w:tc>
        <w:tc>
          <w:tcPr>
            <w:tcW w:w="1160" w:type="dxa"/>
            <w:vAlign w:val="bottom"/>
            <w:tcBorders>
              <w:bottom w:val="single" w:sz="8" w:color="999999"/>
            </w:tcBorders>
          </w:tcPr>
          <w:p>
            <w:pPr>
              <w:spacing w:after="0"/>
              <w:rPr>
                <w:sz w:val="10"/>
                <w:szCs w:val="10"/>
                <w:color w:val="auto"/>
              </w:rPr>
            </w:pPr>
          </w:p>
        </w:tc>
        <w:tc>
          <w:tcPr>
            <w:tcW w:w="88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auto"/>
              </w:rPr>
              <w:t>Chairperson of the</w:t>
            </w: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rPr>
              <w:t>2023</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388,384</w:t>
            </w:r>
          </w:p>
        </w:tc>
        <w:tc>
          <w:tcPr>
            <w:tcW w:w="740" w:type="dxa"/>
            <w:vAlign w:val="bottom"/>
            <w:vMerge w:val="restart"/>
          </w:tcPr>
          <w:p>
            <w:pPr>
              <w:jc w:val="right"/>
              <w:ind w:right="69"/>
              <w:spacing w:after="0"/>
              <w:rPr>
                <w:sz w:val="20"/>
                <w:szCs w:val="20"/>
                <w:color w:val="auto"/>
              </w:rPr>
            </w:pPr>
            <w:r>
              <w:rPr>
                <w:rFonts w:ascii="Arial" w:cs="Arial" w:eastAsia="Arial" w:hAnsi="Arial"/>
                <w:sz w:val="14"/>
                <w:szCs w:val="14"/>
                <w:color w:val="auto"/>
              </w:rPr>
              <w:t>700,000</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54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09"/>
              <w:spacing w:after="0"/>
              <w:rPr>
                <w:sz w:val="20"/>
                <w:szCs w:val="20"/>
                <w:color w:val="auto"/>
              </w:rPr>
            </w:pPr>
            <w:r>
              <w:rPr>
                <w:rFonts w:ascii="Arial" w:cs="Arial" w:eastAsia="Arial" w:hAnsi="Arial"/>
                <w:sz w:val="14"/>
                <w:szCs w:val="14"/>
                <w:color w:val="auto"/>
              </w:rPr>
              <w:t>73,661</w:t>
            </w: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color w:val="auto"/>
              </w:rPr>
              <w:t>1,162,045</w:t>
            </w: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Board</w:t>
            </w:r>
          </w:p>
        </w:tc>
        <w:tc>
          <w:tcPr>
            <w:tcW w:w="4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10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40C0C0"/>
              </w:rPr>
              <w:t>Brian Camire,</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2024</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413,154</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184,950​</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ind w:left="440"/>
              <w:spacing w:after="0"/>
              <w:rPr>
                <w:sz w:val="20"/>
                <w:szCs w:val="20"/>
                <w:color w:val="auto"/>
              </w:rPr>
            </w:pPr>
            <w:r>
              <w:rPr>
                <w:rFonts w:ascii="Arial" w:cs="Arial" w:eastAsia="Arial" w:hAnsi="Arial"/>
                <w:sz w:val="14"/>
                <w:szCs w:val="14"/>
                <w:color w:val="auto"/>
              </w:rPr>
              <w:t>​</w:t>
            </w:r>
          </w:p>
        </w:tc>
        <w:tc>
          <w:tcPr>
            <w:tcW w:w="540" w:type="dxa"/>
            <w:vAlign w:val="bottom"/>
          </w:tcPr>
          <w:p>
            <w:pPr>
              <w:ind w:left="260"/>
              <w:spacing w:after="0"/>
              <w:rPr>
                <w:sz w:val="20"/>
                <w:szCs w:val="20"/>
                <w:color w:val="auto"/>
              </w:rPr>
            </w:pPr>
            <w:r>
              <w:rPr>
                <w:rFonts w:ascii="Arial" w:cs="Arial" w:eastAsia="Arial" w:hAnsi="Arial"/>
                <w:sz w:val="14"/>
                <w:szCs w:val="14"/>
                <w:color w:val="auto"/>
              </w:rPr>
              <w:t>—</w:t>
            </w:r>
          </w:p>
        </w:tc>
        <w:tc>
          <w:tcPr>
            <w:tcW w:w="1140" w:type="dxa"/>
            <w:vAlign w:val="bottom"/>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14,238</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612,342</w:t>
            </w: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General Counsel</w:t>
            </w:r>
          </w:p>
        </w:tc>
        <w:tc>
          <w:tcPr>
            <w:tcW w:w="480" w:type="dxa"/>
            <w:vAlign w:val="bottom"/>
            <w:tcBorders>
              <w:bottom w:val="single" w:sz="8" w:color="999999"/>
            </w:tcBorders>
          </w:tcPr>
          <w:p>
            <w:pPr>
              <w:spacing w:after="0"/>
              <w:rPr>
                <w:sz w:val="7"/>
                <w:szCs w:val="7"/>
                <w:color w:val="auto"/>
              </w:rPr>
            </w:pPr>
          </w:p>
        </w:tc>
        <w:tc>
          <w:tcPr>
            <w:tcW w:w="7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c>
          <w:tcPr>
            <w:tcW w:w="840" w:type="dxa"/>
            <w:vAlign w:val="bottom"/>
            <w:tcBorders>
              <w:bottom w:val="single" w:sz="8" w:color="999999"/>
            </w:tcBorders>
          </w:tcPr>
          <w:p>
            <w:pPr>
              <w:spacing w:after="0"/>
              <w:rPr>
                <w:sz w:val="7"/>
                <w:szCs w:val="7"/>
                <w:color w:val="auto"/>
              </w:rPr>
            </w:pPr>
          </w:p>
        </w:tc>
        <w:tc>
          <w:tcPr>
            <w:tcW w:w="680" w:type="dxa"/>
            <w:vAlign w:val="bottom"/>
            <w:tcBorders>
              <w:bottom w:val="single" w:sz="8" w:color="999999"/>
            </w:tcBorders>
          </w:tcPr>
          <w:p>
            <w:pPr>
              <w:spacing w:after="0"/>
              <w:rPr>
                <w:sz w:val="7"/>
                <w:szCs w:val="7"/>
                <w:color w:val="auto"/>
              </w:rPr>
            </w:pPr>
          </w:p>
        </w:tc>
        <w:tc>
          <w:tcPr>
            <w:tcW w:w="600" w:type="dxa"/>
            <w:vAlign w:val="bottom"/>
            <w:tcBorders>
              <w:bottom w:val="single" w:sz="8" w:color="999999"/>
            </w:tcBorders>
          </w:tcPr>
          <w:p>
            <w:pPr>
              <w:spacing w:after="0"/>
              <w:rPr>
                <w:sz w:val="7"/>
                <w:szCs w:val="7"/>
                <w:color w:val="auto"/>
              </w:rPr>
            </w:pPr>
          </w:p>
        </w:tc>
        <w:tc>
          <w:tcPr>
            <w:tcW w:w="540" w:type="dxa"/>
            <w:vAlign w:val="bottom"/>
            <w:tcBorders>
              <w:bottom w:val="single" w:sz="8" w:color="999999"/>
            </w:tcBorders>
          </w:tcPr>
          <w:p>
            <w:pPr>
              <w:spacing w:after="0"/>
              <w:rPr>
                <w:sz w:val="7"/>
                <w:szCs w:val="7"/>
                <w:color w:val="auto"/>
              </w:rPr>
            </w:pPr>
          </w:p>
        </w:tc>
        <w:tc>
          <w:tcPr>
            <w:tcW w:w="1140" w:type="dxa"/>
            <w:vAlign w:val="bottom"/>
            <w:tcBorders>
              <w:bottom w:val="single" w:sz="8" w:color="999999"/>
            </w:tcBorders>
          </w:tcPr>
          <w:p>
            <w:pPr>
              <w:spacing w:after="0"/>
              <w:rPr>
                <w:sz w:val="7"/>
                <w:szCs w:val="7"/>
                <w:color w:val="auto"/>
              </w:rPr>
            </w:pPr>
          </w:p>
        </w:tc>
        <w:tc>
          <w:tcPr>
            <w:tcW w:w="1160" w:type="dxa"/>
            <w:vAlign w:val="bottom"/>
            <w:tcBorders>
              <w:bottom w:val="single" w:sz="8" w:color="999999"/>
            </w:tcBorders>
          </w:tcPr>
          <w:p>
            <w:pPr>
              <w:spacing w:after="0"/>
              <w:rPr>
                <w:sz w:val="7"/>
                <w:szCs w:val="7"/>
                <w:color w:val="auto"/>
              </w:rPr>
            </w:pPr>
          </w:p>
        </w:tc>
        <w:tc>
          <w:tcPr>
            <w:tcW w:w="88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auto"/>
              </w:rPr>
              <w:t>and Secretary</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410,000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45,100​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865,218</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440"/>
              <w:spacing w:after="0"/>
              <w:rPr>
                <w:sz w:val="20"/>
                <w:szCs w:val="20"/>
                <w:color w:val="auto"/>
              </w:rPr>
            </w:pPr>
            <w:r>
              <w:rPr>
                <w:rFonts w:ascii="Arial" w:cs="Arial" w:eastAsia="Arial" w:hAnsi="Arial"/>
                <w:sz w:val="14"/>
                <w:szCs w:val="14"/>
                <w:color w:val="auto"/>
              </w:rPr>
              <w:t>136,325</w:t>
            </w:r>
          </w:p>
        </w:tc>
        <w:tc>
          <w:tcPr>
            <w:tcW w:w="1140" w:type="dxa"/>
            <w:vAlign w:val="bottom"/>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color w:val="auto"/>
              </w:rPr>
              <w:t>12,111</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1,468,754</w:t>
            </w:r>
          </w:p>
        </w:tc>
        <w:tc>
          <w:tcPr>
            <w:tcW w:w="0" w:type="dxa"/>
            <w:vAlign w:val="bottom"/>
          </w:tcPr>
          <w:p>
            <w:pPr>
              <w:spacing w:after="0"/>
              <w:rPr>
                <w:sz w:val="1"/>
                <w:szCs w:val="1"/>
                <w:color w:val="auto"/>
              </w:rPr>
            </w:pPr>
          </w:p>
        </w:tc>
      </w:tr>
      <w:tr>
        <w:trPr>
          <w:trHeight w:val="89"/>
        </w:trPr>
        <w:tc>
          <w:tcPr>
            <w:tcW w:w="1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10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40C0C0"/>
              </w:rPr>
              <w:t>Duncan Grazier,</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2024</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339,591</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ind w:left="440"/>
              <w:spacing w:after="0"/>
              <w:rPr>
                <w:sz w:val="20"/>
                <w:szCs w:val="20"/>
                <w:color w:val="auto"/>
              </w:rPr>
            </w:pPr>
            <w:r>
              <w:rPr>
                <w:rFonts w:ascii="Arial" w:cs="Arial" w:eastAsia="Arial" w:hAnsi="Arial"/>
                <w:sz w:val="14"/>
                <w:szCs w:val="14"/>
                <w:color w:val="auto"/>
              </w:rPr>
              <w:t>​</w:t>
            </w:r>
          </w:p>
        </w:tc>
        <w:tc>
          <w:tcPr>
            <w:tcW w:w="540" w:type="dxa"/>
            <w:vAlign w:val="bottom"/>
          </w:tcPr>
          <w:p>
            <w:pPr>
              <w:ind w:left="260"/>
              <w:spacing w:after="0"/>
              <w:rPr>
                <w:sz w:val="20"/>
                <w:szCs w:val="20"/>
                <w:color w:val="auto"/>
              </w:rPr>
            </w:pPr>
            <w:r>
              <w:rPr>
                <w:rFonts w:ascii="Arial" w:cs="Arial" w:eastAsia="Arial" w:hAnsi="Arial"/>
                <w:sz w:val="14"/>
                <w:szCs w:val="14"/>
                <w:color w:val="auto"/>
              </w:rPr>
              <w:t>—</w:t>
            </w:r>
          </w:p>
        </w:tc>
        <w:tc>
          <w:tcPr>
            <w:tcW w:w="1140" w:type="dxa"/>
            <w:vAlign w:val="bottom"/>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color w:val="auto"/>
              </w:rPr>
              <w:t>$​190,018</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529,609</w:t>
            </w: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Former Chief</w:t>
            </w:r>
          </w:p>
        </w:tc>
        <w:tc>
          <w:tcPr>
            <w:tcW w:w="480" w:type="dxa"/>
            <w:vAlign w:val="bottom"/>
            <w:tcBorders>
              <w:bottom w:val="single" w:sz="8" w:color="999999"/>
            </w:tcBorders>
          </w:tcPr>
          <w:p>
            <w:pPr>
              <w:spacing w:after="0"/>
              <w:rPr>
                <w:sz w:val="7"/>
                <w:szCs w:val="7"/>
                <w:color w:val="auto"/>
              </w:rPr>
            </w:pPr>
          </w:p>
        </w:tc>
        <w:tc>
          <w:tcPr>
            <w:tcW w:w="7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c>
          <w:tcPr>
            <w:tcW w:w="840" w:type="dxa"/>
            <w:vAlign w:val="bottom"/>
            <w:tcBorders>
              <w:bottom w:val="single" w:sz="8" w:color="999999"/>
            </w:tcBorders>
          </w:tcPr>
          <w:p>
            <w:pPr>
              <w:spacing w:after="0"/>
              <w:rPr>
                <w:sz w:val="7"/>
                <w:szCs w:val="7"/>
                <w:color w:val="auto"/>
              </w:rPr>
            </w:pPr>
          </w:p>
        </w:tc>
        <w:tc>
          <w:tcPr>
            <w:tcW w:w="680" w:type="dxa"/>
            <w:vAlign w:val="bottom"/>
            <w:tcBorders>
              <w:bottom w:val="single" w:sz="8" w:color="999999"/>
            </w:tcBorders>
          </w:tcPr>
          <w:p>
            <w:pPr>
              <w:spacing w:after="0"/>
              <w:rPr>
                <w:sz w:val="7"/>
                <w:szCs w:val="7"/>
                <w:color w:val="auto"/>
              </w:rPr>
            </w:pPr>
          </w:p>
        </w:tc>
        <w:tc>
          <w:tcPr>
            <w:tcW w:w="600" w:type="dxa"/>
            <w:vAlign w:val="bottom"/>
            <w:tcBorders>
              <w:bottom w:val="single" w:sz="8" w:color="999999"/>
            </w:tcBorders>
          </w:tcPr>
          <w:p>
            <w:pPr>
              <w:spacing w:after="0"/>
              <w:rPr>
                <w:sz w:val="7"/>
                <w:szCs w:val="7"/>
                <w:color w:val="auto"/>
              </w:rPr>
            </w:pPr>
          </w:p>
        </w:tc>
        <w:tc>
          <w:tcPr>
            <w:tcW w:w="540" w:type="dxa"/>
            <w:vAlign w:val="bottom"/>
            <w:tcBorders>
              <w:bottom w:val="single" w:sz="8" w:color="999999"/>
            </w:tcBorders>
          </w:tcPr>
          <w:p>
            <w:pPr>
              <w:spacing w:after="0"/>
              <w:rPr>
                <w:sz w:val="7"/>
                <w:szCs w:val="7"/>
                <w:color w:val="auto"/>
              </w:rPr>
            </w:pPr>
          </w:p>
        </w:tc>
        <w:tc>
          <w:tcPr>
            <w:tcW w:w="1140" w:type="dxa"/>
            <w:vAlign w:val="bottom"/>
            <w:tcBorders>
              <w:bottom w:val="single" w:sz="8" w:color="999999"/>
            </w:tcBorders>
          </w:tcPr>
          <w:p>
            <w:pPr>
              <w:spacing w:after="0"/>
              <w:rPr>
                <w:sz w:val="7"/>
                <w:szCs w:val="7"/>
                <w:color w:val="auto"/>
              </w:rPr>
            </w:pPr>
          </w:p>
        </w:tc>
        <w:tc>
          <w:tcPr>
            <w:tcW w:w="1160" w:type="dxa"/>
            <w:vAlign w:val="bottom"/>
            <w:tcBorders>
              <w:bottom w:val="single" w:sz="8" w:color="999999"/>
            </w:tcBorders>
          </w:tcPr>
          <w:p>
            <w:pPr>
              <w:spacing w:after="0"/>
              <w:rPr>
                <w:sz w:val="7"/>
                <w:szCs w:val="7"/>
                <w:color w:val="auto"/>
              </w:rPr>
            </w:pPr>
          </w:p>
        </w:tc>
        <w:tc>
          <w:tcPr>
            <w:tcW w:w="88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auto"/>
              </w:rPr>
              <w:t>Technology Officer</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391,779</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246,750​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914,718</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440"/>
              <w:spacing w:after="0"/>
              <w:rPr>
                <w:sz w:val="20"/>
                <w:szCs w:val="20"/>
                <w:color w:val="auto"/>
              </w:rPr>
            </w:pPr>
            <w:r>
              <w:rPr>
                <w:rFonts w:ascii="Arial" w:cs="Arial" w:eastAsia="Arial" w:hAnsi="Arial"/>
                <w:sz w:val="14"/>
                <w:szCs w:val="14"/>
                <w:color w:val="auto"/>
              </w:rPr>
              <w:t>141,312</w:t>
            </w:r>
          </w:p>
        </w:tc>
        <w:tc>
          <w:tcPr>
            <w:tcW w:w="1140" w:type="dxa"/>
            <w:vAlign w:val="bottom"/>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24,658</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1,719,217</w:t>
            </w:r>
          </w:p>
        </w:tc>
        <w:tc>
          <w:tcPr>
            <w:tcW w:w="0" w:type="dxa"/>
            <w:vAlign w:val="bottom"/>
          </w:tcPr>
          <w:p>
            <w:pPr>
              <w:spacing w:after="0"/>
              <w:rPr>
                <w:sz w:val="1"/>
                <w:szCs w:val="1"/>
                <w:color w:val="auto"/>
              </w:rPr>
            </w:pPr>
          </w:p>
        </w:tc>
      </w:tr>
      <w:tr>
        <w:trPr>
          <w:trHeight w:val="89"/>
        </w:trPr>
        <w:tc>
          <w:tcPr>
            <w:tcW w:w="1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40C0C0"/>
              </w:rPr>
              <w:t>Susan Echard,</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2024</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440,800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200,000​</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4"/>
                <w:szCs w:val="14"/>
                <w:color w:val="auto"/>
              </w:rPr>
              <w:t>—</w:t>
            </w:r>
          </w:p>
        </w:tc>
        <w:tc>
          <w:tcPr>
            <w:tcW w:w="1140" w:type="dxa"/>
            <w:vAlign w:val="bottom"/>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640,800</w:t>
            </w: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Chief Financial</w:t>
            </w:r>
          </w:p>
        </w:tc>
        <w:tc>
          <w:tcPr>
            <w:tcW w:w="480" w:type="dxa"/>
            <w:vAlign w:val="bottom"/>
            <w:tcBorders>
              <w:bottom w:val="single" w:sz="8" w:color="999999"/>
            </w:tcBorders>
          </w:tcPr>
          <w:p>
            <w:pPr>
              <w:spacing w:after="0"/>
              <w:rPr>
                <w:sz w:val="7"/>
                <w:szCs w:val="7"/>
                <w:color w:val="auto"/>
              </w:rPr>
            </w:pPr>
          </w:p>
        </w:tc>
        <w:tc>
          <w:tcPr>
            <w:tcW w:w="7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c>
          <w:tcPr>
            <w:tcW w:w="840" w:type="dxa"/>
            <w:vAlign w:val="bottom"/>
            <w:tcBorders>
              <w:bottom w:val="single" w:sz="8" w:color="999999"/>
            </w:tcBorders>
          </w:tcPr>
          <w:p>
            <w:pPr>
              <w:spacing w:after="0"/>
              <w:rPr>
                <w:sz w:val="7"/>
                <w:szCs w:val="7"/>
                <w:color w:val="auto"/>
              </w:rPr>
            </w:pPr>
          </w:p>
        </w:tc>
        <w:tc>
          <w:tcPr>
            <w:tcW w:w="680" w:type="dxa"/>
            <w:vAlign w:val="bottom"/>
            <w:tcBorders>
              <w:bottom w:val="single" w:sz="8" w:color="999999"/>
            </w:tcBorders>
          </w:tcPr>
          <w:p>
            <w:pPr>
              <w:spacing w:after="0"/>
              <w:rPr>
                <w:sz w:val="7"/>
                <w:szCs w:val="7"/>
                <w:color w:val="auto"/>
              </w:rPr>
            </w:pPr>
          </w:p>
        </w:tc>
        <w:tc>
          <w:tcPr>
            <w:tcW w:w="600" w:type="dxa"/>
            <w:vAlign w:val="bottom"/>
            <w:tcBorders>
              <w:bottom w:val="single" w:sz="8" w:color="999999"/>
            </w:tcBorders>
          </w:tcPr>
          <w:p>
            <w:pPr>
              <w:spacing w:after="0"/>
              <w:rPr>
                <w:sz w:val="7"/>
                <w:szCs w:val="7"/>
                <w:color w:val="auto"/>
              </w:rPr>
            </w:pPr>
          </w:p>
        </w:tc>
        <w:tc>
          <w:tcPr>
            <w:tcW w:w="540" w:type="dxa"/>
            <w:vAlign w:val="bottom"/>
            <w:tcBorders>
              <w:bottom w:val="single" w:sz="8" w:color="999999"/>
            </w:tcBorders>
          </w:tcPr>
          <w:p>
            <w:pPr>
              <w:spacing w:after="0"/>
              <w:rPr>
                <w:sz w:val="7"/>
                <w:szCs w:val="7"/>
                <w:color w:val="auto"/>
              </w:rPr>
            </w:pPr>
          </w:p>
        </w:tc>
        <w:tc>
          <w:tcPr>
            <w:tcW w:w="1140" w:type="dxa"/>
            <w:vAlign w:val="bottom"/>
            <w:tcBorders>
              <w:bottom w:val="single" w:sz="8" w:color="999999"/>
            </w:tcBorders>
          </w:tcPr>
          <w:p>
            <w:pPr>
              <w:spacing w:after="0"/>
              <w:rPr>
                <w:sz w:val="7"/>
                <w:szCs w:val="7"/>
                <w:color w:val="auto"/>
              </w:rPr>
            </w:pPr>
          </w:p>
        </w:tc>
        <w:tc>
          <w:tcPr>
            <w:tcW w:w="1160" w:type="dxa"/>
            <w:vAlign w:val="bottom"/>
            <w:tcBorders>
              <w:bottom w:val="single" w:sz="8" w:color="999999"/>
            </w:tcBorders>
          </w:tcPr>
          <w:p>
            <w:pPr>
              <w:spacing w:after="0"/>
              <w:rPr>
                <w:sz w:val="7"/>
                <w:szCs w:val="7"/>
                <w:color w:val="auto"/>
              </w:rPr>
            </w:pPr>
          </w:p>
        </w:tc>
        <w:tc>
          <w:tcPr>
            <w:tcW w:w="88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auto"/>
              </w:rPr>
              <w:t>Officer</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0"/>
                <w:szCs w:val="20"/>
                <w:color w:val="auto"/>
              </w:rPr>
            </w:pPr>
          </w:p>
        </w:tc>
        <w:tc>
          <w:tcPr>
            <w:tcW w:w="540" w:type="dxa"/>
            <w:vAlign w:val="bottom"/>
          </w:tcPr>
          <w:p>
            <w:pPr>
              <w:ind w:left="260"/>
              <w:spacing w:after="0"/>
              <w:rPr>
                <w:sz w:val="20"/>
                <w:szCs w:val="20"/>
                <w:color w:val="auto"/>
              </w:rPr>
            </w:pPr>
            <w:r>
              <w:rPr>
                <w:rFonts w:ascii="Arial" w:cs="Arial" w:eastAsia="Arial" w:hAnsi="Arial"/>
                <w:sz w:val="14"/>
                <w:szCs w:val="14"/>
                <w:color w:val="auto"/>
              </w:rPr>
              <w:t>—</w:t>
            </w:r>
          </w:p>
        </w:tc>
        <w:tc>
          <w:tcPr>
            <w:tcW w:w="1140" w:type="dxa"/>
            <w:vAlign w:val="bottom"/>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right="100" w:hanging="234"/>
        <w:spacing w:after="0" w:line="252" w:lineRule="auto"/>
        <w:tabs>
          <w:tab w:leader="none" w:pos="24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Mr. Grazier tendered his resignation from his role as Chief Technology Officer, effective July 31, 2024. Pursuant to a Separation and Release Agreement between Mr. Grazier and the Company, Mr. Grazier provided services as a Special Advisor through October 31, 2024 .</w:t>
      </w:r>
    </w:p>
    <w:p>
      <w:pPr>
        <w:spacing w:after="0" w:line="23" w:lineRule="exact"/>
        <w:rPr>
          <w:rFonts w:ascii="Arial" w:cs="Arial" w:eastAsia="Arial" w:hAnsi="Arial"/>
          <w:sz w:val="13"/>
          <w:szCs w:val="13"/>
          <w:b w:val="1"/>
          <w:bCs w:val="1"/>
          <w:color w:val="auto"/>
        </w:rPr>
      </w:pPr>
    </w:p>
    <w:p>
      <w:pPr>
        <w:ind w:left="240" w:right="100" w:hanging="234"/>
        <w:spacing w:after="0" w:line="293" w:lineRule="auto"/>
        <w:tabs>
          <w:tab w:leader="none" w:pos="240"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The amounts represent performance-based, discretionary cash bonuses including a performance bonus of $835,000 for Mr. Francis and a discretionary bonus of $200,000 to Ms. Echard to account for their individual contributions, as described under “—Cash Bonuses—Cash Bonus Payments” above.</w:t>
      </w:r>
    </w:p>
    <w:p>
      <w:pPr>
        <w:ind w:left="240" w:right="100" w:hanging="234"/>
        <w:spacing w:after="0" w:line="225" w:lineRule="auto"/>
        <w:tabs>
          <w:tab w:leader="none" w:pos="24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Amounts reflect the grant date fair value of all time-based restricted stock unit (“RSU”) awards and performance-based restricted stock unit (“PRSU”) awards in accordance with ASC 718. The grant date fair value of each RSU award was measured based on the per share closing price of our Class A Common Stock on the date of grant. The grant date fair value of each PRSU awards was measured using a Monte Carlo simulation model. The amounts reported do not correspond to the economic value received by each Named Executive Officer from the equity award. For additional information regarding the market value of outstanding stock awards, see “Outstanding Equity Awards at Fiscal Year-End” below. For information regarding assumptions underlying the value of equity awards, see Note 13 to our financial statements included in our Annual Report on Form 10-K for the year ended December 31, 2024.</w:t>
      </w:r>
    </w:p>
    <w:p>
      <w:pPr>
        <w:spacing w:after="0" w:line="44" w:lineRule="exact"/>
        <w:rPr>
          <w:rFonts w:ascii="Arial" w:cs="Arial" w:eastAsia="Arial" w:hAnsi="Arial"/>
          <w:sz w:val="13"/>
          <w:szCs w:val="13"/>
          <w:b w:val="1"/>
          <w:bCs w:val="1"/>
          <w:color w:val="auto"/>
        </w:rPr>
      </w:pPr>
    </w:p>
    <w:p>
      <w:pPr>
        <w:ind w:left="240" w:hanging="234"/>
        <w:spacing w:after="0"/>
        <w:tabs>
          <w:tab w:leader="none" w:pos="24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Includes amounts paid under the short term incentive plan (“STIP”). as further described in the “Cash Bonus Payments” section above.</w:t>
      </w:r>
    </w:p>
    <w:p>
      <w:pPr>
        <w:spacing w:after="0" w:line="53" w:lineRule="exact"/>
        <w:rPr>
          <w:rFonts w:ascii="Arial" w:cs="Arial" w:eastAsia="Arial" w:hAnsi="Arial"/>
          <w:sz w:val="13"/>
          <w:szCs w:val="13"/>
          <w:b w:val="1"/>
          <w:bCs w:val="1"/>
          <w:color w:val="auto"/>
        </w:rPr>
      </w:pPr>
    </w:p>
    <w:p>
      <w:pPr>
        <w:ind w:left="240" w:right="140" w:hanging="234"/>
        <w:spacing w:after="0" w:line="228" w:lineRule="auto"/>
        <w:tabs>
          <w:tab w:leader="none" w:pos="24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The amounts include (i) group term life insurance premiums in excess of the broad-based benefit level of $816, $806 and $411 for 2024 for Messrs. Francis, Camire and Grazier, respectively and $280, $561 and $224 for 2023 for Messrs. Francis, Camire and Grazier, respectively; (ii) matching contributions under our 401(k) plan of $17,115, $13,432 and $12,440 for 2024 for Messrs. Francis, Camire and Grazier, respectively and $4,708, $11,550 and $11,327 for 2023 for Messrs. Francis, Camire and Grazier, respectively; (iii) severance of $130,855 in 2024 for Mr. Grazier; (iv) parental leave benefit of $14,744.43 in 2024 and $13,106 in 2023 for Mr. Grazier and (v) vacation supplemental of $31,566 in 2024 for Mr. Grazier.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9664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Outstanding Equity Awards at Fiscal Year-End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certain information regarding outstanding equity awards for the Named Executive Officers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45085</wp:posOffset>
            </wp:positionV>
            <wp:extent cx="8255" cy="1491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149161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Borders>
              <w:right w:val="single" w:sz="8" w:color="808080"/>
            </w:tcBorders>
          </w:tcPr>
          <w:p>
            <w:pPr>
              <w:spacing w:after="0"/>
              <w:rPr>
                <w:sz w:val="24"/>
                <w:szCs w:val="24"/>
                <w:color w:val="auto"/>
              </w:rPr>
            </w:pPr>
          </w:p>
        </w:tc>
        <w:tc>
          <w:tcPr>
            <w:tcW w:w="780" w:type="dxa"/>
            <w:vAlign w:val="bottom"/>
            <w:shd w:val="clear" w:color="auto" w:fill="808080"/>
          </w:tcPr>
          <w:p>
            <w:pPr>
              <w:spacing w:after="0"/>
              <w:rPr>
                <w:sz w:val="24"/>
                <w:szCs w:val="24"/>
                <w:color w:val="auto"/>
              </w:rPr>
            </w:pPr>
          </w:p>
        </w:tc>
        <w:tc>
          <w:tcPr>
            <w:tcW w:w="1760" w:type="dxa"/>
            <w:vAlign w:val="bottom"/>
            <w:gridSpan w:val="2"/>
            <w:shd w:val="clear" w:color="auto" w:fill="808080"/>
          </w:tcPr>
          <w:p>
            <w:pPr>
              <w:jc w:val="right"/>
              <w:ind w:right="137"/>
              <w:spacing w:after="0"/>
              <w:rPr>
                <w:sz w:val="20"/>
                <w:szCs w:val="20"/>
                <w:color w:val="auto"/>
              </w:rPr>
            </w:pPr>
            <w:r>
              <w:rPr>
                <w:rFonts w:ascii="Arial" w:cs="Arial" w:eastAsia="Arial" w:hAnsi="Arial"/>
                <w:sz w:val="13"/>
                <w:szCs w:val="13"/>
                <w:b w:val="1"/>
                <w:bCs w:val="1"/>
                <w:color w:val="FFFFFF"/>
              </w:rPr>
              <w:t>Option Awards</w:t>
            </w:r>
          </w:p>
        </w:tc>
        <w:tc>
          <w:tcPr>
            <w:tcW w:w="580" w:type="dxa"/>
            <w:vAlign w:val="bottom"/>
            <w:shd w:val="clear" w:color="auto" w:fill="808080"/>
          </w:tcPr>
          <w:p>
            <w:pPr>
              <w:spacing w:after="0"/>
              <w:rPr>
                <w:sz w:val="24"/>
                <w:szCs w:val="24"/>
                <w:color w:val="auto"/>
              </w:rPr>
            </w:pPr>
          </w:p>
        </w:tc>
        <w:tc>
          <w:tcPr>
            <w:tcW w:w="700" w:type="dxa"/>
            <w:vAlign w:val="bottom"/>
            <w:shd w:val="clear" w:color="auto" w:fill="808080"/>
          </w:tcPr>
          <w:p>
            <w:pPr>
              <w:spacing w:after="0"/>
              <w:rPr>
                <w:sz w:val="24"/>
                <w:szCs w:val="24"/>
                <w:color w:val="auto"/>
              </w:rPr>
            </w:pPr>
          </w:p>
        </w:tc>
        <w:tc>
          <w:tcPr>
            <w:tcW w:w="40" w:type="dxa"/>
            <w:vAlign w:val="bottom"/>
            <w:shd w:val="clear" w:color="auto" w:fill="808080"/>
          </w:tcPr>
          <w:p>
            <w:pPr>
              <w:spacing w:after="0"/>
              <w:rPr>
                <w:sz w:val="24"/>
                <w:szCs w:val="24"/>
                <w:color w:val="auto"/>
              </w:rPr>
            </w:pPr>
          </w:p>
        </w:tc>
        <w:tc>
          <w:tcPr>
            <w:tcW w:w="660" w:type="dxa"/>
            <w:vAlign w:val="bottom"/>
            <w:shd w:val="clear" w:color="auto" w:fill="808080"/>
          </w:tcPr>
          <w:p>
            <w:pPr>
              <w:spacing w:after="0"/>
              <w:rPr>
                <w:sz w:val="24"/>
                <w:szCs w:val="24"/>
                <w:color w:val="auto"/>
              </w:rPr>
            </w:pPr>
          </w:p>
        </w:tc>
        <w:tc>
          <w:tcPr>
            <w:tcW w:w="1600" w:type="dxa"/>
            <w:vAlign w:val="bottom"/>
            <w:gridSpan w:val="2"/>
            <w:shd w:val="clear" w:color="auto" w:fill="808080"/>
          </w:tcPr>
          <w:p>
            <w:pPr>
              <w:jc w:val="right"/>
              <w:ind w:right="217"/>
              <w:spacing w:after="0"/>
              <w:rPr>
                <w:sz w:val="20"/>
                <w:szCs w:val="20"/>
                <w:color w:val="auto"/>
              </w:rPr>
            </w:pPr>
            <w:r>
              <w:rPr>
                <w:rFonts w:ascii="Arial" w:cs="Arial" w:eastAsia="Arial" w:hAnsi="Arial"/>
                <w:sz w:val="13"/>
                <w:szCs w:val="13"/>
                <w:b w:val="1"/>
                <w:bCs w:val="1"/>
                <w:color w:val="FFFFFF"/>
              </w:rPr>
              <w:t>Stock Awards</w:t>
            </w:r>
          </w:p>
        </w:tc>
        <w:tc>
          <w:tcPr>
            <w:tcW w:w="960" w:type="dxa"/>
            <w:vAlign w:val="bottom"/>
            <w:shd w:val="clear" w:color="auto" w:fill="808080"/>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20" w:type="dxa"/>
            <w:vAlign w:val="bottom"/>
            <w:shd w:val="clear" w:color="auto" w:fill="000000"/>
          </w:tcPr>
          <w:p>
            <w:pPr>
              <w:spacing w:after="0"/>
              <w:rPr>
                <w:sz w:val="17"/>
                <w:szCs w:val="17"/>
                <w:color w:val="auto"/>
              </w:rPr>
            </w:pPr>
          </w:p>
        </w:tc>
        <w:tc>
          <w:tcPr>
            <w:tcW w:w="820" w:type="dxa"/>
            <w:vAlign w:val="bottom"/>
            <w:shd w:val="clear" w:color="auto" w:fill="000000"/>
          </w:tcPr>
          <w:p>
            <w:pPr>
              <w:spacing w:after="0"/>
              <w:rPr>
                <w:sz w:val="17"/>
                <w:szCs w:val="17"/>
                <w:color w:val="auto"/>
              </w:rPr>
            </w:pPr>
          </w:p>
        </w:tc>
        <w:tc>
          <w:tcPr>
            <w:tcW w:w="580" w:type="dxa"/>
            <w:vAlign w:val="bottom"/>
            <w:tcBorders>
              <w:right w:val="single" w:sz="8" w:color="auto"/>
            </w:tcBorders>
            <w:shd w:val="clear" w:color="auto" w:fill="000000"/>
          </w:tcPr>
          <w:p>
            <w:pPr>
              <w:spacing w:after="0"/>
              <w:rPr>
                <w:sz w:val="17"/>
                <w:szCs w:val="17"/>
                <w:color w:val="auto"/>
              </w:rPr>
            </w:pPr>
          </w:p>
        </w:tc>
        <w:tc>
          <w:tcPr>
            <w:tcW w:w="780" w:type="dxa"/>
            <w:vAlign w:val="bottom"/>
            <w:shd w:val="clear" w:color="auto" w:fill="000000"/>
          </w:tcPr>
          <w:p>
            <w:pPr>
              <w:spacing w:after="0"/>
              <w:rPr>
                <w:sz w:val="17"/>
                <w:szCs w:val="17"/>
                <w:color w:val="auto"/>
              </w:rPr>
            </w:pPr>
          </w:p>
        </w:tc>
        <w:tc>
          <w:tcPr>
            <w:tcW w:w="940" w:type="dxa"/>
            <w:vAlign w:val="bottom"/>
            <w:shd w:val="clear" w:color="auto" w:fill="000000"/>
          </w:tcPr>
          <w:p>
            <w:pPr>
              <w:spacing w:after="0"/>
              <w:rPr>
                <w:sz w:val="17"/>
                <w:szCs w:val="17"/>
                <w:color w:val="auto"/>
              </w:rPr>
            </w:pPr>
          </w:p>
        </w:tc>
        <w:tc>
          <w:tcPr>
            <w:tcW w:w="82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70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960" w:type="dxa"/>
            <w:vAlign w:val="bottom"/>
            <w:shd w:val="clear" w:color="auto" w:fill="000000"/>
          </w:tcPr>
          <w:p>
            <w:pPr>
              <w:jc w:val="right"/>
              <w:ind w:right="77"/>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66"/>
        </w:trPr>
        <w:tc>
          <w:tcPr>
            <w:tcW w:w="920" w:type="dxa"/>
            <w:vAlign w:val="bottom"/>
            <w:shd w:val="clear" w:color="auto" w:fill="000000"/>
          </w:tcPr>
          <w:p>
            <w:pPr>
              <w:spacing w:after="0"/>
              <w:rPr>
                <w:sz w:val="14"/>
                <w:szCs w:val="14"/>
                <w:color w:val="auto"/>
              </w:rPr>
            </w:pPr>
          </w:p>
        </w:tc>
        <w:tc>
          <w:tcPr>
            <w:tcW w:w="820" w:type="dxa"/>
            <w:vAlign w:val="bottom"/>
            <w:shd w:val="clear" w:color="auto" w:fill="000000"/>
          </w:tcPr>
          <w:p>
            <w:pPr>
              <w:spacing w:after="0"/>
              <w:rPr>
                <w:sz w:val="14"/>
                <w:szCs w:val="14"/>
                <w:color w:val="auto"/>
              </w:rPr>
            </w:pPr>
          </w:p>
        </w:tc>
        <w:tc>
          <w:tcPr>
            <w:tcW w:w="580" w:type="dxa"/>
            <w:vAlign w:val="bottom"/>
            <w:tcBorders>
              <w:right w:val="single" w:sz="8" w:color="auto"/>
            </w:tcBorders>
            <w:shd w:val="clear" w:color="auto" w:fill="000000"/>
          </w:tcPr>
          <w:p>
            <w:pPr>
              <w:spacing w:after="0"/>
              <w:rPr>
                <w:sz w:val="14"/>
                <w:szCs w:val="14"/>
                <w:color w:val="auto"/>
              </w:rPr>
            </w:pPr>
          </w:p>
        </w:tc>
        <w:tc>
          <w:tcPr>
            <w:tcW w:w="78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820" w:type="dxa"/>
            <w:vAlign w:val="bottom"/>
            <w:vMerge w:val="restart"/>
            <w:shd w:val="clear" w:color="auto" w:fill="000000"/>
          </w:tcPr>
          <w:p>
            <w:pPr>
              <w:jc w:val="right"/>
              <w:ind w:right="17"/>
              <w:spacing w:after="0"/>
              <w:rPr>
                <w:sz w:val="20"/>
                <w:szCs w:val="20"/>
                <w:color w:val="auto"/>
              </w:rPr>
            </w:pPr>
            <w:r>
              <w:rPr>
                <w:rFonts w:ascii="Arial" w:cs="Arial" w:eastAsia="Arial" w:hAnsi="Arial"/>
                <w:sz w:val="13"/>
                <w:szCs w:val="13"/>
                <w:b w:val="1"/>
                <w:bCs w:val="1"/>
                <w:color w:val="FFFFFF"/>
              </w:rPr>
              <w:t>Equity</w:t>
            </w:r>
          </w:p>
        </w:tc>
        <w:tc>
          <w:tcPr>
            <w:tcW w:w="580" w:type="dxa"/>
            <w:vAlign w:val="bottom"/>
            <w:shd w:val="clear" w:color="auto" w:fill="000000"/>
          </w:tcPr>
          <w:p>
            <w:pPr>
              <w:spacing w:after="0"/>
              <w:rPr>
                <w:sz w:val="14"/>
                <w:szCs w:val="14"/>
                <w:color w:val="auto"/>
              </w:rPr>
            </w:pPr>
          </w:p>
        </w:tc>
        <w:tc>
          <w:tcPr>
            <w:tcW w:w="700" w:type="dxa"/>
            <w:vAlign w:val="bottom"/>
            <w:shd w:val="clear" w:color="auto" w:fill="000000"/>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66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880" w:type="dxa"/>
            <w:vAlign w:val="bottom"/>
            <w:shd w:val="clear" w:color="auto" w:fill="000000"/>
          </w:tcPr>
          <w:p>
            <w:pPr>
              <w:jc w:val="right"/>
              <w:ind w:right="17"/>
              <w:spacing w:after="0"/>
              <w:rPr>
                <w:sz w:val="20"/>
                <w:szCs w:val="20"/>
                <w:color w:val="auto"/>
              </w:rPr>
            </w:pPr>
            <w:r>
              <w:rPr>
                <w:rFonts w:ascii="Arial" w:cs="Arial" w:eastAsia="Arial" w:hAnsi="Arial"/>
                <w:sz w:val="13"/>
                <w:szCs w:val="13"/>
                <w:b w:val="1"/>
                <w:bCs w:val="1"/>
                <w:color w:val="FFFFFF"/>
              </w:rPr>
              <w:t>Equity</w:t>
            </w:r>
          </w:p>
        </w:tc>
        <w:tc>
          <w:tcPr>
            <w:tcW w:w="960" w:type="dxa"/>
            <w:vAlign w:val="bottom"/>
            <w:shd w:val="clear" w:color="auto" w:fill="000000"/>
          </w:tcPr>
          <w:p>
            <w:pPr>
              <w:jc w:val="right"/>
              <w:ind w:right="77"/>
              <w:spacing w:after="0"/>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35"/>
        </w:trPr>
        <w:tc>
          <w:tcPr>
            <w:tcW w:w="92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80" w:type="dxa"/>
            <w:vAlign w:val="bottom"/>
            <w:tcBorders>
              <w:right w:val="single" w:sz="8" w:color="auto"/>
            </w:tcBorders>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820" w:type="dxa"/>
            <w:vAlign w:val="bottom"/>
            <w:vMerge w:val="continue"/>
            <w:shd w:val="clear" w:color="auto" w:fill="000000"/>
          </w:tcPr>
          <w:p>
            <w:pPr>
              <w:spacing w:after="0"/>
              <w:rPr>
                <w:sz w:val="11"/>
                <w:szCs w:val="11"/>
                <w:color w:val="auto"/>
              </w:rPr>
            </w:pPr>
          </w:p>
        </w:tc>
        <w:tc>
          <w:tcPr>
            <w:tcW w:w="58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88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incentive</w:t>
            </w:r>
          </w:p>
        </w:tc>
        <w:tc>
          <w:tcPr>
            <w:tcW w:w="960" w:type="dxa"/>
            <w:vAlign w:val="bottom"/>
            <w:shd w:val="clear" w:color="auto" w:fill="000000"/>
          </w:tcPr>
          <w:p>
            <w:pPr>
              <w:jc w:val="right"/>
              <w:ind w:right="77"/>
              <w:spacing w:after="0" w:line="135" w:lineRule="exact"/>
              <w:rPr>
                <w:sz w:val="20"/>
                <w:szCs w:val="20"/>
                <w:color w:val="auto"/>
              </w:rPr>
            </w:pPr>
            <w:r>
              <w:rPr>
                <w:rFonts w:ascii="Arial" w:cs="Arial" w:eastAsia="Arial" w:hAnsi="Arial"/>
                <w:sz w:val="13"/>
                <w:szCs w:val="13"/>
                <w:b w:val="1"/>
                <w:bCs w:val="1"/>
                <w:color w:val="FFFFFF"/>
              </w:rPr>
              <w:t>plan awards:</w:t>
            </w:r>
          </w:p>
        </w:tc>
        <w:tc>
          <w:tcPr>
            <w:tcW w:w="0" w:type="dxa"/>
            <w:vAlign w:val="bottom"/>
          </w:tcPr>
          <w:p>
            <w:pPr>
              <w:spacing w:after="0"/>
              <w:rPr>
                <w:sz w:val="1"/>
                <w:szCs w:val="1"/>
                <w:color w:val="auto"/>
              </w:rPr>
            </w:pPr>
          </w:p>
        </w:tc>
      </w:tr>
      <w:tr>
        <w:trPr>
          <w:trHeight w:val="135"/>
        </w:trPr>
        <w:tc>
          <w:tcPr>
            <w:tcW w:w="92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80" w:type="dxa"/>
            <w:vAlign w:val="bottom"/>
            <w:tcBorders>
              <w:right w:val="single" w:sz="8" w:color="auto"/>
            </w:tcBorders>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82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incentive</w:t>
            </w:r>
          </w:p>
        </w:tc>
        <w:tc>
          <w:tcPr>
            <w:tcW w:w="58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88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w w:val="98"/>
              </w:rPr>
              <w:t>plan awards:</w:t>
            </w:r>
          </w:p>
        </w:tc>
        <w:tc>
          <w:tcPr>
            <w:tcW w:w="960" w:type="dxa"/>
            <w:vAlign w:val="bottom"/>
            <w:shd w:val="clear" w:color="auto" w:fill="000000"/>
          </w:tcPr>
          <w:p>
            <w:pPr>
              <w:jc w:val="right"/>
              <w:ind w:right="77"/>
              <w:spacing w:after="0" w:line="135" w:lineRule="exact"/>
              <w:rPr>
                <w:sz w:val="20"/>
                <w:szCs w:val="20"/>
                <w:color w:val="auto"/>
              </w:rPr>
            </w:pPr>
            <w:r>
              <w:rPr>
                <w:rFonts w:ascii="Arial" w:cs="Arial" w:eastAsia="Arial" w:hAnsi="Arial"/>
                <w:sz w:val="13"/>
                <w:szCs w:val="13"/>
                <w:b w:val="1"/>
                <w:bCs w:val="1"/>
                <w:color w:val="FFFFFF"/>
              </w:rPr>
              <w:t>Market or</w:t>
            </w:r>
          </w:p>
        </w:tc>
        <w:tc>
          <w:tcPr>
            <w:tcW w:w="0" w:type="dxa"/>
            <w:vAlign w:val="bottom"/>
          </w:tcPr>
          <w:p>
            <w:pPr>
              <w:spacing w:after="0"/>
              <w:rPr>
                <w:sz w:val="1"/>
                <w:szCs w:val="1"/>
                <w:color w:val="auto"/>
              </w:rPr>
            </w:pPr>
          </w:p>
        </w:tc>
      </w:tr>
      <w:tr>
        <w:trPr>
          <w:trHeight w:val="135"/>
        </w:trPr>
        <w:tc>
          <w:tcPr>
            <w:tcW w:w="92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80" w:type="dxa"/>
            <w:vAlign w:val="bottom"/>
            <w:tcBorders>
              <w:right w:val="single" w:sz="8" w:color="auto"/>
            </w:tcBorders>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82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plan</w:t>
            </w:r>
          </w:p>
        </w:tc>
        <w:tc>
          <w:tcPr>
            <w:tcW w:w="58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60" w:type="dxa"/>
            <w:vAlign w:val="bottom"/>
            <w:vMerge w:val="restart"/>
            <w:shd w:val="clear" w:color="auto" w:fill="000000"/>
          </w:tcPr>
          <w:p>
            <w:pPr>
              <w:jc w:val="right"/>
              <w:ind w:right="17"/>
              <w:spacing w:after="0"/>
              <w:rPr>
                <w:sz w:val="20"/>
                <w:szCs w:val="20"/>
                <w:color w:val="auto"/>
              </w:rPr>
            </w:pPr>
            <w:r>
              <w:rPr>
                <w:rFonts w:ascii="Arial" w:cs="Arial" w:eastAsia="Arial" w:hAnsi="Arial"/>
                <w:sz w:val="13"/>
                <w:szCs w:val="13"/>
                <w:b w:val="1"/>
                <w:bCs w:val="1"/>
                <w:color w:val="FFFFFF"/>
              </w:rPr>
              <w:t>Number</w:t>
            </w:r>
          </w:p>
        </w:tc>
        <w:tc>
          <w:tcPr>
            <w:tcW w:w="720" w:type="dxa"/>
            <w:vAlign w:val="bottom"/>
            <w:vMerge w:val="restart"/>
            <w:shd w:val="clear" w:color="auto" w:fill="000000"/>
          </w:tcPr>
          <w:p>
            <w:pPr>
              <w:jc w:val="right"/>
              <w:ind w:right="16"/>
              <w:spacing w:after="0"/>
              <w:rPr>
                <w:sz w:val="20"/>
                <w:szCs w:val="20"/>
                <w:color w:val="auto"/>
              </w:rPr>
            </w:pPr>
            <w:r>
              <w:rPr>
                <w:rFonts w:ascii="Arial" w:cs="Arial" w:eastAsia="Arial" w:hAnsi="Arial"/>
                <w:sz w:val="13"/>
                <w:szCs w:val="13"/>
                <w:b w:val="1"/>
                <w:bCs w:val="1"/>
                <w:color w:val="FFFFFF"/>
              </w:rPr>
              <w:t>Market</w:t>
            </w:r>
          </w:p>
        </w:tc>
        <w:tc>
          <w:tcPr>
            <w:tcW w:w="88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Number of</w:t>
            </w:r>
          </w:p>
        </w:tc>
        <w:tc>
          <w:tcPr>
            <w:tcW w:w="960" w:type="dxa"/>
            <w:vAlign w:val="bottom"/>
            <w:shd w:val="clear" w:color="auto" w:fill="000000"/>
          </w:tcPr>
          <w:p>
            <w:pPr>
              <w:jc w:val="right"/>
              <w:ind w:right="77"/>
              <w:spacing w:after="0" w:line="135" w:lineRule="exact"/>
              <w:rPr>
                <w:sz w:val="20"/>
                <w:szCs w:val="20"/>
                <w:color w:val="auto"/>
              </w:rPr>
            </w:pPr>
            <w:r>
              <w:rPr>
                <w:rFonts w:ascii="Arial" w:cs="Arial" w:eastAsia="Arial" w:hAnsi="Arial"/>
                <w:sz w:val="13"/>
                <w:szCs w:val="13"/>
                <w:b w:val="1"/>
                <w:bCs w:val="1"/>
                <w:color w:val="FFFFFF"/>
              </w:rPr>
              <w:t>payout</w:t>
            </w:r>
          </w:p>
        </w:tc>
        <w:tc>
          <w:tcPr>
            <w:tcW w:w="0" w:type="dxa"/>
            <w:vAlign w:val="bottom"/>
          </w:tcPr>
          <w:p>
            <w:pPr>
              <w:spacing w:after="0"/>
              <w:rPr>
                <w:sz w:val="1"/>
                <w:szCs w:val="1"/>
                <w:color w:val="auto"/>
              </w:rPr>
            </w:pPr>
          </w:p>
        </w:tc>
      </w:tr>
      <w:tr>
        <w:trPr>
          <w:trHeight w:val="135"/>
        </w:trPr>
        <w:tc>
          <w:tcPr>
            <w:tcW w:w="92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80" w:type="dxa"/>
            <w:vAlign w:val="bottom"/>
            <w:tcBorders>
              <w:right w:val="single" w:sz="8" w:color="auto"/>
            </w:tcBorders>
            <w:shd w:val="clear" w:color="auto" w:fill="000000"/>
          </w:tcPr>
          <w:p>
            <w:pPr>
              <w:spacing w:after="0"/>
              <w:rPr>
                <w:sz w:val="11"/>
                <w:szCs w:val="11"/>
                <w:color w:val="auto"/>
              </w:rPr>
            </w:pPr>
          </w:p>
        </w:tc>
        <w:tc>
          <w:tcPr>
            <w:tcW w:w="780" w:type="dxa"/>
            <w:vAlign w:val="bottom"/>
            <w:vMerge w:val="restart"/>
            <w:shd w:val="clear" w:color="auto" w:fill="000000"/>
          </w:tcPr>
          <w:p>
            <w:pPr>
              <w:jc w:val="right"/>
              <w:ind w:right="15"/>
              <w:spacing w:after="0"/>
              <w:rPr>
                <w:sz w:val="20"/>
                <w:szCs w:val="20"/>
                <w:color w:val="auto"/>
              </w:rPr>
            </w:pPr>
            <w:r>
              <w:rPr>
                <w:rFonts w:ascii="Arial" w:cs="Arial" w:eastAsia="Arial" w:hAnsi="Arial"/>
                <w:sz w:val="13"/>
                <w:szCs w:val="13"/>
                <w:b w:val="1"/>
                <w:bCs w:val="1"/>
                <w:color w:val="FFFFFF"/>
              </w:rPr>
              <w:t>Number of</w:t>
            </w:r>
          </w:p>
        </w:tc>
        <w:tc>
          <w:tcPr>
            <w:tcW w:w="940" w:type="dxa"/>
            <w:vAlign w:val="bottom"/>
            <w:vMerge w:val="restart"/>
            <w:shd w:val="clear" w:color="auto" w:fill="000000"/>
          </w:tcPr>
          <w:p>
            <w:pPr>
              <w:jc w:val="right"/>
              <w:ind w:right="15"/>
              <w:spacing w:after="0"/>
              <w:rPr>
                <w:sz w:val="20"/>
                <w:szCs w:val="20"/>
                <w:color w:val="auto"/>
              </w:rPr>
            </w:pPr>
            <w:r>
              <w:rPr>
                <w:rFonts w:ascii="Arial" w:cs="Arial" w:eastAsia="Arial" w:hAnsi="Arial"/>
                <w:sz w:val="13"/>
                <w:szCs w:val="13"/>
                <w:b w:val="1"/>
                <w:bCs w:val="1"/>
                <w:color w:val="FFFFFF"/>
              </w:rPr>
              <w:t>Number of</w:t>
            </w:r>
          </w:p>
        </w:tc>
        <w:tc>
          <w:tcPr>
            <w:tcW w:w="82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awards:</w:t>
            </w:r>
          </w:p>
        </w:tc>
        <w:tc>
          <w:tcPr>
            <w:tcW w:w="58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60" w:type="dxa"/>
            <w:vAlign w:val="bottom"/>
            <w:vMerge w:val="continue"/>
            <w:shd w:val="clear" w:color="auto" w:fill="000000"/>
          </w:tcPr>
          <w:p>
            <w:pPr>
              <w:spacing w:after="0"/>
              <w:rPr>
                <w:sz w:val="11"/>
                <w:szCs w:val="11"/>
                <w:color w:val="auto"/>
              </w:rPr>
            </w:pPr>
          </w:p>
        </w:tc>
        <w:tc>
          <w:tcPr>
            <w:tcW w:w="720" w:type="dxa"/>
            <w:vAlign w:val="bottom"/>
            <w:vMerge w:val="continue"/>
            <w:shd w:val="clear" w:color="auto" w:fill="000000"/>
          </w:tcPr>
          <w:p>
            <w:pPr>
              <w:spacing w:after="0"/>
              <w:rPr>
                <w:sz w:val="11"/>
                <w:szCs w:val="11"/>
                <w:color w:val="auto"/>
              </w:rPr>
            </w:pPr>
          </w:p>
        </w:tc>
        <w:tc>
          <w:tcPr>
            <w:tcW w:w="88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unearned</w:t>
            </w:r>
          </w:p>
        </w:tc>
        <w:tc>
          <w:tcPr>
            <w:tcW w:w="960" w:type="dxa"/>
            <w:vAlign w:val="bottom"/>
            <w:shd w:val="clear" w:color="auto" w:fill="000000"/>
          </w:tcPr>
          <w:p>
            <w:pPr>
              <w:jc w:val="right"/>
              <w:ind w:right="77"/>
              <w:spacing w:after="0" w:line="135" w:lineRule="exact"/>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135"/>
        </w:trPr>
        <w:tc>
          <w:tcPr>
            <w:tcW w:w="92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80" w:type="dxa"/>
            <w:vAlign w:val="bottom"/>
            <w:tcBorders>
              <w:right w:val="single" w:sz="8" w:color="auto"/>
            </w:tcBorders>
            <w:shd w:val="clear" w:color="auto" w:fill="000000"/>
          </w:tcPr>
          <w:p>
            <w:pPr>
              <w:spacing w:after="0"/>
              <w:rPr>
                <w:sz w:val="11"/>
                <w:szCs w:val="11"/>
                <w:color w:val="auto"/>
              </w:rPr>
            </w:pPr>
          </w:p>
        </w:tc>
        <w:tc>
          <w:tcPr>
            <w:tcW w:w="780" w:type="dxa"/>
            <w:vAlign w:val="bottom"/>
            <w:vMerge w:val="continue"/>
            <w:shd w:val="clear" w:color="auto" w:fill="000000"/>
          </w:tcPr>
          <w:p>
            <w:pPr>
              <w:spacing w:after="0"/>
              <w:rPr>
                <w:sz w:val="11"/>
                <w:szCs w:val="11"/>
                <w:color w:val="auto"/>
              </w:rPr>
            </w:pPr>
          </w:p>
        </w:tc>
        <w:tc>
          <w:tcPr>
            <w:tcW w:w="940" w:type="dxa"/>
            <w:vAlign w:val="bottom"/>
            <w:vMerge w:val="continue"/>
            <w:shd w:val="clear" w:color="auto" w:fill="000000"/>
          </w:tcPr>
          <w:p>
            <w:pPr>
              <w:spacing w:after="0"/>
              <w:rPr>
                <w:sz w:val="11"/>
                <w:szCs w:val="11"/>
                <w:color w:val="auto"/>
              </w:rPr>
            </w:pPr>
          </w:p>
        </w:tc>
        <w:tc>
          <w:tcPr>
            <w:tcW w:w="82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Number of</w:t>
            </w:r>
          </w:p>
        </w:tc>
        <w:tc>
          <w:tcPr>
            <w:tcW w:w="58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6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w w:val="96"/>
              </w:rPr>
              <w:t>of shares</w:t>
            </w:r>
          </w:p>
        </w:tc>
        <w:tc>
          <w:tcPr>
            <w:tcW w:w="720" w:type="dxa"/>
            <w:vAlign w:val="bottom"/>
            <w:shd w:val="clear" w:color="auto" w:fill="000000"/>
          </w:tcPr>
          <w:p>
            <w:pPr>
              <w:jc w:val="right"/>
              <w:ind w:right="16"/>
              <w:spacing w:after="0" w:line="135" w:lineRule="exact"/>
              <w:rPr>
                <w:sz w:val="20"/>
                <w:szCs w:val="20"/>
                <w:color w:val="auto"/>
              </w:rPr>
            </w:pPr>
            <w:r>
              <w:rPr>
                <w:rFonts w:ascii="Arial" w:cs="Arial" w:eastAsia="Arial" w:hAnsi="Arial"/>
                <w:sz w:val="13"/>
                <w:szCs w:val="13"/>
                <w:b w:val="1"/>
                <w:bCs w:val="1"/>
                <w:color w:val="FFFFFF"/>
              </w:rPr>
              <w:t>value of</w:t>
            </w:r>
          </w:p>
        </w:tc>
        <w:tc>
          <w:tcPr>
            <w:tcW w:w="88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shares,</w:t>
            </w:r>
          </w:p>
        </w:tc>
        <w:tc>
          <w:tcPr>
            <w:tcW w:w="960" w:type="dxa"/>
            <w:vAlign w:val="bottom"/>
            <w:shd w:val="clear" w:color="auto" w:fill="000000"/>
          </w:tcPr>
          <w:p>
            <w:pPr>
              <w:jc w:val="right"/>
              <w:ind w:right="77"/>
              <w:spacing w:after="0" w:line="135" w:lineRule="exact"/>
              <w:rPr>
                <w:sz w:val="20"/>
                <w:szCs w:val="20"/>
                <w:color w:val="auto"/>
              </w:rPr>
            </w:pPr>
            <w:r>
              <w:rPr>
                <w:rFonts w:ascii="Arial" w:cs="Arial" w:eastAsia="Arial" w:hAnsi="Arial"/>
                <w:sz w:val="13"/>
                <w:szCs w:val="13"/>
                <w:b w:val="1"/>
                <w:bCs w:val="1"/>
                <w:color w:val="FFFFFF"/>
              </w:rPr>
              <w:t>unearned</w:t>
            </w:r>
          </w:p>
        </w:tc>
        <w:tc>
          <w:tcPr>
            <w:tcW w:w="0" w:type="dxa"/>
            <w:vAlign w:val="bottom"/>
          </w:tcPr>
          <w:p>
            <w:pPr>
              <w:spacing w:after="0"/>
              <w:rPr>
                <w:sz w:val="1"/>
                <w:szCs w:val="1"/>
                <w:color w:val="auto"/>
              </w:rPr>
            </w:pPr>
          </w:p>
        </w:tc>
      </w:tr>
      <w:tr>
        <w:trPr>
          <w:trHeight w:val="135"/>
        </w:trPr>
        <w:tc>
          <w:tcPr>
            <w:tcW w:w="92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80" w:type="dxa"/>
            <w:vAlign w:val="bottom"/>
            <w:tcBorders>
              <w:right w:val="single" w:sz="8" w:color="auto"/>
            </w:tcBorders>
            <w:shd w:val="clear" w:color="auto" w:fill="000000"/>
          </w:tcPr>
          <w:p>
            <w:pPr>
              <w:spacing w:after="0"/>
              <w:rPr>
                <w:sz w:val="11"/>
                <w:szCs w:val="11"/>
                <w:color w:val="auto"/>
              </w:rPr>
            </w:pPr>
          </w:p>
        </w:tc>
        <w:tc>
          <w:tcPr>
            <w:tcW w:w="78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securities</w:t>
            </w:r>
          </w:p>
        </w:tc>
        <w:tc>
          <w:tcPr>
            <w:tcW w:w="94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securities</w:t>
            </w:r>
          </w:p>
        </w:tc>
        <w:tc>
          <w:tcPr>
            <w:tcW w:w="82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securities</w:t>
            </w:r>
          </w:p>
        </w:tc>
        <w:tc>
          <w:tcPr>
            <w:tcW w:w="58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6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or units</w:t>
            </w:r>
          </w:p>
        </w:tc>
        <w:tc>
          <w:tcPr>
            <w:tcW w:w="720" w:type="dxa"/>
            <w:vAlign w:val="bottom"/>
            <w:shd w:val="clear" w:color="auto" w:fill="000000"/>
          </w:tcPr>
          <w:p>
            <w:pPr>
              <w:jc w:val="right"/>
              <w:ind w:right="16"/>
              <w:spacing w:after="0" w:line="135" w:lineRule="exact"/>
              <w:rPr>
                <w:sz w:val="20"/>
                <w:szCs w:val="20"/>
                <w:color w:val="auto"/>
              </w:rPr>
            </w:pPr>
            <w:r>
              <w:rPr>
                <w:rFonts w:ascii="Arial" w:cs="Arial" w:eastAsia="Arial" w:hAnsi="Arial"/>
                <w:sz w:val="13"/>
                <w:szCs w:val="13"/>
                <w:b w:val="1"/>
                <w:bCs w:val="1"/>
                <w:color w:val="FFFFFF"/>
              </w:rPr>
              <w:t>shares of</w:t>
            </w:r>
          </w:p>
        </w:tc>
        <w:tc>
          <w:tcPr>
            <w:tcW w:w="88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units or</w:t>
            </w:r>
          </w:p>
        </w:tc>
        <w:tc>
          <w:tcPr>
            <w:tcW w:w="960" w:type="dxa"/>
            <w:vAlign w:val="bottom"/>
            <w:shd w:val="clear" w:color="auto" w:fill="000000"/>
          </w:tcPr>
          <w:p>
            <w:pPr>
              <w:jc w:val="right"/>
              <w:ind w:right="77"/>
              <w:spacing w:after="0" w:line="135" w:lineRule="exact"/>
              <w:rPr>
                <w:sz w:val="20"/>
                <w:szCs w:val="20"/>
                <w:color w:val="auto"/>
              </w:rPr>
            </w:pPr>
            <w:r>
              <w:rPr>
                <w:rFonts w:ascii="Arial" w:cs="Arial" w:eastAsia="Arial" w:hAnsi="Arial"/>
                <w:sz w:val="13"/>
                <w:szCs w:val="13"/>
                <w:b w:val="1"/>
                <w:bCs w:val="1"/>
                <w:color w:val="FFFFFF"/>
              </w:rPr>
              <w:t>shares,</w:t>
            </w:r>
          </w:p>
        </w:tc>
        <w:tc>
          <w:tcPr>
            <w:tcW w:w="0" w:type="dxa"/>
            <w:vAlign w:val="bottom"/>
          </w:tcPr>
          <w:p>
            <w:pPr>
              <w:spacing w:after="0"/>
              <w:rPr>
                <w:sz w:val="1"/>
                <w:szCs w:val="1"/>
                <w:color w:val="auto"/>
              </w:rPr>
            </w:pPr>
          </w:p>
        </w:tc>
      </w:tr>
      <w:tr>
        <w:trPr>
          <w:trHeight w:val="135"/>
        </w:trPr>
        <w:tc>
          <w:tcPr>
            <w:tcW w:w="92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80" w:type="dxa"/>
            <w:vAlign w:val="bottom"/>
            <w:tcBorders>
              <w:right w:val="single" w:sz="8" w:color="auto"/>
            </w:tcBorders>
            <w:shd w:val="clear" w:color="auto" w:fill="000000"/>
          </w:tcPr>
          <w:p>
            <w:pPr>
              <w:spacing w:after="0"/>
              <w:rPr>
                <w:sz w:val="11"/>
                <w:szCs w:val="11"/>
                <w:color w:val="auto"/>
              </w:rPr>
            </w:pPr>
          </w:p>
        </w:tc>
        <w:tc>
          <w:tcPr>
            <w:tcW w:w="78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underlying</w:t>
            </w:r>
          </w:p>
        </w:tc>
        <w:tc>
          <w:tcPr>
            <w:tcW w:w="94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underlying</w:t>
            </w:r>
          </w:p>
        </w:tc>
        <w:tc>
          <w:tcPr>
            <w:tcW w:w="82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underlying</w:t>
            </w:r>
          </w:p>
        </w:tc>
        <w:tc>
          <w:tcPr>
            <w:tcW w:w="58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FFFFF"/>
              </w:rPr>
              <w:t>Option</w:t>
            </w:r>
          </w:p>
        </w:tc>
        <w:tc>
          <w:tcPr>
            <w:tcW w:w="70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6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of stock</w:t>
            </w:r>
          </w:p>
        </w:tc>
        <w:tc>
          <w:tcPr>
            <w:tcW w:w="720" w:type="dxa"/>
            <w:vAlign w:val="bottom"/>
            <w:shd w:val="clear" w:color="auto" w:fill="000000"/>
          </w:tcPr>
          <w:p>
            <w:pPr>
              <w:jc w:val="right"/>
              <w:ind w:right="16"/>
              <w:spacing w:after="0" w:line="135" w:lineRule="exact"/>
              <w:rPr>
                <w:sz w:val="20"/>
                <w:szCs w:val="20"/>
                <w:color w:val="auto"/>
              </w:rPr>
            </w:pPr>
            <w:r>
              <w:rPr>
                <w:rFonts w:ascii="Arial" w:cs="Arial" w:eastAsia="Arial" w:hAnsi="Arial"/>
                <w:sz w:val="13"/>
                <w:szCs w:val="13"/>
                <w:b w:val="1"/>
                <w:bCs w:val="1"/>
                <w:color w:val="FFFFFF"/>
              </w:rPr>
              <w:t>units of</w:t>
            </w:r>
          </w:p>
        </w:tc>
        <w:tc>
          <w:tcPr>
            <w:tcW w:w="88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other</w:t>
            </w:r>
          </w:p>
        </w:tc>
        <w:tc>
          <w:tcPr>
            <w:tcW w:w="960" w:type="dxa"/>
            <w:vAlign w:val="bottom"/>
            <w:shd w:val="clear" w:color="auto" w:fill="000000"/>
          </w:tcPr>
          <w:p>
            <w:pPr>
              <w:jc w:val="right"/>
              <w:ind w:right="77"/>
              <w:spacing w:after="0" w:line="135" w:lineRule="exact"/>
              <w:rPr>
                <w:sz w:val="20"/>
                <w:szCs w:val="20"/>
                <w:color w:val="auto"/>
              </w:rPr>
            </w:pPr>
            <w:r>
              <w:rPr>
                <w:rFonts w:ascii="Arial" w:cs="Arial" w:eastAsia="Arial" w:hAnsi="Arial"/>
                <w:sz w:val="13"/>
                <w:szCs w:val="13"/>
                <w:b w:val="1"/>
                <w:bCs w:val="1"/>
                <w:color w:val="FFFFFF"/>
              </w:rPr>
              <w:t>units or</w:t>
            </w:r>
          </w:p>
        </w:tc>
        <w:tc>
          <w:tcPr>
            <w:tcW w:w="0" w:type="dxa"/>
            <w:vAlign w:val="bottom"/>
          </w:tcPr>
          <w:p>
            <w:pPr>
              <w:spacing w:after="0"/>
              <w:rPr>
                <w:sz w:val="1"/>
                <w:szCs w:val="1"/>
                <w:color w:val="auto"/>
              </w:rPr>
            </w:pPr>
          </w:p>
        </w:tc>
      </w:tr>
      <w:tr>
        <w:trPr>
          <w:trHeight w:val="135"/>
        </w:trPr>
        <w:tc>
          <w:tcPr>
            <w:tcW w:w="92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80" w:type="dxa"/>
            <w:vAlign w:val="bottom"/>
            <w:tcBorders>
              <w:right w:val="single" w:sz="8" w:color="auto"/>
            </w:tcBorders>
            <w:shd w:val="clear" w:color="auto" w:fill="000000"/>
          </w:tcPr>
          <w:p>
            <w:pPr>
              <w:spacing w:after="0"/>
              <w:rPr>
                <w:sz w:val="11"/>
                <w:szCs w:val="11"/>
                <w:color w:val="auto"/>
              </w:rPr>
            </w:pPr>
          </w:p>
        </w:tc>
        <w:tc>
          <w:tcPr>
            <w:tcW w:w="78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w w:val="94"/>
              </w:rPr>
              <w:t>unexercised</w:t>
            </w:r>
          </w:p>
        </w:tc>
        <w:tc>
          <w:tcPr>
            <w:tcW w:w="94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unexercised</w:t>
            </w:r>
          </w:p>
        </w:tc>
        <w:tc>
          <w:tcPr>
            <w:tcW w:w="82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unexercised</w:t>
            </w:r>
          </w:p>
        </w:tc>
        <w:tc>
          <w:tcPr>
            <w:tcW w:w="580" w:type="dxa"/>
            <w:vAlign w:val="bottom"/>
            <w:vMerge w:val="continue"/>
            <w:shd w:val="clear" w:color="auto" w:fill="000000"/>
          </w:tcPr>
          <w:p>
            <w:pPr>
              <w:spacing w:after="0"/>
              <w:rPr>
                <w:sz w:val="11"/>
                <w:szCs w:val="11"/>
                <w:color w:val="auto"/>
              </w:rPr>
            </w:pPr>
          </w:p>
        </w:tc>
        <w:tc>
          <w:tcPr>
            <w:tcW w:w="700" w:type="dxa"/>
            <w:vAlign w:val="bottom"/>
            <w:vMerge w:val="restart"/>
            <w:shd w:val="clear" w:color="auto" w:fill="000000"/>
          </w:tcPr>
          <w:p>
            <w:pPr>
              <w:jc w:val="right"/>
              <w:ind w:right="17"/>
              <w:spacing w:after="0"/>
              <w:rPr>
                <w:sz w:val="20"/>
                <w:szCs w:val="20"/>
                <w:color w:val="auto"/>
              </w:rPr>
            </w:pPr>
            <w:r>
              <w:rPr>
                <w:rFonts w:ascii="Arial" w:cs="Arial" w:eastAsia="Arial" w:hAnsi="Arial"/>
                <w:sz w:val="13"/>
                <w:szCs w:val="13"/>
                <w:b w:val="1"/>
                <w:bCs w:val="1"/>
                <w:color w:val="FFFFFF"/>
              </w:rPr>
              <w:t>Option</w:t>
            </w:r>
          </w:p>
        </w:tc>
        <w:tc>
          <w:tcPr>
            <w:tcW w:w="40" w:type="dxa"/>
            <w:vAlign w:val="bottom"/>
            <w:shd w:val="clear" w:color="auto" w:fill="000000"/>
          </w:tcPr>
          <w:p>
            <w:pPr>
              <w:spacing w:after="0"/>
              <w:rPr>
                <w:sz w:val="11"/>
                <w:szCs w:val="11"/>
                <w:color w:val="auto"/>
              </w:rPr>
            </w:pPr>
          </w:p>
        </w:tc>
        <w:tc>
          <w:tcPr>
            <w:tcW w:w="66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that</w:t>
            </w:r>
          </w:p>
        </w:tc>
        <w:tc>
          <w:tcPr>
            <w:tcW w:w="720" w:type="dxa"/>
            <w:vAlign w:val="bottom"/>
            <w:shd w:val="clear" w:color="auto" w:fill="000000"/>
          </w:tcPr>
          <w:p>
            <w:pPr>
              <w:jc w:val="right"/>
              <w:ind w:right="16"/>
              <w:spacing w:after="0" w:line="135" w:lineRule="exact"/>
              <w:rPr>
                <w:sz w:val="20"/>
                <w:szCs w:val="20"/>
                <w:color w:val="auto"/>
              </w:rPr>
            </w:pPr>
            <w:r>
              <w:rPr>
                <w:rFonts w:ascii="Arial" w:cs="Arial" w:eastAsia="Arial" w:hAnsi="Arial"/>
                <w:sz w:val="13"/>
                <w:szCs w:val="13"/>
                <w:b w:val="1"/>
                <w:bCs w:val="1"/>
                <w:color w:val="FFFFFF"/>
              </w:rPr>
              <w:t>stock that</w:t>
            </w:r>
          </w:p>
        </w:tc>
        <w:tc>
          <w:tcPr>
            <w:tcW w:w="88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rights that</w:t>
            </w:r>
          </w:p>
        </w:tc>
        <w:tc>
          <w:tcPr>
            <w:tcW w:w="960" w:type="dxa"/>
            <w:vAlign w:val="bottom"/>
            <w:shd w:val="clear" w:color="auto" w:fill="000000"/>
          </w:tcPr>
          <w:p>
            <w:pPr>
              <w:jc w:val="right"/>
              <w:ind w:right="77"/>
              <w:spacing w:after="0" w:line="135" w:lineRule="exact"/>
              <w:rPr>
                <w:sz w:val="20"/>
                <w:szCs w:val="20"/>
                <w:color w:val="auto"/>
              </w:rPr>
            </w:pPr>
            <w:r>
              <w:rPr>
                <w:rFonts w:ascii="Arial" w:cs="Arial" w:eastAsia="Arial" w:hAnsi="Arial"/>
                <w:sz w:val="13"/>
                <w:szCs w:val="13"/>
                <w:b w:val="1"/>
                <w:bCs w:val="1"/>
                <w:color w:val="FFFFFF"/>
              </w:rPr>
              <w:t>other rights</w:t>
            </w:r>
          </w:p>
        </w:tc>
        <w:tc>
          <w:tcPr>
            <w:tcW w:w="0" w:type="dxa"/>
            <w:vAlign w:val="bottom"/>
          </w:tcPr>
          <w:p>
            <w:pPr>
              <w:spacing w:after="0"/>
              <w:rPr>
                <w:sz w:val="1"/>
                <w:szCs w:val="1"/>
                <w:color w:val="auto"/>
              </w:rPr>
            </w:pPr>
          </w:p>
        </w:tc>
      </w:tr>
      <w:tr>
        <w:trPr>
          <w:trHeight w:val="135"/>
        </w:trPr>
        <w:tc>
          <w:tcPr>
            <w:tcW w:w="92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80" w:type="dxa"/>
            <w:vAlign w:val="bottom"/>
            <w:tcBorders>
              <w:right w:val="single" w:sz="8" w:color="auto"/>
            </w:tcBorders>
            <w:vMerge w:val="restart"/>
            <w:shd w:val="clear" w:color="auto" w:fill="000000"/>
          </w:tcPr>
          <w:p>
            <w:pPr>
              <w:jc w:val="right"/>
              <w:ind w:right="25"/>
              <w:spacing w:after="0"/>
              <w:rPr>
                <w:sz w:val="20"/>
                <w:szCs w:val="20"/>
                <w:color w:val="auto"/>
              </w:rPr>
            </w:pPr>
            <w:r>
              <w:rPr>
                <w:rFonts w:ascii="Arial" w:cs="Arial" w:eastAsia="Arial" w:hAnsi="Arial"/>
                <w:sz w:val="13"/>
                <w:szCs w:val="13"/>
                <w:b w:val="1"/>
                <w:bCs w:val="1"/>
                <w:color w:val="FFFFFF"/>
              </w:rPr>
              <w:t>Vesting</w:t>
            </w:r>
          </w:p>
        </w:tc>
        <w:tc>
          <w:tcPr>
            <w:tcW w:w="78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options</w:t>
            </w:r>
          </w:p>
        </w:tc>
        <w:tc>
          <w:tcPr>
            <w:tcW w:w="94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options</w:t>
            </w:r>
          </w:p>
        </w:tc>
        <w:tc>
          <w:tcPr>
            <w:tcW w:w="82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unearned</w:t>
            </w:r>
          </w:p>
        </w:tc>
        <w:tc>
          <w:tcPr>
            <w:tcW w:w="58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w w:val="99"/>
              </w:rPr>
              <w:t>exercise</w:t>
            </w:r>
          </w:p>
        </w:tc>
        <w:tc>
          <w:tcPr>
            <w:tcW w:w="700" w:type="dxa"/>
            <w:vAlign w:val="bottom"/>
            <w:vMerge w:val="continue"/>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6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have not</w:t>
            </w:r>
          </w:p>
        </w:tc>
        <w:tc>
          <w:tcPr>
            <w:tcW w:w="720" w:type="dxa"/>
            <w:vAlign w:val="bottom"/>
            <w:shd w:val="clear" w:color="auto" w:fill="000000"/>
          </w:tcPr>
          <w:p>
            <w:pPr>
              <w:jc w:val="right"/>
              <w:ind w:right="16"/>
              <w:spacing w:after="0" w:line="135" w:lineRule="exact"/>
              <w:rPr>
                <w:sz w:val="20"/>
                <w:szCs w:val="20"/>
                <w:color w:val="auto"/>
              </w:rPr>
            </w:pPr>
            <w:r>
              <w:rPr>
                <w:rFonts w:ascii="Arial" w:cs="Arial" w:eastAsia="Arial" w:hAnsi="Arial"/>
                <w:sz w:val="13"/>
                <w:szCs w:val="13"/>
                <w:b w:val="1"/>
                <w:bCs w:val="1"/>
                <w:color w:val="FFFFFF"/>
              </w:rPr>
              <w:t>have not</w:t>
            </w:r>
          </w:p>
        </w:tc>
        <w:tc>
          <w:tcPr>
            <w:tcW w:w="88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have not</w:t>
            </w:r>
          </w:p>
        </w:tc>
        <w:tc>
          <w:tcPr>
            <w:tcW w:w="960" w:type="dxa"/>
            <w:vAlign w:val="bottom"/>
            <w:shd w:val="clear" w:color="auto" w:fill="000000"/>
          </w:tcPr>
          <w:p>
            <w:pPr>
              <w:jc w:val="right"/>
              <w:ind w:right="77"/>
              <w:spacing w:after="0" w:line="135" w:lineRule="exact"/>
              <w:rPr>
                <w:sz w:val="20"/>
                <w:szCs w:val="20"/>
                <w:color w:val="auto"/>
              </w:rPr>
            </w:pPr>
            <w:r>
              <w:rPr>
                <w:rFonts w:ascii="Arial" w:cs="Arial" w:eastAsia="Arial" w:hAnsi="Arial"/>
                <w:sz w:val="13"/>
                <w:szCs w:val="13"/>
                <w:b w:val="1"/>
                <w:bCs w:val="1"/>
                <w:color w:val="FFFFFF"/>
              </w:rPr>
              <w:t>that have</w:t>
            </w:r>
          </w:p>
        </w:tc>
        <w:tc>
          <w:tcPr>
            <w:tcW w:w="0" w:type="dxa"/>
            <w:vAlign w:val="bottom"/>
          </w:tcPr>
          <w:p>
            <w:pPr>
              <w:spacing w:after="0"/>
              <w:rPr>
                <w:sz w:val="1"/>
                <w:szCs w:val="1"/>
                <w:color w:val="auto"/>
              </w:rPr>
            </w:pPr>
          </w:p>
        </w:tc>
      </w:tr>
      <w:tr>
        <w:trPr>
          <w:trHeight w:val="135"/>
        </w:trPr>
        <w:tc>
          <w:tcPr>
            <w:tcW w:w="920" w:type="dxa"/>
            <w:vAlign w:val="bottom"/>
            <w:vMerge w:val="restart"/>
            <w:shd w:val="clear" w:color="auto" w:fill="000000"/>
          </w:tcPr>
          <w:p>
            <w:pPr>
              <w:ind w:left="160"/>
              <w:spacing w:after="0"/>
              <w:rPr>
                <w:sz w:val="20"/>
                <w:szCs w:val="20"/>
                <w:color w:val="auto"/>
              </w:rPr>
            </w:pPr>
            <w:r>
              <w:rPr>
                <w:rFonts w:ascii="Arial" w:cs="Arial" w:eastAsia="Arial" w:hAnsi="Arial"/>
                <w:sz w:val="13"/>
                <w:szCs w:val="13"/>
                <w:b w:val="1"/>
                <w:bCs w:val="1"/>
                <w:color w:val="FFFFFF"/>
              </w:rPr>
              <w:t>Name</w:t>
            </w:r>
          </w:p>
        </w:tc>
        <w:tc>
          <w:tcPr>
            <w:tcW w:w="820" w:type="dxa"/>
            <w:vAlign w:val="bottom"/>
            <w:vMerge w:val="restart"/>
            <w:shd w:val="clear" w:color="auto" w:fill="000000"/>
          </w:tcPr>
          <w:p>
            <w:pPr>
              <w:ind w:left="120"/>
              <w:spacing w:after="0"/>
              <w:rPr>
                <w:sz w:val="20"/>
                <w:szCs w:val="20"/>
                <w:color w:val="auto"/>
              </w:rPr>
            </w:pPr>
            <w:r>
              <w:rPr>
                <w:rFonts w:ascii="Arial" w:cs="Arial" w:eastAsia="Arial" w:hAnsi="Arial"/>
                <w:sz w:val="13"/>
                <w:szCs w:val="13"/>
                <w:b w:val="1"/>
                <w:bCs w:val="1"/>
                <w:color w:val="FFFFFF"/>
              </w:rPr>
              <w:t>Grant Date</w:t>
            </w:r>
          </w:p>
        </w:tc>
        <w:tc>
          <w:tcPr>
            <w:tcW w:w="580" w:type="dxa"/>
            <w:vAlign w:val="bottom"/>
            <w:tcBorders>
              <w:right w:val="single" w:sz="8" w:color="auto"/>
            </w:tcBorders>
            <w:vMerge w:val="continue"/>
            <w:shd w:val="clear" w:color="auto" w:fill="000000"/>
          </w:tcPr>
          <w:p>
            <w:pPr>
              <w:spacing w:after="0"/>
              <w:rPr>
                <w:sz w:val="11"/>
                <w:szCs w:val="11"/>
                <w:color w:val="auto"/>
              </w:rPr>
            </w:pPr>
          </w:p>
        </w:tc>
        <w:tc>
          <w:tcPr>
            <w:tcW w:w="78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options</w:t>
            </w:r>
          </w:p>
        </w:tc>
        <w:tc>
          <w:tcPr>
            <w:tcW w:w="58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price</w:t>
            </w:r>
          </w:p>
        </w:tc>
        <w:tc>
          <w:tcPr>
            <w:tcW w:w="70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expiration</w:t>
            </w:r>
          </w:p>
        </w:tc>
        <w:tc>
          <w:tcPr>
            <w:tcW w:w="40" w:type="dxa"/>
            <w:vAlign w:val="bottom"/>
            <w:shd w:val="clear" w:color="auto" w:fill="000000"/>
          </w:tcPr>
          <w:p>
            <w:pPr>
              <w:spacing w:after="0"/>
              <w:rPr>
                <w:sz w:val="11"/>
                <w:szCs w:val="11"/>
                <w:color w:val="auto"/>
              </w:rPr>
            </w:pPr>
          </w:p>
        </w:tc>
        <w:tc>
          <w:tcPr>
            <w:tcW w:w="66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vested</w:t>
            </w:r>
          </w:p>
        </w:tc>
        <w:tc>
          <w:tcPr>
            <w:tcW w:w="720" w:type="dxa"/>
            <w:vAlign w:val="bottom"/>
            <w:shd w:val="clear" w:color="auto" w:fill="000000"/>
          </w:tcPr>
          <w:p>
            <w:pPr>
              <w:jc w:val="right"/>
              <w:ind w:right="16"/>
              <w:spacing w:after="0" w:line="135" w:lineRule="exact"/>
              <w:rPr>
                <w:sz w:val="20"/>
                <w:szCs w:val="20"/>
                <w:color w:val="auto"/>
              </w:rPr>
            </w:pPr>
            <w:r>
              <w:rPr>
                <w:rFonts w:ascii="Arial" w:cs="Arial" w:eastAsia="Arial" w:hAnsi="Arial"/>
                <w:sz w:val="13"/>
                <w:szCs w:val="13"/>
                <w:b w:val="1"/>
                <w:bCs w:val="1"/>
                <w:color w:val="FFFFFF"/>
              </w:rPr>
              <w:t>vested</w:t>
            </w:r>
          </w:p>
        </w:tc>
        <w:tc>
          <w:tcPr>
            <w:tcW w:w="880" w:type="dxa"/>
            <w:vAlign w:val="bottom"/>
            <w:shd w:val="clear" w:color="auto" w:fill="000000"/>
          </w:tcPr>
          <w:p>
            <w:pPr>
              <w:jc w:val="right"/>
              <w:ind w:right="17"/>
              <w:spacing w:after="0" w:line="135" w:lineRule="exact"/>
              <w:rPr>
                <w:sz w:val="20"/>
                <w:szCs w:val="20"/>
                <w:color w:val="auto"/>
              </w:rPr>
            </w:pPr>
            <w:r>
              <w:rPr>
                <w:rFonts w:ascii="Arial" w:cs="Arial" w:eastAsia="Arial" w:hAnsi="Arial"/>
                <w:sz w:val="13"/>
                <w:szCs w:val="13"/>
                <w:b w:val="1"/>
                <w:bCs w:val="1"/>
                <w:color w:val="FFFFFF"/>
              </w:rPr>
              <w:t>vested</w:t>
            </w:r>
          </w:p>
        </w:tc>
        <w:tc>
          <w:tcPr>
            <w:tcW w:w="960" w:type="dxa"/>
            <w:vAlign w:val="bottom"/>
            <w:shd w:val="clear" w:color="auto" w:fill="000000"/>
          </w:tcPr>
          <w:p>
            <w:pPr>
              <w:jc w:val="right"/>
              <w:ind w:right="77"/>
              <w:spacing w:after="0" w:line="135" w:lineRule="exact"/>
              <w:rPr>
                <w:sz w:val="20"/>
                <w:szCs w:val="20"/>
                <w:color w:val="auto"/>
              </w:rPr>
            </w:pPr>
            <w:r>
              <w:rPr>
                <w:rFonts w:ascii="Arial" w:cs="Arial" w:eastAsia="Arial" w:hAnsi="Arial"/>
                <w:sz w:val="13"/>
                <w:szCs w:val="13"/>
                <w:b w:val="1"/>
                <w:bCs w:val="1"/>
                <w:color w:val="FFFFFF"/>
              </w:rPr>
              <w:t>not vested</w:t>
            </w:r>
          </w:p>
        </w:tc>
        <w:tc>
          <w:tcPr>
            <w:tcW w:w="0" w:type="dxa"/>
            <w:vAlign w:val="bottom"/>
          </w:tcPr>
          <w:p>
            <w:pPr>
              <w:spacing w:after="0"/>
              <w:rPr>
                <w:sz w:val="1"/>
                <w:szCs w:val="1"/>
                <w:color w:val="auto"/>
              </w:rPr>
            </w:pPr>
          </w:p>
        </w:tc>
      </w:tr>
      <w:tr>
        <w:trPr>
          <w:trHeight w:val="243"/>
        </w:trPr>
        <w:tc>
          <w:tcPr>
            <w:tcW w:w="920" w:type="dxa"/>
            <w:vAlign w:val="bottom"/>
            <w:vMerge w:val="continue"/>
            <w:shd w:val="clear" w:color="auto" w:fill="000000"/>
          </w:tcPr>
          <w:p>
            <w:pPr>
              <w:spacing w:after="0"/>
              <w:rPr>
                <w:sz w:val="21"/>
                <w:szCs w:val="21"/>
                <w:color w:val="auto"/>
              </w:rPr>
            </w:pPr>
          </w:p>
        </w:tc>
        <w:tc>
          <w:tcPr>
            <w:tcW w:w="820" w:type="dxa"/>
            <w:vAlign w:val="bottom"/>
            <w:vMerge w:val="continue"/>
            <w:shd w:val="clear" w:color="auto" w:fill="000000"/>
          </w:tcPr>
          <w:p>
            <w:pPr>
              <w:spacing w:after="0"/>
              <w:rPr>
                <w:sz w:val="21"/>
                <w:szCs w:val="21"/>
                <w:color w:val="auto"/>
              </w:rPr>
            </w:pPr>
          </w:p>
        </w:tc>
        <w:tc>
          <w:tcPr>
            <w:tcW w:w="580" w:type="dxa"/>
            <w:vAlign w:val="bottom"/>
            <w:tcBorders>
              <w:right w:val="single" w:sz="8" w:color="auto"/>
            </w:tcBorders>
            <w:shd w:val="clear" w:color="auto" w:fill="000000"/>
          </w:tcPr>
          <w:p>
            <w:pPr>
              <w:jc w:val="right"/>
              <w:ind w:right="25"/>
              <w:spacing w:after="0"/>
              <w:rPr>
                <w:sz w:val="20"/>
                <w:szCs w:val="20"/>
                <w:color w:val="auto"/>
              </w:rPr>
            </w:pPr>
            <w:r>
              <w:rPr>
                <w:rFonts w:ascii="Arial" w:cs="Arial" w:eastAsia="Arial" w:hAnsi="Arial"/>
                <w:sz w:val="13"/>
                <w:szCs w:val="13"/>
                <w:b w:val="1"/>
                <w:bCs w:val="1"/>
                <w:color w:val="FFFFFF"/>
              </w:rPr>
              <w:t>Date</w:t>
            </w:r>
          </w:p>
        </w:tc>
        <w:tc>
          <w:tcPr>
            <w:tcW w:w="7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exercisable</w:t>
            </w:r>
          </w:p>
        </w:tc>
        <w:tc>
          <w:tcPr>
            <w:tcW w:w="9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w w:val="99"/>
              </w:rPr>
              <w:t>unexercisable</w:t>
            </w:r>
          </w:p>
        </w:tc>
        <w:tc>
          <w:tcPr>
            <w:tcW w:w="8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w:t>
            </w:r>
          </w:p>
        </w:tc>
        <w:tc>
          <w:tcPr>
            <w:tcW w:w="5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date</w:t>
            </w:r>
          </w:p>
        </w:tc>
        <w:tc>
          <w:tcPr>
            <w:tcW w:w="700" w:type="dxa"/>
            <w:vAlign w:val="bottom"/>
            <w:gridSpan w:val="2"/>
            <w:shd w:val="clear" w:color="auto" w:fill="000000"/>
          </w:tcPr>
          <w:p>
            <w:pPr>
              <w:jc w:val="right"/>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8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000000"/>
          </w:tcPr>
          <w:p>
            <w:pPr>
              <w:jc w:val="right"/>
              <w:ind w:right="3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0" w:type="dxa"/>
            <w:vAlign w:val="bottom"/>
          </w:tcPr>
          <w:p>
            <w:pPr>
              <w:spacing w:after="0"/>
              <w:rPr>
                <w:sz w:val="1"/>
                <w:szCs w:val="1"/>
                <w:color w:val="auto"/>
              </w:rPr>
            </w:pPr>
          </w:p>
        </w:tc>
      </w:tr>
      <w:tr>
        <w:trPr>
          <w:trHeight w:val="167"/>
        </w:trPr>
        <w:tc>
          <w:tcPr>
            <w:tcW w:w="920" w:type="dxa"/>
            <w:vAlign w:val="bottom"/>
            <w:vMerge w:val="restart"/>
          </w:tcPr>
          <w:p>
            <w:pPr>
              <w:ind w:left="160"/>
              <w:spacing w:after="0"/>
              <w:rPr>
                <w:sz w:val="20"/>
                <w:szCs w:val="20"/>
                <w:color w:val="auto"/>
              </w:rPr>
            </w:pPr>
            <w:r>
              <w:rPr>
                <w:rFonts w:ascii="Arial" w:cs="Arial" w:eastAsia="Arial" w:hAnsi="Arial"/>
                <w:sz w:val="13"/>
                <w:szCs w:val="13"/>
                <w:b w:val="1"/>
                <w:bCs w:val="1"/>
                <w:color w:val="40C0C0"/>
              </w:rPr>
              <w:t>Douglas</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auto"/>
              </w:rPr>
              <w:t>11/7/2024</w:t>
            </w:r>
          </w:p>
        </w:tc>
        <w:tc>
          <w:tcPr>
            <w:tcW w:w="580" w:type="dxa"/>
            <w:vAlign w:val="bottom"/>
          </w:tcPr>
          <w:p>
            <w:pPr>
              <w:jc w:val="right"/>
              <w:ind w:right="45"/>
              <w:spacing w:after="0"/>
              <w:rPr>
                <w:sz w:val="20"/>
                <w:szCs w:val="20"/>
                <w:color w:val="auto"/>
              </w:rPr>
            </w:pPr>
            <w:r>
              <w:rPr>
                <w:rFonts w:ascii="Arial" w:cs="Arial" w:eastAsia="Arial" w:hAnsi="Arial"/>
                <w:sz w:val="10"/>
                <w:szCs w:val="10"/>
                <w:color w:val="auto"/>
              </w:rPr>
              <w:t>(2)</w:t>
            </w:r>
          </w:p>
        </w:tc>
        <w:tc>
          <w:tcPr>
            <w:tcW w:w="780" w:type="dxa"/>
            <w:vAlign w:val="bottom"/>
          </w:tcPr>
          <w:p>
            <w:pPr>
              <w:spacing w:after="0"/>
              <w:rPr>
                <w:sz w:val="14"/>
                <w:szCs w:val="14"/>
                <w:color w:val="auto"/>
              </w:rPr>
            </w:pPr>
          </w:p>
        </w:tc>
        <w:tc>
          <w:tcPr>
            <w:tcW w:w="94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4,342,391</w:t>
            </w: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color w:val="auto"/>
              </w:rPr>
              <w:t>5,992,500</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9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920" w:type="dxa"/>
            <w:vAlign w:val="bottom"/>
            <w:vMerge w:val="continue"/>
          </w:tcPr>
          <w:p>
            <w:pPr>
              <w:spacing w:after="0"/>
              <w:rPr>
                <w:sz w:val="5"/>
                <w:szCs w:val="5"/>
                <w:color w:val="auto"/>
              </w:rPr>
            </w:pPr>
          </w:p>
        </w:tc>
        <w:tc>
          <w:tcPr>
            <w:tcW w:w="820" w:type="dxa"/>
            <w:vAlign w:val="bottom"/>
            <w:tcBorders>
              <w:bottom w:val="single" w:sz="8" w:color="999999"/>
            </w:tcBorders>
          </w:tcPr>
          <w:p>
            <w:pPr>
              <w:spacing w:after="0"/>
              <w:rPr>
                <w:sz w:val="5"/>
                <w:szCs w:val="5"/>
                <w:color w:val="auto"/>
              </w:rPr>
            </w:pPr>
          </w:p>
        </w:tc>
        <w:tc>
          <w:tcPr>
            <w:tcW w:w="58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40" w:type="dxa"/>
            <w:vAlign w:val="bottom"/>
            <w:tcBorders>
              <w:bottom w:val="single" w:sz="8" w:color="999999"/>
            </w:tcBorders>
          </w:tcPr>
          <w:p>
            <w:pPr>
              <w:spacing w:after="0"/>
              <w:rPr>
                <w:sz w:val="5"/>
                <w:szCs w:val="5"/>
                <w:color w:val="auto"/>
              </w:rPr>
            </w:pPr>
          </w:p>
        </w:tc>
        <w:tc>
          <w:tcPr>
            <w:tcW w:w="820" w:type="dxa"/>
            <w:vAlign w:val="bottom"/>
            <w:tcBorders>
              <w:bottom w:val="single" w:sz="8" w:color="999999"/>
            </w:tcBorders>
          </w:tcPr>
          <w:p>
            <w:pPr>
              <w:spacing w:after="0"/>
              <w:rPr>
                <w:sz w:val="5"/>
                <w:szCs w:val="5"/>
                <w:color w:val="auto"/>
              </w:rPr>
            </w:pPr>
          </w:p>
        </w:tc>
        <w:tc>
          <w:tcPr>
            <w:tcW w:w="580" w:type="dxa"/>
            <w:vAlign w:val="bottom"/>
            <w:tcBorders>
              <w:bottom w:val="single" w:sz="8" w:color="999999"/>
            </w:tcBorders>
          </w:tcPr>
          <w:p>
            <w:pPr>
              <w:spacing w:after="0"/>
              <w:rPr>
                <w:sz w:val="5"/>
                <w:szCs w:val="5"/>
                <w:color w:val="auto"/>
              </w:rPr>
            </w:pPr>
          </w:p>
        </w:tc>
        <w:tc>
          <w:tcPr>
            <w:tcW w:w="700" w:type="dxa"/>
            <w:vAlign w:val="bottom"/>
            <w:tcBorders>
              <w:bottom w:val="single" w:sz="8" w:color="999999"/>
            </w:tcBorders>
          </w:tcPr>
          <w:p>
            <w:pPr>
              <w:spacing w:after="0"/>
              <w:rPr>
                <w:sz w:val="5"/>
                <w:szCs w:val="5"/>
                <w:color w:val="auto"/>
              </w:rPr>
            </w:pPr>
          </w:p>
        </w:tc>
        <w:tc>
          <w:tcPr>
            <w:tcW w:w="40" w:type="dxa"/>
            <w:vAlign w:val="bottom"/>
            <w:tcBorders>
              <w:bottom w:val="single" w:sz="8" w:color="999999"/>
            </w:tcBorders>
          </w:tcPr>
          <w:p>
            <w:pPr>
              <w:spacing w:after="0"/>
              <w:rPr>
                <w:sz w:val="5"/>
                <w:szCs w:val="5"/>
                <w:color w:val="auto"/>
              </w:rPr>
            </w:pPr>
          </w:p>
        </w:tc>
        <w:tc>
          <w:tcPr>
            <w:tcW w:w="660" w:type="dxa"/>
            <w:vAlign w:val="bottom"/>
            <w:tcBorders>
              <w:bottom w:val="single" w:sz="8" w:color="999999"/>
            </w:tcBorders>
          </w:tcPr>
          <w:p>
            <w:pPr>
              <w:spacing w:after="0"/>
              <w:rPr>
                <w:sz w:val="5"/>
                <w:szCs w:val="5"/>
                <w:color w:val="auto"/>
              </w:rPr>
            </w:pPr>
          </w:p>
        </w:tc>
        <w:tc>
          <w:tcPr>
            <w:tcW w:w="720" w:type="dxa"/>
            <w:vAlign w:val="bottom"/>
            <w:tcBorders>
              <w:bottom w:val="single" w:sz="8" w:color="999999"/>
            </w:tcBorders>
          </w:tcPr>
          <w:p>
            <w:pPr>
              <w:spacing w:after="0"/>
              <w:rPr>
                <w:sz w:val="5"/>
                <w:szCs w:val="5"/>
                <w:color w:val="auto"/>
              </w:rPr>
            </w:pPr>
          </w:p>
        </w:tc>
        <w:tc>
          <w:tcPr>
            <w:tcW w:w="8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920" w:type="dxa"/>
            <w:vAlign w:val="bottom"/>
          </w:tcPr>
          <w:p>
            <w:pPr>
              <w:ind w:left="160"/>
              <w:spacing w:after="0"/>
              <w:rPr>
                <w:sz w:val="20"/>
                <w:szCs w:val="20"/>
                <w:color w:val="auto"/>
              </w:rPr>
            </w:pPr>
            <w:r>
              <w:rPr>
                <w:rFonts w:ascii="Arial" w:cs="Arial" w:eastAsia="Arial" w:hAnsi="Arial"/>
                <w:sz w:val="13"/>
                <w:szCs w:val="13"/>
                <w:b w:val="1"/>
                <w:bCs w:val="1"/>
                <w:color w:val="40C0C0"/>
              </w:rPr>
              <w:t>Francis</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auto"/>
              </w:rPr>
              <w:t>11/7/2024</w:t>
            </w:r>
          </w:p>
        </w:tc>
        <w:tc>
          <w:tcPr>
            <w:tcW w:w="580" w:type="dxa"/>
            <w:vAlign w:val="bottom"/>
          </w:tcPr>
          <w:p>
            <w:pPr>
              <w:jc w:val="right"/>
              <w:ind w:right="45"/>
              <w:spacing w:after="0"/>
              <w:rPr>
                <w:sz w:val="20"/>
                <w:szCs w:val="20"/>
                <w:color w:val="auto"/>
              </w:rPr>
            </w:pPr>
            <w:r>
              <w:rPr>
                <w:rFonts w:ascii="Arial" w:cs="Arial" w:eastAsia="Arial" w:hAnsi="Arial"/>
                <w:sz w:val="10"/>
                <w:szCs w:val="10"/>
                <w:color w:val="auto"/>
              </w:rPr>
              <w:t>(3)</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vMerge w:val="restart"/>
          </w:tcPr>
          <w:p>
            <w:pPr>
              <w:jc w:val="right"/>
              <w:ind w:right="97"/>
              <w:spacing w:after="0"/>
              <w:rPr>
                <w:sz w:val="20"/>
                <w:szCs w:val="20"/>
                <w:color w:val="auto"/>
              </w:rPr>
            </w:pPr>
            <w:r>
              <w:rPr>
                <w:rFonts w:ascii="Arial" w:cs="Arial" w:eastAsia="Arial" w:hAnsi="Arial"/>
                <w:sz w:val="13"/>
                <w:szCs w:val="13"/>
                <w:color w:val="auto"/>
              </w:rPr>
              <w:t>4,342,391</w:t>
            </w:r>
          </w:p>
        </w:tc>
        <w:tc>
          <w:tcPr>
            <w:tcW w:w="960" w:type="dxa"/>
            <w:vAlign w:val="bottom"/>
            <w:vMerge w:val="restart"/>
          </w:tcPr>
          <w:p>
            <w:pPr>
              <w:jc w:val="right"/>
              <w:ind w:right="157"/>
              <w:spacing w:after="0"/>
              <w:rPr>
                <w:sz w:val="20"/>
                <w:szCs w:val="20"/>
                <w:color w:val="auto"/>
              </w:rPr>
            </w:pPr>
            <w:r>
              <w:rPr>
                <w:rFonts w:ascii="Arial" w:cs="Arial" w:eastAsia="Arial" w:hAnsi="Arial"/>
                <w:sz w:val="13"/>
                <w:szCs w:val="13"/>
                <w:color w:val="auto"/>
              </w:rPr>
              <w:t>5,992,500</w:t>
            </w:r>
          </w:p>
        </w:tc>
        <w:tc>
          <w:tcPr>
            <w:tcW w:w="0" w:type="dxa"/>
            <w:vAlign w:val="bottom"/>
          </w:tcPr>
          <w:p>
            <w:pPr>
              <w:spacing w:after="0"/>
              <w:rPr>
                <w:sz w:val="1"/>
                <w:szCs w:val="1"/>
                <w:color w:val="auto"/>
              </w:rPr>
            </w:pPr>
          </w:p>
        </w:tc>
      </w:tr>
      <w:tr>
        <w:trPr>
          <w:trHeight w:val="78"/>
        </w:trPr>
        <w:tc>
          <w:tcPr>
            <w:tcW w:w="9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9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3"/>
                <w:szCs w:val="13"/>
                <w:color w:val="auto"/>
              </w:rPr>
            </w:pPr>
          </w:p>
        </w:tc>
        <w:tc>
          <w:tcPr>
            <w:tcW w:w="820" w:type="dxa"/>
            <w:vAlign w:val="bottom"/>
            <w:vMerge w:val="restart"/>
          </w:tcPr>
          <w:p>
            <w:pPr>
              <w:ind w:left="100"/>
              <w:spacing w:after="0"/>
              <w:rPr>
                <w:sz w:val="20"/>
                <w:szCs w:val="20"/>
                <w:color w:val="auto"/>
              </w:rPr>
            </w:pPr>
            <w:r>
              <w:rPr>
                <w:rFonts w:ascii="Arial" w:cs="Arial" w:eastAsia="Arial" w:hAnsi="Arial"/>
                <w:sz w:val="13"/>
                <w:szCs w:val="13"/>
                <w:color w:val="auto"/>
              </w:rPr>
              <w:t>9/30/2023</w:t>
            </w:r>
          </w:p>
        </w:tc>
        <w:tc>
          <w:tcPr>
            <w:tcW w:w="580" w:type="dxa"/>
            <w:vAlign w:val="bottom"/>
          </w:tcPr>
          <w:p>
            <w:pPr>
              <w:jc w:val="right"/>
              <w:ind w:right="45"/>
              <w:spacing w:after="0"/>
              <w:rPr>
                <w:sz w:val="20"/>
                <w:szCs w:val="20"/>
                <w:color w:val="auto"/>
              </w:rPr>
            </w:pPr>
            <w:r>
              <w:rPr>
                <w:rFonts w:ascii="Arial" w:cs="Arial" w:eastAsia="Arial" w:hAnsi="Arial"/>
                <w:sz w:val="10"/>
                <w:szCs w:val="10"/>
                <w:color w:val="auto"/>
              </w:rPr>
              <w:t>(4)</w:t>
            </w: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382,358</w:t>
            </w: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color w:val="auto"/>
              </w:rPr>
              <w:t>527,654</w:t>
            </w: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9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920" w:type="dxa"/>
            <w:vAlign w:val="bottom"/>
            <w:vMerge w:val="restart"/>
          </w:tcPr>
          <w:p>
            <w:pPr>
              <w:ind w:left="160"/>
              <w:spacing w:after="0"/>
              <w:rPr>
                <w:sz w:val="20"/>
                <w:szCs w:val="20"/>
                <w:color w:val="auto"/>
              </w:rPr>
            </w:pPr>
            <w:r>
              <w:rPr>
                <w:rFonts w:ascii="Arial" w:cs="Arial" w:eastAsia="Arial" w:hAnsi="Arial"/>
                <w:sz w:val="13"/>
                <w:szCs w:val="13"/>
                <w:b w:val="1"/>
                <w:bCs w:val="1"/>
                <w:color w:val="40C0C0"/>
              </w:rPr>
              <w:t>Brian</w:t>
            </w:r>
          </w:p>
        </w:tc>
        <w:tc>
          <w:tcPr>
            <w:tcW w:w="820" w:type="dxa"/>
            <w:vAlign w:val="bottom"/>
            <w:tcBorders>
              <w:bottom w:val="single" w:sz="8" w:color="999999"/>
            </w:tcBorders>
          </w:tcPr>
          <w:p>
            <w:pPr>
              <w:spacing w:after="0"/>
              <w:rPr>
                <w:sz w:val="5"/>
                <w:szCs w:val="5"/>
                <w:color w:val="auto"/>
              </w:rPr>
            </w:pPr>
          </w:p>
        </w:tc>
        <w:tc>
          <w:tcPr>
            <w:tcW w:w="58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40" w:type="dxa"/>
            <w:vAlign w:val="bottom"/>
            <w:tcBorders>
              <w:bottom w:val="single" w:sz="8" w:color="999999"/>
            </w:tcBorders>
          </w:tcPr>
          <w:p>
            <w:pPr>
              <w:spacing w:after="0"/>
              <w:rPr>
                <w:sz w:val="5"/>
                <w:szCs w:val="5"/>
                <w:color w:val="auto"/>
              </w:rPr>
            </w:pPr>
          </w:p>
        </w:tc>
        <w:tc>
          <w:tcPr>
            <w:tcW w:w="820" w:type="dxa"/>
            <w:vAlign w:val="bottom"/>
            <w:tcBorders>
              <w:bottom w:val="single" w:sz="8" w:color="999999"/>
            </w:tcBorders>
          </w:tcPr>
          <w:p>
            <w:pPr>
              <w:spacing w:after="0"/>
              <w:rPr>
                <w:sz w:val="5"/>
                <w:szCs w:val="5"/>
                <w:color w:val="auto"/>
              </w:rPr>
            </w:pPr>
          </w:p>
        </w:tc>
        <w:tc>
          <w:tcPr>
            <w:tcW w:w="580" w:type="dxa"/>
            <w:vAlign w:val="bottom"/>
            <w:tcBorders>
              <w:bottom w:val="single" w:sz="8" w:color="999999"/>
            </w:tcBorders>
          </w:tcPr>
          <w:p>
            <w:pPr>
              <w:spacing w:after="0"/>
              <w:rPr>
                <w:sz w:val="5"/>
                <w:szCs w:val="5"/>
                <w:color w:val="auto"/>
              </w:rPr>
            </w:pPr>
          </w:p>
        </w:tc>
        <w:tc>
          <w:tcPr>
            <w:tcW w:w="700" w:type="dxa"/>
            <w:vAlign w:val="bottom"/>
            <w:tcBorders>
              <w:bottom w:val="single" w:sz="8" w:color="999999"/>
            </w:tcBorders>
          </w:tcPr>
          <w:p>
            <w:pPr>
              <w:spacing w:after="0"/>
              <w:rPr>
                <w:sz w:val="5"/>
                <w:szCs w:val="5"/>
                <w:color w:val="auto"/>
              </w:rPr>
            </w:pPr>
          </w:p>
        </w:tc>
        <w:tc>
          <w:tcPr>
            <w:tcW w:w="40" w:type="dxa"/>
            <w:vAlign w:val="bottom"/>
            <w:tcBorders>
              <w:bottom w:val="single" w:sz="8" w:color="999999"/>
            </w:tcBorders>
          </w:tcPr>
          <w:p>
            <w:pPr>
              <w:spacing w:after="0"/>
              <w:rPr>
                <w:sz w:val="5"/>
                <w:szCs w:val="5"/>
                <w:color w:val="auto"/>
              </w:rPr>
            </w:pPr>
          </w:p>
        </w:tc>
        <w:tc>
          <w:tcPr>
            <w:tcW w:w="660" w:type="dxa"/>
            <w:vAlign w:val="bottom"/>
            <w:tcBorders>
              <w:bottom w:val="single" w:sz="8" w:color="999999"/>
            </w:tcBorders>
          </w:tcPr>
          <w:p>
            <w:pPr>
              <w:spacing w:after="0"/>
              <w:rPr>
                <w:sz w:val="5"/>
                <w:szCs w:val="5"/>
                <w:color w:val="auto"/>
              </w:rPr>
            </w:pPr>
          </w:p>
        </w:tc>
        <w:tc>
          <w:tcPr>
            <w:tcW w:w="720" w:type="dxa"/>
            <w:vAlign w:val="bottom"/>
            <w:tcBorders>
              <w:bottom w:val="single" w:sz="8" w:color="999999"/>
            </w:tcBorders>
          </w:tcPr>
          <w:p>
            <w:pPr>
              <w:spacing w:after="0"/>
              <w:rPr>
                <w:sz w:val="5"/>
                <w:szCs w:val="5"/>
                <w:color w:val="auto"/>
              </w:rPr>
            </w:pPr>
          </w:p>
        </w:tc>
        <w:tc>
          <w:tcPr>
            <w:tcW w:w="8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920" w:type="dxa"/>
            <w:vAlign w:val="bottom"/>
            <w:vMerge w:val="continue"/>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3"/>
                <w:szCs w:val="13"/>
                <w:color w:val="auto"/>
              </w:rPr>
              <w:t>12/8/2020</w:t>
            </w:r>
          </w:p>
        </w:tc>
        <w:tc>
          <w:tcPr>
            <w:tcW w:w="580" w:type="dxa"/>
            <w:vAlign w:val="bottom"/>
          </w:tcPr>
          <w:p>
            <w:pPr>
              <w:spacing w:after="0"/>
              <w:rPr>
                <w:sz w:val="11"/>
                <w:szCs w:val="11"/>
                <w:color w:val="auto"/>
              </w:rPr>
            </w:pPr>
          </w:p>
        </w:tc>
        <w:tc>
          <w:tcPr>
            <w:tcW w:w="780" w:type="dxa"/>
            <w:vAlign w:val="bottom"/>
            <w:vMerge w:val="restart"/>
          </w:tcPr>
          <w:p>
            <w:pPr>
              <w:jc w:val="right"/>
              <w:ind w:right="55"/>
              <w:spacing w:after="0"/>
              <w:rPr>
                <w:sz w:val="20"/>
                <w:szCs w:val="20"/>
                <w:color w:val="auto"/>
              </w:rPr>
            </w:pPr>
            <w:r>
              <w:rPr>
                <w:rFonts w:ascii="Arial" w:cs="Arial" w:eastAsia="Arial" w:hAnsi="Arial"/>
                <w:sz w:val="13"/>
                <w:szCs w:val="13"/>
                <w:color w:val="auto"/>
              </w:rPr>
              <w:t>247,909</w:t>
            </w:r>
          </w:p>
        </w:tc>
        <w:tc>
          <w:tcPr>
            <w:tcW w:w="940" w:type="dxa"/>
            <w:vAlign w:val="bottom"/>
            <w:vMerge w:val="restart"/>
          </w:tcPr>
          <w:p>
            <w:pPr>
              <w:jc w:val="right"/>
              <w:ind w:right="75"/>
              <w:spacing w:after="0"/>
              <w:rPr>
                <w:sz w:val="20"/>
                <w:szCs w:val="20"/>
                <w:color w:val="auto"/>
              </w:rPr>
            </w:pPr>
            <w:r>
              <w:rPr>
                <w:rFonts w:ascii="Arial" w:cs="Arial" w:eastAsia="Arial" w:hAnsi="Arial"/>
                <w:sz w:val="13"/>
                <w:szCs w:val="13"/>
                <w:color w:val="auto"/>
              </w:rPr>
              <w:t>0</w:t>
            </w:r>
          </w:p>
        </w:tc>
        <w:tc>
          <w:tcPr>
            <w:tcW w:w="820" w:type="dxa"/>
            <w:vAlign w:val="bottom"/>
          </w:tcPr>
          <w:p>
            <w:pPr>
              <w:spacing w:after="0"/>
              <w:rPr>
                <w:sz w:val="11"/>
                <w:szCs w:val="11"/>
                <w:color w:val="auto"/>
              </w:rPr>
            </w:pPr>
          </w:p>
        </w:tc>
        <w:tc>
          <w:tcPr>
            <w:tcW w:w="580" w:type="dxa"/>
            <w:vAlign w:val="bottom"/>
            <w:vMerge w:val="restart"/>
          </w:tcPr>
          <w:p>
            <w:pPr>
              <w:jc w:val="right"/>
              <w:ind w:right="35"/>
              <w:spacing w:after="0"/>
              <w:rPr>
                <w:sz w:val="20"/>
                <w:szCs w:val="20"/>
                <w:color w:val="auto"/>
              </w:rPr>
            </w:pPr>
            <w:r>
              <w:rPr>
                <w:rFonts w:ascii="Arial" w:cs="Arial" w:eastAsia="Arial" w:hAnsi="Arial"/>
                <w:sz w:val="13"/>
                <w:szCs w:val="13"/>
                <w:color w:val="auto"/>
              </w:rPr>
              <w:t>10.00</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920" w:type="dxa"/>
            <w:vAlign w:val="bottom"/>
            <w:vMerge w:val="restart"/>
          </w:tcPr>
          <w:p>
            <w:pPr>
              <w:ind w:left="160"/>
              <w:spacing w:after="0"/>
              <w:rPr>
                <w:sz w:val="20"/>
                <w:szCs w:val="20"/>
                <w:color w:val="auto"/>
              </w:rPr>
            </w:pPr>
            <w:r>
              <w:rPr>
                <w:rFonts w:ascii="Arial" w:cs="Arial" w:eastAsia="Arial" w:hAnsi="Arial"/>
                <w:sz w:val="13"/>
                <w:szCs w:val="13"/>
                <w:b w:val="1"/>
                <w:bCs w:val="1"/>
                <w:color w:val="40C0C0"/>
              </w:rPr>
              <w:t>Camire</w:t>
            </w:r>
          </w:p>
        </w:tc>
        <w:tc>
          <w:tcPr>
            <w:tcW w:w="8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820" w:type="dxa"/>
            <w:vAlign w:val="bottom"/>
            <w:tcBorders>
              <w:bottom w:val="single" w:sz="8" w:color="999999"/>
            </w:tcBorders>
          </w:tcPr>
          <w:p>
            <w:pPr>
              <w:spacing w:after="0"/>
              <w:rPr>
                <w:sz w:val="5"/>
                <w:szCs w:val="5"/>
                <w:color w:val="auto"/>
              </w:rPr>
            </w:pPr>
          </w:p>
        </w:tc>
        <w:tc>
          <w:tcPr>
            <w:tcW w:w="58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40" w:type="dxa"/>
            <w:vAlign w:val="bottom"/>
            <w:tcBorders>
              <w:bottom w:val="single" w:sz="8" w:color="999999"/>
            </w:tcBorders>
          </w:tcPr>
          <w:p>
            <w:pPr>
              <w:spacing w:after="0"/>
              <w:rPr>
                <w:sz w:val="5"/>
                <w:szCs w:val="5"/>
                <w:color w:val="auto"/>
              </w:rPr>
            </w:pPr>
          </w:p>
        </w:tc>
        <w:tc>
          <w:tcPr>
            <w:tcW w:w="820" w:type="dxa"/>
            <w:vAlign w:val="bottom"/>
            <w:tcBorders>
              <w:bottom w:val="single" w:sz="8" w:color="999999"/>
            </w:tcBorders>
          </w:tcPr>
          <w:p>
            <w:pPr>
              <w:spacing w:after="0"/>
              <w:rPr>
                <w:sz w:val="5"/>
                <w:szCs w:val="5"/>
                <w:color w:val="auto"/>
              </w:rPr>
            </w:pPr>
          </w:p>
        </w:tc>
        <w:tc>
          <w:tcPr>
            <w:tcW w:w="580" w:type="dxa"/>
            <w:vAlign w:val="bottom"/>
            <w:tcBorders>
              <w:bottom w:val="single" w:sz="8" w:color="999999"/>
            </w:tcBorders>
          </w:tcPr>
          <w:p>
            <w:pPr>
              <w:spacing w:after="0"/>
              <w:rPr>
                <w:sz w:val="5"/>
                <w:szCs w:val="5"/>
                <w:color w:val="auto"/>
              </w:rPr>
            </w:pPr>
          </w:p>
        </w:tc>
        <w:tc>
          <w:tcPr>
            <w:tcW w:w="700" w:type="dxa"/>
            <w:vAlign w:val="bottom"/>
            <w:tcBorders>
              <w:bottom w:val="single" w:sz="8" w:color="999999"/>
            </w:tcBorders>
          </w:tcPr>
          <w:p>
            <w:pPr>
              <w:spacing w:after="0"/>
              <w:rPr>
                <w:sz w:val="5"/>
                <w:szCs w:val="5"/>
                <w:color w:val="auto"/>
              </w:rPr>
            </w:pPr>
          </w:p>
        </w:tc>
        <w:tc>
          <w:tcPr>
            <w:tcW w:w="40" w:type="dxa"/>
            <w:vAlign w:val="bottom"/>
            <w:tcBorders>
              <w:bottom w:val="single" w:sz="8" w:color="999999"/>
            </w:tcBorders>
          </w:tcPr>
          <w:p>
            <w:pPr>
              <w:spacing w:after="0"/>
              <w:rPr>
                <w:sz w:val="5"/>
                <w:szCs w:val="5"/>
                <w:color w:val="auto"/>
              </w:rPr>
            </w:pPr>
          </w:p>
        </w:tc>
        <w:tc>
          <w:tcPr>
            <w:tcW w:w="660" w:type="dxa"/>
            <w:vAlign w:val="bottom"/>
            <w:tcBorders>
              <w:bottom w:val="single" w:sz="8" w:color="999999"/>
            </w:tcBorders>
          </w:tcPr>
          <w:p>
            <w:pPr>
              <w:spacing w:after="0"/>
              <w:rPr>
                <w:sz w:val="5"/>
                <w:szCs w:val="5"/>
                <w:color w:val="auto"/>
              </w:rPr>
            </w:pPr>
          </w:p>
        </w:tc>
        <w:tc>
          <w:tcPr>
            <w:tcW w:w="720" w:type="dxa"/>
            <w:vAlign w:val="bottom"/>
            <w:tcBorders>
              <w:bottom w:val="single" w:sz="8" w:color="999999"/>
            </w:tcBorders>
          </w:tcPr>
          <w:p>
            <w:pPr>
              <w:spacing w:after="0"/>
              <w:rPr>
                <w:sz w:val="5"/>
                <w:szCs w:val="5"/>
                <w:color w:val="auto"/>
              </w:rPr>
            </w:pPr>
          </w:p>
        </w:tc>
        <w:tc>
          <w:tcPr>
            <w:tcW w:w="8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820" w:type="dxa"/>
            <w:vAlign w:val="bottom"/>
          </w:tcPr>
          <w:p>
            <w:pPr>
              <w:ind w:left="40"/>
              <w:spacing w:after="0"/>
              <w:rPr>
                <w:sz w:val="20"/>
                <w:szCs w:val="20"/>
                <w:color w:val="auto"/>
              </w:rPr>
            </w:pPr>
            <w:r>
              <w:rPr>
                <w:rFonts w:ascii="Arial" w:cs="Arial" w:eastAsia="Arial" w:hAnsi="Arial"/>
                <w:sz w:val="13"/>
                <w:szCs w:val="13"/>
                <w:color w:val="auto"/>
              </w:rPr>
              <w:t>11/12/2019</w:t>
            </w:r>
          </w:p>
        </w:tc>
        <w:tc>
          <w:tcPr>
            <w:tcW w:w="580" w:type="dxa"/>
            <w:vAlign w:val="bottom"/>
          </w:tcPr>
          <w:p>
            <w:pPr>
              <w:spacing w:after="0"/>
              <w:rPr>
                <w:sz w:val="19"/>
                <w:szCs w:val="19"/>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433,840</w:t>
            </w: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0</w:t>
            </w:r>
          </w:p>
        </w:tc>
        <w:tc>
          <w:tcPr>
            <w:tcW w:w="820" w:type="dxa"/>
            <w:vAlign w:val="bottom"/>
          </w:tcPr>
          <w:p>
            <w:pPr>
              <w:spacing w:after="0"/>
              <w:rPr>
                <w:sz w:val="19"/>
                <w:szCs w:val="19"/>
                <w:color w:val="auto"/>
              </w:rPr>
            </w:pPr>
          </w:p>
        </w:tc>
        <w:tc>
          <w:tcPr>
            <w:tcW w:w="580" w:type="dxa"/>
            <w:vAlign w:val="bottom"/>
          </w:tcPr>
          <w:p>
            <w:pPr>
              <w:jc w:val="right"/>
              <w:ind w:right="35"/>
              <w:spacing w:after="0"/>
              <w:rPr>
                <w:sz w:val="20"/>
                <w:szCs w:val="20"/>
                <w:color w:val="auto"/>
              </w:rPr>
            </w:pPr>
            <w:r>
              <w:rPr>
                <w:rFonts w:ascii="Arial" w:cs="Arial" w:eastAsia="Arial" w:hAnsi="Arial"/>
                <w:sz w:val="13"/>
                <w:szCs w:val="13"/>
                <w:color w:val="auto"/>
              </w:rPr>
              <w:t>8.03</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9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920" w:type="dxa"/>
            <w:vAlign w:val="bottom"/>
            <w:vMerge w:val="restart"/>
          </w:tcPr>
          <w:p>
            <w:pPr>
              <w:ind w:left="160"/>
              <w:spacing w:after="0"/>
              <w:rPr>
                <w:sz w:val="20"/>
                <w:szCs w:val="20"/>
                <w:color w:val="auto"/>
              </w:rPr>
            </w:pPr>
            <w:r>
              <w:rPr>
                <w:rFonts w:ascii="Arial" w:cs="Arial" w:eastAsia="Arial" w:hAnsi="Arial"/>
                <w:sz w:val="13"/>
                <w:szCs w:val="13"/>
                <w:b w:val="1"/>
                <w:bCs w:val="1"/>
                <w:color w:val="40C0C0"/>
              </w:rPr>
              <w:t>Duncan</w:t>
            </w:r>
          </w:p>
        </w:tc>
        <w:tc>
          <w:tcPr>
            <w:tcW w:w="820" w:type="dxa"/>
            <w:vAlign w:val="bottom"/>
          </w:tcPr>
          <w:p>
            <w:pPr>
              <w:ind w:left="100"/>
              <w:spacing w:after="0"/>
              <w:rPr>
                <w:sz w:val="20"/>
                <w:szCs w:val="20"/>
                <w:color w:val="auto"/>
              </w:rPr>
            </w:pPr>
            <w:r>
              <w:rPr>
                <w:rFonts w:ascii="Arial" w:cs="Arial" w:eastAsia="Arial" w:hAnsi="Arial"/>
                <w:sz w:val="13"/>
                <w:szCs w:val="13"/>
                <w:color w:val="auto"/>
              </w:rPr>
              <w:t>12/8/2020</w:t>
            </w:r>
          </w:p>
        </w:tc>
        <w:tc>
          <w:tcPr>
            <w:tcW w:w="580" w:type="dxa"/>
            <w:vAlign w:val="bottom"/>
          </w:tcPr>
          <w:p>
            <w:pPr>
              <w:spacing w:after="0"/>
              <w:rPr>
                <w:sz w:val="20"/>
                <w:szCs w:val="20"/>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61,977</w:t>
            </w: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0</w:t>
            </w:r>
          </w:p>
        </w:tc>
        <w:tc>
          <w:tcPr>
            <w:tcW w:w="820" w:type="dxa"/>
            <w:vAlign w:val="bottom"/>
          </w:tcPr>
          <w:p>
            <w:pPr>
              <w:spacing w:after="0"/>
              <w:rPr>
                <w:sz w:val="20"/>
                <w:szCs w:val="20"/>
                <w:color w:val="auto"/>
              </w:rPr>
            </w:pPr>
          </w:p>
        </w:tc>
        <w:tc>
          <w:tcPr>
            <w:tcW w:w="580" w:type="dxa"/>
            <w:vAlign w:val="bottom"/>
          </w:tcPr>
          <w:p>
            <w:pPr>
              <w:jc w:val="right"/>
              <w:ind w:right="35"/>
              <w:spacing w:after="0"/>
              <w:rPr>
                <w:sz w:val="20"/>
                <w:szCs w:val="20"/>
                <w:color w:val="auto"/>
              </w:rPr>
            </w:pPr>
            <w:r>
              <w:rPr>
                <w:rFonts w:ascii="Arial" w:cs="Arial" w:eastAsia="Arial" w:hAnsi="Arial"/>
                <w:sz w:val="13"/>
                <w:szCs w:val="13"/>
                <w:color w:val="auto"/>
              </w:rPr>
              <w:t>10.00</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920" w:type="dxa"/>
            <w:vAlign w:val="bottom"/>
            <w:vMerge w:val="continue"/>
          </w:tcPr>
          <w:p>
            <w:pPr>
              <w:spacing w:after="0"/>
              <w:rPr>
                <w:sz w:val="5"/>
                <w:szCs w:val="5"/>
                <w:color w:val="auto"/>
              </w:rPr>
            </w:pPr>
          </w:p>
        </w:tc>
        <w:tc>
          <w:tcPr>
            <w:tcW w:w="820" w:type="dxa"/>
            <w:vAlign w:val="bottom"/>
            <w:tcBorders>
              <w:bottom w:val="single" w:sz="8" w:color="999999"/>
            </w:tcBorders>
          </w:tcPr>
          <w:p>
            <w:pPr>
              <w:spacing w:after="0"/>
              <w:rPr>
                <w:sz w:val="5"/>
                <w:szCs w:val="5"/>
                <w:color w:val="auto"/>
              </w:rPr>
            </w:pPr>
          </w:p>
        </w:tc>
        <w:tc>
          <w:tcPr>
            <w:tcW w:w="580" w:type="dxa"/>
            <w:vAlign w:val="bottom"/>
            <w:tcBorders>
              <w:bottom w:val="single" w:sz="8" w:color="999999"/>
            </w:tcBorders>
          </w:tcPr>
          <w:p>
            <w:pPr>
              <w:spacing w:after="0"/>
              <w:rPr>
                <w:sz w:val="5"/>
                <w:szCs w:val="5"/>
                <w:color w:val="auto"/>
              </w:rPr>
            </w:pPr>
          </w:p>
        </w:tc>
        <w:tc>
          <w:tcPr>
            <w:tcW w:w="780" w:type="dxa"/>
            <w:vAlign w:val="bottom"/>
            <w:tcBorders>
              <w:bottom w:val="single" w:sz="8" w:color="999999"/>
            </w:tcBorders>
          </w:tcPr>
          <w:p>
            <w:pPr>
              <w:spacing w:after="0"/>
              <w:rPr>
                <w:sz w:val="5"/>
                <w:szCs w:val="5"/>
                <w:color w:val="auto"/>
              </w:rPr>
            </w:pPr>
          </w:p>
        </w:tc>
        <w:tc>
          <w:tcPr>
            <w:tcW w:w="940" w:type="dxa"/>
            <w:vAlign w:val="bottom"/>
            <w:tcBorders>
              <w:bottom w:val="single" w:sz="8" w:color="999999"/>
            </w:tcBorders>
          </w:tcPr>
          <w:p>
            <w:pPr>
              <w:spacing w:after="0"/>
              <w:rPr>
                <w:sz w:val="5"/>
                <w:szCs w:val="5"/>
                <w:color w:val="auto"/>
              </w:rPr>
            </w:pPr>
          </w:p>
        </w:tc>
        <w:tc>
          <w:tcPr>
            <w:tcW w:w="820" w:type="dxa"/>
            <w:vAlign w:val="bottom"/>
            <w:tcBorders>
              <w:bottom w:val="single" w:sz="8" w:color="999999"/>
            </w:tcBorders>
          </w:tcPr>
          <w:p>
            <w:pPr>
              <w:spacing w:after="0"/>
              <w:rPr>
                <w:sz w:val="5"/>
                <w:szCs w:val="5"/>
                <w:color w:val="auto"/>
              </w:rPr>
            </w:pPr>
          </w:p>
        </w:tc>
        <w:tc>
          <w:tcPr>
            <w:tcW w:w="580" w:type="dxa"/>
            <w:vAlign w:val="bottom"/>
            <w:tcBorders>
              <w:bottom w:val="single" w:sz="8" w:color="999999"/>
            </w:tcBorders>
          </w:tcPr>
          <w:p>
            <w:pPr>
              <w:spacing w:after="0"/>
              <w:rPr>
                <w:sz w:val="5"/>
                <w:szCs w:val="5"/>
                <w:color w:val="auto"/>
              </w:rPr>
            </w:pPr>
          </w:p>
        </w:tc>
        <w:tc>
          <w:tcPr>
            <w:tcW w:w="700" w:type="dxa"/>
            <w:vAlign w:val="bottom"/>
            <w:tcBorders>
              <w:bottom w:val="single" w:sz="8" w:color="999999"/>
            </w:tcBorders>
          </w:tcPr>
          <w:p>
            <w:pPr>
              <w:spacing w:after="0"/>
              <w:rPr>
                <w:sz w:val="5"/>
                <w:szCs w:val="5"/>
                <w:color w:val="auto"/>
              </w:rPr>
            </w:pPr>
          </w:p>
        </w:tc>
        <w:tc>
          <w:tcPr>
            <w:tcW w:w="40" w:type="dxa"/>
            <w:vAlign w:val="bottom"/>
            <w:tcBorders>
              <w:bottom w:val="single" w:sz="8" w:color="999999"/>
            </w:tcBorders>
          </w:tcPr>
          <w:p>
            <w:pPr>
              <w:spacing w:after="0"/>
              <w:rPr>
                <w:sz w:val="5"/>
                <w:szCs w:val="5"/>
                <w:color w:val="auto"/>
              </w:rPr>
            </w:pPr>
          </w:p>
        </w:tc>
        <w:tc>
          <w:tcPr>
            <w:tcW w:w="660" w:type="dxa"/>
            <w:vAlign w:val="bottom"/>
            <w:tcBorders>
              <w:bottom w:val="single" w:sz="8" w:color="999999"/>
            </w:tcBorders>
          </w:tcPr>
          <w:p>
            <w:pPr>
              <w:spacing w:after="0"/>
              <w:rPr>
                <w:sz w:val="5"/>
                <w:szCs w:val="5"/>
                <w:color w:val="auto"/>
              </w:rPr>
            </w:pPr>
          </w:p>
        </w:tc>
        <w:tc>
          <w:tcPr>
            <w:tcW w:w="720" w:type="dxa"/>
            <w:vAlign w:val="bottom"/>
            <w:tcBorders>
              <w:bottom w:val="single" w:sz="8" w:color="999999"/>
            </w:tcBorders>
          </w:tcPr>
          <w:p>
            <w:pPr>
              <w:spacing w:after="0"/>
              <w:rPr>
                <w:sz w:val="5"/>
                <w:szCs w:val="5"/>
                <w:color w:val="auto"/>
              </w:rPr>
            </w:pPr>
          </w:p>
        </w:tc>
        <w:tc>
          <w:tcPr>
            <w:tcW w:w="880" w:type="dxa"/>
            <w:vAlign w:val="bottom"/>
            <w:tcBorders>
              <w:bottom w:val="single" w:sz="8" w:color="999999"/>
            </w:tcBorders>
          </w:tcPr>
          <w:p>
            <w:pPr>
              <w:spacing w:after="0"/>
              <w:rPr>
                <w:sz w:val="5"/>
                <w:szCs w:val="5"/>
                <w:color w:val="auto"/>
              </w:rPr>
            </w:pPr>
          </w:p>
        </w:tc>
        <w:tc>
          <w:tcPr>
            <w:tcW w:w="96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920" w:type="dxa"/>
            <w:vAlign w:val="bottom"/>
          </w:tcPr>
          <w:p>
            <w:pPr>
              <w:ind w:left="160"/>
              <w:spacing w:after="0"/>
              <w:rPr>
                <w:sz w:val="20"/>
                <w:szCs w:val="20"/>
                <w:color w:val="auto"/>
              </w:rPr>
            </w:pPr>
            <w:r>
              <w:rPr>
                <w:rFonts w:ascii="Arial" w:cs="Arial" w:eastAsia="Arial" w:hAnsi="Arial"/>
                <w:sz w:val="13"/>
                <w:szCs w:val="13"/>
                <w:b w:val="1"/>
                <w:bCs w:val="1"/>
                <w:color w:val="40C0C0"/>
              </w:rPr>
              <w:t>Grazier</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12/10/2019</w:t>
            </w:r>
          </w:p>
        </w:tc>
        <w:tc>
          <w:tcPr>
            <w:tcW w:w="580" w:type="dxa"/>
            <w:vAlign w:val="bottom"/>
          </w:tcPr>
          <w:p>
            <w:pPr>
              <w:spacing w:after="0"/>
              <w:rPr>
                <w:sz w:val="13"/>
                <w:szCs w:val="13"/>
                <w:color w:val="auto"/>
              </w:rPr>
            </w:pPr>
          </w:p>
        </w:tc>
        <w:tc>
          <w:tcPr>
            <w:tcW w:w="780" w:type="dxa"/>
            <w:vAlign w:val="bottom"/>
            <w:vMerge w:val="restart"/>
          </w:tcPr>
          <w:p>
            <w:pPr>
              <w:jc w:val="right"/>
              <w:ind w:right="55"/>
              <w:spacing w:after="0"/>
              <w:rPr>
                <w:sz w:val="20"/>
                <w:szCs w:val="20"/>
                <w:color w:val="auto"/>
              </w:rPr>
            </w:pPr>
            <w:r>
              <w:rPr>
                <w:rFonts w:ascii="Arial" w:cs="Arial" w:eastAsia="Arial" w:hAnsi="Arial"/>
                <w:sz w:val="13"/>
                <w:szCs w:val="13"/>
                <w:color w:val="auto"/>
              </w:rPr>
              <w:t>61,977</w:t>
            </w:r>
          </w:p>
        </w:tc>
        <w:tc>
          <w:tcPr>
            <w:tcW w:w="940" w:type="dxa"/>
            <w:vAlign w:val="bottom"/>
            <w:vMerge w:val="restart"/>
          </w:tcPr>
          <w:p>
            <w:pPr>
              <w:jc w:val="right"/>
              <w:ind w:right="75"/>
              <w:spacing w:after="0"/>
              <w:rPr>
                <w:sz w:val="20"/>
                <w:szCs w:val="20"/>
                <w:color w:val="auto"/>
              </w:rPr>
            </w:pPr>
            <w:r>
              <w:rPr>
                <w:rFonts w:ascii="Arial" w:cs="Arial" w:eastAsia="Arial" w:hAnsi="Arial"/>
                <w:sz w:val="13"/>
                <w:szCs w:val="13"/>
                <w:color w:val="auto"/>
              </w:rPr>
              <w:t>0</w:t>
            </w:r>
          </w:p>
        </w:tc>
        <w:tc>
          <w:tcPr>
            <w:tcW w:w="820" w:type="dxa"/>
            <w:vAlign w:val="bottom"/>
          </w:tcPr>
          <w:p>
            <w:pPr>
              <w:spacing w:after="0"/>
              <w:rPr>
                <w:sz w:val="13"/>
                <w:szCs w:val="13"/>
                <w:color w:val="auto"/>
              </w:rPr>
            </w:pPr>
          </w:p>
        </w:tc>
        <w:tc>
          <w:tcPr>
            <w:tcW w:w="580" w:type="dxa"/>
            <w:vAlign w:val="bottom"/>
            <w:vMerge w:val="restart"/>
          </w:tcPr>
          <w:p>
            <w:pPr>
              <w:jc w:val="right"/>
              <w:ind w:right="35"/>
              <w:spacing w:after="0"/>
              <w:rPr>
                <w:sz w:val="20"/>
                <w:szCs w:val="20"/>
                <w:color w:val="auto"/>
              </w:rPr>
            </w:pPr>
            <w:r>
              <w:rPr>
                <w:rFonts w:ascii="Arial" w:cs="Arial" w:eastAsia="Arial" w:hAnsi="Arial"/>
                <w:sz w:val="13"/>
                <w:szCs w:val="13"/>
                <w:color w:val="auto"/>
              </w:rPr>
              <w:t>8.03</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9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4"/>
        <w:spacing w:after="0"/>
        <w:tabs>
          <w:tab w:leader="none" w:pos="24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The market value is based on the closing price of our common stock as of December 31, 2024 of $1.38 per share.</w:t>
      </w:r>
    </w:p>
    <w:p>
      <w:pPr>
        <w:spacing w:after="0" w:line="53" w:lineRule="exact"/>
        <w:rPr>
          <w:rFonts w:ascii="Arial" w:cs="Arial" w:eastAsia="Arial" w:hAnsi="Arial"/>
          <w:sz w:val="13"/>
          <w:szCs w:val="13"/>
          <w:b w:val="1"/>
          <w:bCs w:val="1"/>
          <w:color w:val="auto"/>
        </w:rPr>
      </w:pPr>
    </w:p>
    <w:p>
      <w:pPr>
        <w:ind w:left="240" w:hanging="234"/>
        <w:spacing w:after="0"/>
        <w:tabs>
          <w:tab w:leader="none" w:pos="240"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The remaining unvested RSU award vests in twelve equal quarterly installments beginning on February 15, 2025, subject to continued service with us.</w:t>
      </w:r>
    </w:p>
    <w:p>
      <w:pPr>
        <w:spacing w:after="0" w:line="78" w:lineRule="exact"/>
        <w:rPr>
          <w:rFonts w:ascii="Arial" w:cs="Arial" w:eastAsia="Arial" w:hAnsi="Arial"/>
          <w:sz w:val="12"/>
          <w:szCs w:val="12"/>
          <w:b w:val="1"/>
          <w:bCs w:val="1"/>
          <w:color w:val="auto"/>
        </w:rPr>
      </w:pPr>
    </w:p>
    <w:p>
      <w:pPr>
        <w:ind w:left="240" w:right="60" w:hanging="234"/>
        <w:spacing w:after="0" w:line="252" w:lineRule="auto"/>
        <w:tabs>
          <w:tab w:leader="none" w:pos="24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The PRSU award vests based upon achieving certain target prices for the Company’s common stock in accordance with the performance-based vesting conditions described above under “</w:t>
      </w:r>
      <w:r>
        <w:rPr>
          <w:rFonts w:ascii="Arial" w:cs="Arial" w:eastAsia="Arial" w:hAnsi="Arial"/>
          <w:sz w:val="13"/>
          <w:szCs w:val="13"/>
          <w:b w:val="1"/>
          <w:bCs w:val="1"/>
          <w:i w:val="1"/>
          <w:iCs w:val="1"/>
          <w:color w:val="auto"/>
        </w:rPr>
        <w:t>Long-Term Equity Incentive Compensation.”</w:t>
      </w:r>
    </w:p>
    <w:p>
      <w:pPr>
        <w:spacing w:after="0" w:line="23" w:lineRule="exact"/>
        <w:rPr>
          <w:rFonts w:ascii="Arial" w:cs="Arial" w:eastAsia="Arial" w:hAnsi="Arial"/>
          <w:sz w:val="13"/>
          <w:szCs w:val="13"/>
          <w:b w:val="1"/>
          <w:bCs w:val="1"/>
          <w:color w:val="auto"/>
        </w:rPr>
      </w:pPr>
    </w:p>
    <w:p>
      <w:pPr>
        <w:ind w:left="240" w:hanging="234"/>
        <w:spacing w:after="0"/>
        <w:tabs>
          <w:tab w:leader="none" w:pos="240"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The remaining unvested RSU award vests in seven equal quarterly installments beginning on February 15, 2025, subject to continued service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59664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Narrative to Summary Compensation Table</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 xml:space="preserve">For 2024, the compensation programs for our Named Executive Officers consisted of base salary, cash bonuses and equity-based incentive awards. Detailed information about these compensation programs can be found above in the section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 Compensation Elements</w:t>
      </w:r>
      <w:r>
        <w:rPr>
          <w:rFonts w:ascii="Arial" w:cs="Arial" w:eastAsia="Arial" w:hAnsi="Arial"/>
          <w:sz w:val="16"/>
          <w:szCs w:val="16"/>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Employment Arrangements</w:t>
      </w:r>
    </w:p>
    <w:p>
      <w:pPr>
        <w:spacing w:after="0" w:line="22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Each of our Named Executive Officers have entered into an offer letter with Ghost Management Group, LLC, which provides for employment on an at-will basis.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Douglas Francis</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Mr. Francis entered into an offer of continued employment with Ghost Management Group, LLC, dated November 7, 2024, reflecting his continued service as our Chief Executive Officer. Pursuant to the terms of the offer letter, Mr. Francis’ annual base salary is $750,000. Mr. Francis also is eligible to participate in the employee benefit plans generally available to our employees and maintained by us. In addition, Mr. Francis is eligible for a reimbursement of the annual membership fee for a concierge medical plan selected by Mr. Francis, subject to a net after-tax maximum yearly amount of $24,000.</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Duncan Grazier – Employment Agreement</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Mr. Grazier previously entered into an offer letter with Ghost Management Group, LLC, dated August 20, 2019. Pursuant to the terms of the offer letter, Mr. Grazier’s annual base salary was $250,000 per year, which increased to $425,000 following his promotion to Chief Technology Officer. Mr. Grazier also was eligible to participate in the employee benefit plans generally available to our employees and maintained by us. Mr. Grazier terminated effective October 31, 2024.</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Duncan Grazier – Separation Agreement</w:t>
      </w:r>
    </w:p>
    <w:p>
      <w:pPr>
        <w:spacing w:after="0" w:line="165"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On August 7, 2024, Mr. Grazier and Ghost Management Group, LLC entered into a Separation and Release Agreement (the “Separation Agreement”), providing for the terms of Mr. Grazier’s separation from employment with us. Under the Separation Agreement, Mr. Grazier remained employed with the Company on an “at-will” basis with the title of Special Advisor, assisting the Company in the transition of the Chief Technology Officer role through October 31, 2024. In addition, under the Separation Agreement, the Company agreed to provide Mr. Grazier with the following separation payments and benefits in lieu of any payments or benefits he may otherwise have been entitled to under the terms of his employment agreement: an amount equal to the equivalent of nine months base salary plus 75% of his 2024 target bonus, less any applicable taxes, deductions and withholdings; nine months of paid COBRA premiums (which would cease in the event of new coverage with a subsequent employer); and vesting acceleration of 66,086 restricted stock units. The Separation Agreement contained a release of claims, subject to customary exceptions.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Brian Camire</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Mr. Camire previously entered into an offer letter with Ghost Management Group, LLC, dated April 4, 2019. Pursuant to the terms of the offer letter, Mr. Camire’s annual base salary was $350,000, which increased to $410,000 per year, and which further increased to $450,000 in March 2025. Mr. Camire also is eligible to participate in the employee benefit plans generally available to our employees and maintained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59664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Susan Echard</w:t>
      </w:r>
    </w:p>
    <w:p>
      <w:pPr>
        <w:spacing w:after="0" w:line="165"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Ms. Echard is not an employee of Ghost Management Group, LLC, and is providing services pursuant to the pursuant to an executive services agreement (the “Executive Services Agreement”), dated July 16, 2023, entered into by and between the Company and SeatonHill Partners, LP (“SeatonHill”). Pursuant to the terms of the Executive Services Agreement, SeatonHill is paid $61,800 per month which is inclusive of $1,800 administrative fees. Ms. Echard receives a portion of the amount paid to SeatonHill. Ms. Echard is not eligible to participate in the employee benefit plans generally available to our employees and maintained by us.</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Potential Payments Upon Termination or Change in Control</w:t>
      </w:r>
    </w:p>
    <w:p>
      <w:pPr>
        <w:spacing w:after="0" w:line="166"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Each of Mr. Francis and Mr. Camire is eligible to participate in the Severance Plan, which provides certain benefits. Ms. Echard was not eligible to receive any severance or change in control benefits as of December 31, 2024.</w:t>
      </w:r>
    </w:p>
    <w:p>
      <w:pPr>
        <w:spacing w:after="0" w:line="10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Severance Plan provides for severance and change in control benefits to our Named Executive Officers upon a “change in control termination” or a “regular termination” (each, as described below). Upon a change in control termination, Mr. Camire is entitled to (i) a lump sum payment equal to 12 months of his base salary, (ii) a lump sum payment equal to 100% of his annual target cash bonus, (iii) full vesting acceleration of all outstanding equity awards (with any performance-based vesting awards deemed achieved at target level), and (iv) payment of group health insurance premiums for 12 months. Upon a change in control termination, Mr. Francis (together with Mr. Camire, our current Named Executive Officers eligible to participate in the Severance Plan) is entitled to (i) a lump sum payment equal to 18 months of his base salary, (ii) a lump sum payment equal to 150% of his annual target cash bonus, (iii) full vesting acceleration of all outstanding equity awards (with any performance-based vesting awards deemed achieved at target level), and (iv) payment of group health insurance premiums for 18 months. Upon a regular termination, Mr. Camire is entitled to (i) continued payment of his base salary for 9 months, (ii) a lump sum payment equal to 75% of his annual target cash bonus, and (iii) payment of group health insurance premiums for 9 months. Upon a regular termination, Mr. Francis is entitled to (i) continued payment of his base salary for 12 months, (ii) a lump sum payment equal to 100% of his annual target cash bonus, and (iii) payment of group health insurance premiums for 12 months. All benefits under the Severance Plan are subject to the Named Executive Officer’s execution of an effective release of claims against us.</w:t>
      </w:r>
    </w:p>
    <w:p>
      <w:pPr>
        <w:spacing w:after="0" w:line="13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12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Mr. Grazier’s service as our Chief Technology Officer terminated on July 31, 2024. See “—Duncan Grazier Separation Agreement” above for more information regarding Mr. Grazier’s separation and the payments received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59664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20" w:type="dxa"/>
            <w:vAlign w:val="bottom"/>
            <w:shd w:val="clear" w:color="auto" w:fill="000000"/>
          </w:tcPr>
          <w:p>
            <w:pPr>
              <w:spacing w:after="0"/>
              <w:rPr>
                <w:sz w:val="24"/>
                <w:szCs w:val="24"/>
                <w:color w:val="auto"/>
              </w:rPr>
            </w:pPr>
          </w:p>
        </w:tc>
        <w:tc>
          <w:tcPr>
            <w:tcW w:w="1020" w:type="dxa"/>
            <w:vAlign w:val="bottom"/>
            <w:shd w:val="clear" w:color="auto" w:fill="000000"/>
          </w:tcPr>
          <w:p>
            <w:pPr>
              <w:spacing w:after="0"/>
              <w:rPr>
                <w:sz w:val="24"/>
                <w:szCs w:val="24"/>
                <w:color w:val="auto"/>
              </w:rPr>
            </w:pPr>
          </w:p>
        </w:tc>
        <w:tc>
          <w:tcPr>
            <w:tcW w:w="3020" w:type="dxa"/>
            <w:vAlign w:val="bottom"/>
            <w:shd w:val="clear" w:color="auto" w:fill="000000"/>
          </w:tcPr>
          <w:p>
            <w:pPr>
              <w:spacing w:after="0"/>
              <w:rPr>
                <w:sz w:val="24"/>
                <w:szCs w:val="24"/>
                <w:color w:val="auto"/>
              </w:rPr>
            </w:pPr>
          </w:p>
        </w:tc>
        <w:tc>
          <w:tcPr>
            <w:tcW w:w="1000" w:type="dxa"/>
            <w:vAlign w:val="bottom"/>
            <w:shd w:val="clear" w:color="auto" w:fill="000000"/>
          </w:tcPr>
          <w:p>
            <w:pPr>
              <w:spacing w:after="0"/>
              <w:rPr>
                <w:sz w:val="24"/>
                <w:szCs w:val="24"/>
                <w:color w:val="auto"/>
              </w:rPr>
            </w:pPr>
          </w:p>
        </w:tc>
        <w:tc>
          <w:tcPr>
            <w:tcW w:w="1000" w:type="dxa"/>
            <w:vAlign w:val="bottom"/>
            <w:shd w:val="clear" w:color="auto" w:fill="000000"/>
          </w:tcPr>
          <w:p>
            <w:pPr>
              <w:spacing w:after="0"/>
              <w:rPr>
                <w:sz w:val="24"/>
                <w:szCs w:val="24"/>
                <w:color w:val="auto"/>
              </w:rPr>
            </w:pPr>
          </w:p>
        </w:tc>
        <w:tc>
          <w:tcPr>
            <w:tcW w:w="1060" w:type="dxa"/>
            <w:vAlign w:val="bottom"/>
            <w:shd w:val="clear" w:color="auto" w:fill="000000"/>
          </w:tcPr>
          <w:p>
            <w:pPr>
              <w:jc w:val="right"/>
              <w:ind w:right="88"/>
              <w:spacing w:after="0"/>
              <w:rPr>
                <w:sz w:val="20"/>
                <w:szCs w:val="20"/>
                <w:color w:val="auto"/>
              </w:rPr>
            </w:pPr>
            <w:r>
              <w:rPr>
                <w:rFonts w:ascii="Arial" w:cs="Arial" w:eastAsia="Arial" w:hAnsi="Arial"/>
                <w:sz w:val="14"/>
                <w:szCs w:val="14"/>
                <w:b w:val="1"/>
                <w:bCs w:val="1"/>
                <w:color w:val="FFFFFF"/>
              </w:rPr>
              <w:t>Continued</w:t>
            </w:r>
          </w:p>
        </w:tc>
        <w:tc>
          <w:tcPr>
            <w:tcW w:w="1220" w:type="dxa"/>
            <w:vAlign w:val="bottom"/>
            <w:shd w:val="clear" w:color="auto" w:fill="000000"/>
          </w:tcPr>
          <w:p>
            <w:pPr>
              <w:jc w:val="right"/>
              <w:ind w:right="150"/>
              <w:spacing w:after="0"/>
              <w:rPr>
                <w:sz w:val="20"/>
                <w:szCs w:val="20"/>
                <w:color w:val="auto"/>
              </w:rPr>
            </w:pPr>
            <w:r>
              <w:rPr>
                <w:rFonts w:ascii="Arial" w:cs="Arial" w:eastAsia="Arial" w:hAnsi="Arial"/>
                <w:sz w:val="14"/>
                <w:szCs w:val="14"/>
                <w:b w:val="1"/>
                <w:bCs w:val="1"/>
                <w:color w:val="FFFFFF"/>
              </w:rPr>
              <w:t>Equity</w:t>
            </w:r>
          </w:p>
        </w:tc>
        <w:tc>
          <w:tcPr>
            <w:tcW w:w="9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000000"/>
          </w:tcPr>
          <w:p>
            <w:pPr>
              <w:spacing w:after="0"/>
              <w:rPr>
                <w:sz w:val="14"/>
                <w:szCs w:val="14"/>
                <w:color w:val="auto"/>
              </w:rPr>
            </w:pPr>
          </w:p>
        </w:tc>
        <w:tc>
          <w:tcPr>
            <w:tcW w:w="1020" w:type="dxa"/>
            <w:vAlign w:val="bottom"/>
            <w:vMerge w:val="restart"/>
            <w:shd w:val="clear" w:color="auto" w:fill="000000"/>
          </w:tcPr>
          <w:p>
            <w:pPr>
              <w:ind w:left="6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3"/>
                <w:szCs w:val="23"/>
                <w:b w:val="1"/>
                <w:bCs w:val="1"/>
                <w:color w:val="FFFFFF"/>
                <w:vertAlign w:val="superscript"/>
              </w:rPr>
              <w:t>(1)</w:t>
            </w:r>
          </w:p>
        </w:tc>
        <w:tc>
          <w:tcPr>
            <w:tcW w:w="3020" w:type="dxa"/>
            <w:vAlign w:val="bottom"/>
            <w:shd w:val="clear" w:color="auto" w:fill="000000"/>
          </w:tcPr>
          <w:p>
            <w:pPr>
              <w:spacing w:after="0"/>
              <w:rPr>
                <w:sz w:val="14"/>
                <w:szCs w:val="14"/>
                <w:color w:val="auto"/>
              </w:rPr>
            </w:pPr>
          </w:p>
        </w:tc>
        <w:tc>
          <w:tcPr>
            <w:tcW w:w="100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Salary</w:t>
            </w:r>
          </w:p>
        </w:tc>
        <w:tc>
          <w:tcPr>
            <w:tcW w:w="100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Bonus</w:t>
            </w:r>
          </w:p>
        </w:tc>
        <w:tc>
          <w:tcPr>
            <w:tcW w:w="106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Benefits</w:t>
            </w:r>
          </w:p>
        </w:tc>
        <w:tc>
          <w:tcPr>
            <w:tcW w:w="1220" w:type="dxa"/>
            <w:vAlign w:val="bottom"/>
            <w:shd w:val="clear" w:color="auto" w:fill="000000"/>
          </w:tcPr>
          <w:p>
            <w:pPr>
              <w:jc w:val="right"/>
              <w:ind w:right="110"/>
              <w:spacing w:after="0"/>
              <w:rPr>
                <w:sz w:val="20"/>
                <w:szCs w:val="20"/>
                <w:color w:val="auto"/>
              </w:rPr>
            </w:pPr>
            <w:r>
              <w:rPr>
                <w:rFonts w:ascii="Arial" w:cs="Arial" w:eastAsia="Arial" w:hAnsi="Arial"/>
                <w:sz w:val="14"/>
                <w:szCs w:val="14"/>
                <w:b w:val="1"/>
                <w:bCs w:val="1"/>
                <w:color w:val="FFFFFF"/>
              </w:rPr>
              <w:t>Acceleration</w:t>
            </w:r>
          </w:p>
        </w:tc>
        <w:tc>
          <w:tcPr>
            <w:tcW w:w="96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97"/>
        </w:trPr>
        <w:tc>
          <w:tcPr>
            <w:tcW w:w="120" w:type="dxa"/>
            <w:vAlign w:val="bottom"/>
            <w:shd w:val="clear" w:color="auto" w:fill="000000"/>
          </w:tcPr>
          <w:p>
            <w:pPr>
              <w:spacing w:after="0"/>
              <w:rPr>
                <w:sz w:val="24"/>
                <w:szCs w:val="24"/>
                <w:color w:val="auto"/>
              </w:rPr>
            </w:pPr>
          </w:p>
        </w:tc>
        <w:tc>
          <w:tcPr>
            <w:tcW w:w="1020" w:type="dxa"/>
            <w:vAlign w:val="bottom"/>
            <w:vMerge w:val="continue"/>
            <w:shd w:val="clear" w:color="auto" w:fill="000000"/>
          </w:tcPr>
          <w:p>
            <w:pPr>
              <w:spacing w:after="0"/>
              <w:rPr>
                <w:sz w:val="24"/>
                <w:szCs w:val="24"/>
                <w:color w:val="auto"/>
              </w:rPr>
            </w:pPr>
          </w:p>
        </w:tc>
        <w:tc>
          <w:tcPr>
            <w:tcW w:w="3020" w:type="dxa"/>
            <w:vAlign w:val="bottom"/>
            <w:shd w:val="clear" w:color="auto" w:fill="000000"/>
          </w:tcPr>
          <w:p>
            <w:pPr>
              <w:ind w:left="180"/>
              <w:spacing w:after="0"/>
              <w:rPr>
                <w:sz w:val="20"/>
                <w:szCs w:val="20"/>
                <w:color w:val="auto"/>
              </w:rPr>
            </w:pPr>
            <w:r>
              <w:rPr>
                <w:rFonts w:ascii="Arial" w:cs="Arial" w:eastAsia="Arial" w:hAnsi="Arial"/>
                <w:sz w:val="14"/>
                <w:szCs w:val="14"/>
                <w:b w:val="1"/>
                <w:bCs w:val="1"/>
                <w:color w:val="FFFFFF"/>
              </w:rPr>
              <w:t>Triggering Event</w:t>
            </w:r>
          </w:p>
        </w:tc>
        <w:tc>
          <w:tcPr>
            <w:tcW w:w="100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000000"/>
          </w:tcPr>
          <w:p>
            <w:pPr>
              <w:jc w:val="right"/>
              <w:ind w:right="88"/>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00000"/>
          </w:tcPr>
          <w:p>
            <w:pPr>
              <w:jc w:val="right"/>
              <w:ind w:right="110"/>
              <w:spacing w:after="0" w:line="29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(2)</w:t>
            </w:r>
          </w:p>
        </w:tc>
        <w:tc>
          <w:tcPr>
            <w:tcW w:w="96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89"/>
        </w:trPr>
        <w:tc>
          <w:tcPr>
            <w:tcW w:w="120" w:type="dxa"/>
            <w:vAlign w:val="bottom"/>
          </w:tcPr>
          <w:p>
            <w:pPr>
              <w:spacing w:after="0"/>
              <w:rPr>
                <w:sz w:val="24"/>
                <w:szCs w:val="24"/>
                <w:color w:val="auto"/>
              </w:rPr>
            </w:pP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40C0C0"/>
              </w:rPr>
              <w:t>Douglas</w:t>
            </w:r>
          </w:p>
        </w:tc>
        <w:tc>
          <w:tcPr>
            <w:tcW w:w="3020" w:type="dxa"/>
            <w:vAlign w:val="bottom"/>
          </w:tcPr>
          <w:p>
            <w:pPr>
              <w:ind w:left="180"/>
              <w:spacing w:after="0"/>
              <w:rPr>
                <w:sz w:val="20"/>
                <w:szCs w:val="20"/>
                <w:color w:val="auto"/>
              </w:rPr>
            </w:pPr>
            <w:r>
              <w:rPr>
                <w:rFonts w:ascii="Arial" w:cs="Arial" w:eastAsia="Arial" w:hAnsi="Arial"/>
                <w:sz w:val="14"/>
                <w:szCs w:val="14"/>
                <w:color w:val="auto"/>
              </w:rPr>
              <w:t>Involuntary Termination (non-CIC)</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750,000</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750,000</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35,344</w:t>
            </w: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1,535,344</w:t>
            </w: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302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60" w:type="dxa"/>
            <w:vAlign w:val="bottom"/>
            <w:tcBorders>
              <w:bottom w:val="single" w:sz="8" w:color="999999"/>
            </w:tcBorders>
          </w:tcPr>
          <w:p>
            <w:pPr>
              <w:spacing w:after="0"/>
              <w:rPr>
                <w:sz w:val="7"/>
                <w:szCs w:val="7"/>
                <w:color w:val="auto"/>
              </w:rPr>
            </w:pPr>
          </w:p>
        </w:tc>
        <w:tc>
          <w:tcPr>
            <w:tcW w:w="1220" w:type="dxa"/>
            <w:vAlign w:val="bottom"/>
            <w:tcBorders>
              <w:bottom w:val="single" w:sz="8" w:color="999999"/>
            </w:tcBorders>
          </w:tcPr>
          <w:p>
            <w:pPr>
              <w:spacing w:after="0"/>
              <w:rPr>
                <w:sz w:val="7"/>
                <w:szCs w:val="7"/>
                <w:color w:val="auto"/>
              </w:rPr>
            </w:pPr>
          </w:p>
        </w:tc>
        <w:tc>
          <w:tcPr>
            <w:tcW w:w="9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020" w:type="dxa"/>
            <w:vAlign w:val="bottom"/>
          </w:tcPr>
          <w:p>
            <w:pPr>
              <w:ind w:left="60"/>
              <w:spacing w:after="0"/>
              <w:rPr>
                <w:sz w:val="20"/>
                <w:szCs w:val="20"/>
                <w:color w:val="auto"/>
              </w:rPr>
            </w:pPr>
            <w:r>
              <w:rPr>
                <w:rFonts w:ascii="Arial" w:cs="Arial" w:eastAsia="Arial" w:hAnsi="Arial"/>
                <w:sz w:val="14"/>
                <w:szCs w:val="14"/>
                <w:b w:val="1"/>
                <w:bCs w:val="1"/>
                <w:color w:val="40C0C0"/>
              </w:rPr>
              <w:t>Francis</w:t>
            </w:r>
          </w:p>
        </w:tc>
        <w:tc>
          <w:tcPr>
            <w:tcW w:w="3020" w:type="dxa"/>
            <w:vAlign w:val="bottom"/>
            <w:vMerge w:val="restart"/>
          </w:tcPr>
          <w:p>
            <w:pPr>
              <w:ind w:left="180"/>
              <w:spacing w:after="0"/>
              <w:rPr>
                <w:sz w:val="20"/>
                <w:szCs w:val="20"/>
                <w:color w:val="auto"/>
              </w:rPr>
            </w:pPr>
            <w:r>
              <w:rPr>
                <w:rFonts w:ascii="Arial" w:cs="Arial" w:eastAsia="Arial" w:hAnsi="Arial"/>
                <w:sz w:val="14"/>
                <w:szCs w:val="14"/>
                <w:color w:val="auto"/>
              </w:rPr>
              <w:t>Involuntary Termination during CIC period</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1,125,000</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1,125,000</w:t>
            </w: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color w:val="auto"/>
              </w:rPr>
              <w:t>53,017</w:t>
            </w:r>
          </w:p>
        </w:tc>
        <w:tc>
          <w:tcPr>
            <w:tcW w:w="1220" w:type="dxa"/>
            <w:vAlign w:val="bottom"/>
            <w:vMerge w:val="restart"/>
          </w:tcPr>
          <w:p>
            <w:pPr>
              <w:jc w:val="right"/>
              <w:ind w:right="190"/>
              <w:spacing w:after="0"/>
              <w:rPr>
                <w:sz w:val="20"/>
                <w:szCs w:val="20"/>
                <w:color w:val="auto"/>
              </w:rPr>
            </w:pPr>
            <w:r>
              <w:rPr>
                <w:rFonts w:ascii="Arial" w:cs="Arial" w:eastAsia="Arial" w:hAnsi="Arial"/>
                <w:sz w:val="14"/>
                <w:szCs w:val="14"/>
                <w:color w:val="auto"/>
              </w:rPr>
              <w:t>11,985,000​</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8,295,517</w:t>
            </w: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20" w:type="dxa"/>
            <w:vAlign w:val="bottom"/>
            <w:tcBorders>
              <w:bottom w:val="single" w:sz="8" w:color="999999"/>
            </w:tcBorders>
          </w:tcPr>
          <w:p>
            <w:pPr>
              <w:spacing w:after="0"/>
              <w:rPr>
                <w:sz w:val="7"/>
                <w:szCs w:val="7"/>
                <w:color w:val="auto"/>
              </w:rPr>
            </w:pPr>
          </w:p>
        </w:tc>
        <w:tc>
          <w:tcPr>
            <w:tcW w:w="1020" w:type="dxa"/>
            <w:vAlign w:val="bottom"/>
            <w:tcBorders>
              <w:bottom w:val="single" w:sz="8" w:color="999999"/>
            </w:tcBorders>
          </w:tcPr>
          <w:p>
            <w:pPr>
              <w:spacing w:after="0"/>
              <w:rPr>
                <w:sz w:val="7"/>
                <w:szCs w:val="7"/>
                <w:color w:val="auto"/>
              </w:rPr>
            </w:pPr>
          </w:p>
        </w:tc>
        <w:tc>
          <w:tcPr>
            <w:tcW w:w="302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60" w:type="dxa"/>
            <w:vAlign w:val="bottom"/>
            <w:tcBorders>
              <w:bottom w:val="single" w:sz="8" w:color="999999"/>
            </w:tcBorders>
          </w:tcPr>
          <w:p>
            <w:pPr>
              <w:spacing w:after="0"/>
              <w:rPr>
                <w:sz w:val="7"/>
                <w:szCs w:val="7"/>
                <w:color w:val="auto"/>
              </w:rPr>
            </w:pPr>
          </w:p>
        </w:tc>
        <w:tc>
          <w:tcPr>
            <w:tcW w:w="1220" w:type="dxa"/>
            <w:vAlign w:val="bottom"/>
            <w:tcBorders>
              <w:bottom w:val="single" w:sz="8" w:color="999999"/>
            </w:tcBorders>
          </w:tcPr>
          <w:p>
            <w:pPr>
              <w:spacing w:after="0"/>
              <w:rPr>
                <w:sz w:val="7"/>
                <w:szCs w:val="7"/>
                <w:color w:val="auto"/>
              </w:rPr>
            </w:pPr>
          </w:p>
        </w:tc>
        <w:tc>
          <w:tcPr>
            <w:tcW w:w="9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40C0C0"/>
              </w:rPr>
              <w:t>Brian</w:t>
            </w:r>
          </w:p>
        </w:tc>
        <w:tc>
          <w:tcPr>
            <w:tcW w:w="3020" w:type="dxa"/>
            <w:vAlign w:val="bottom"/>
          </w:tcPr>
          <w:p>
            <w:pPr>
              <w:ind w:left="180"/>
              <w:spacing w:after="0"/>
              <w:rPr>
                <w:sz w:val="20"/>
                <w:szCs w:val="20"/>
                <w:color w:val="auto"/>
              </w:rPr>
            </w:pPr>
            <w:r>
              <w:rPr>
                <w:rFonts w:ascii="Arial" w:cs="Arial" w:eastAsia="Arial" w:hAnsi="Arial"/>
                <w:sz w:val="14"/>
                <w:szCs w:val="14"/>
                <w:color w:val="auto"/>
              </w:rPr>
              <w:t>Involuntary Termination (non-CIC)</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307,500</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153,750</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18,513</w:t>
            </w: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479,763</w:t>
            </w: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302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00" w:type="dxa"/>
            <w:vAlign w:val="bottom"/>
            <w:tcBorders>
              <w:bottom w:val="single" w:sz="8" w:color="999999"/>
            </w:tcBorders>
          </w:tcPr>
          <w:p>
            <w:pPr>
              <w:spacing w:after="0"/>
              <w:rPr>
                <w:sz w:val="7"/>
                <w:szCs w:val="7"/>
                <w:color w:val="auto"/>
              </w:rPr>
            </w:pPr>
          </w:p>
        </w:tc>
        <w:tc>
          <w:tcPr>
            <w:tcW w:w="1060" w:type="dxa"/>
            <w:vAlign w:val="bottom"/>
            <w:tcBorders>
              <w:bottom w:val="single" w:sz="8" w:color="999999"/>
            </w:tcBorders>
          </w:tcPr>
          <w:p>
            <w:pPr>
              <w:spacing w:after="0"/>
              <w:rPr>
                <w:sz w:val="7"/>
                <w:szCs w:val="7"/>
                <w:color w:val="auto"/>
              </w:rPr>
            </w:pPr>
          </w:p>
        </w:tc>
        <w:tc>
          <w:tcPr>
            <w:tcW w:w="1220" w:type="dxa"/>
            <w:vAlign w:val="bottom"/>
            <w:tcBorders>
              <w:bottom w:val="single" w:sz="8" w:color="999999"/>
            </w:tcBorders>
          </w:tcPr>
          <w:p>
            <w:pPr>
              <w:spacing w:after="0"/>
              <w:rPr>
                <w:sz w:val="7"/>
                <w:szCs w:val="7"/>
                <w:color w:val="auto"/>
              </w:rPr>
            </w:pPr>
          </w:p>
        </w:tc>
        <w:tc>
          <w:tcPr>
            <w:tcW w:w="9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020" w:type="dxa"/>
            <w:vAlign w:val="bottom"/>
          </w:tcPr>
          <w:p>
            <w:pPr>
              <w:ind w:left="60"/>
              <w:spacing w:after="0"/>
              <w:rPr>
                <w:sz w:val="20"/>
                <w:szCs w:val="20"/>
                <w:color w:val="auto"/>
              </w:rPr>
            </w:pPr>
            <w:r>
              <w:rPr>
                <w:rFonts w:ascii="Arial" w:cs="Arial" w:eastAsia="Arial" w:hAnsi="Arial"/>
                <w:sz w:val="14"/>
                <w:szCs w:val="14"/>
                <w:b w:val="1"/>
                <w:bCs w:val="1"/>
                <w:color w:val="40C0C0"/>
              </w:rPr>
              <w:t>Camire</w:t>
            </w:r>
          </w:p>
        </w:tc>
        <w:tc>
          <w:tcPr>
            <w:tcW w:w="3020" w:type="dxa"/>
            <w:vAlign w:val="bottom"/>
            <w:vMerge w:val="restart"/>
          </w:tcPr>
          <w:p>
            <w:pPr>
              <w:ind w:left="180"/>
              <w:spacing w:after="0"/>
              <w:rPr>
                <w:sz w:val="20"/>
                <w:szCs w:val="20"/>
                <w:color w:val="auto"/>
              </w:rPr>
            </w:pPr>
            <w:r>
              <w:rPr>
                <w:rFonts w:ascii="Arial" w:cs="Arial" w:eastAsia="Arial" w:hAnsi="Arial"/>
                <w:sz w:val="14"/>
                <w:szCs w:val="14"/>
                <w:color w:val="auto"/>
              </w:rPr>
              <w:t>Involuntary Termination during CIC period</w:t>
            </w:r>
          </w:p>
        </w:tc>
        <w:tc>
          <w:tcPr>
            <w:tcW w:w="1000" w:type="dxa"/>
            <w:vAlign w:val="bottom"/>
            <w:vMerge w:val="restart"/>
          </w:tcPr>
          <w:p>
            <w:pPr>
              <w:jc w:val="right"/>
              <w:ind w:right="128"/>
              <w:spacing w:after="0"/>
              <w:rPr>
                <w:sz w:val="20"/>
                <w:szCs w:val="20"/>
                <w:color w:val="auto"/>
              </w:rPr>
            </w:pPr>
            <w:r>
              <w:rPr>
                <w:rFonts w:ascii="Arial" w:cs="Arial" w:eastAsia="Arial" w:hAnsi="Arial"/>
                <w:sz w:val="14"/>
                <w:szCs w:val="14"/>
                <w:color w:val="auto"/>
              </w:rPr>
              <w:t>410,000</w:t>
            </w:r>
          </w:p>
        </w:tc>
        <w:tc>
          <w:tcPr>
            <w:tcW w:w="1000" w:type="dxa"/>
            <w:vAlign w:val="bottom"/>
            <w:vMerge w:val="restart"/>
          </w:tcPr>
          <w:p>
            <w:pPr>
              <w:jc w:val="right"/>
              <w:ind w:right="128"/>
              <w:spacing w:after="0"/>
              <w:rPr>
                <w:sz w:val="20"/>
                <w:szCs w:val="20"/>
                <w:color w:val="auto"/>
              </w:rPr>
            </w:pPr>
            <w:r>
              <w:rPr>
                <w:rFonts w:ascii="Arial" w:cs="Arial" w:eastAsia="Arial" w:hAnsi="Arial"/>
                <w:sz w:val="14"/>
                <w:szCs w:val="14"/>
                <w:color w:val="auto"/>
              </w:rPr>
              <w:t>205,000</w:t>
            </w: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color w:val="auto"/>
              </w:rPr>
              <w:t>24,684</w:t>
            </w:r>
          </w:p>
        </w:tc>
        <w:tc>
          <w:tcPr>
            <w:tcW w:w="1220" w:type="dxa"/>
            <w:vAlign w:val="bottom"/>
            <w:vMerge w:val="restart"/>
          </w:tcPr>
          <w:p>
            <w:pPr>
              <w:jc w:val="right"/>
              <w:ind w:right="190"/>
              <w:spacing w:after="0"/>
              <w:rPr>
                <w:sz w:val="20"/>
                <w:szCs w:val="20"/>
                <w:color w:val="auto"/>
              </w:rPr>
            </w:pPr>
            <w:r>
              <w:rPr>
                <w:rFonts w:ascii="Arial" w:cs="Arial" w:eastAsia="Arial" w:hAnsi="Arial"/>
                <w:sz w:val="14"/>
                <w:szCs w:val="14"/>
                <w:color w:val="auto"/>
              </w:rPr>
              <w:t>527,654</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1,167,338</w:t>
            </w: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4"/>
        <w:spacing w:after="0"/>
        <w:tabs>
          <w:tab w:leader="none" w:pos="24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Excludes Mr. Grazier and Mrs. Echard, who were each not a participant in the Severance Plan as of December 31, 2024.</w:t>
      </w:r>
    </w:p>
    <w:p>
      <w:pPr>
        <w:spacing w:after="0" w:line="66" w:lineRule="exact"/>
        <w:rPr>
          <w:rFonts w:ascii="Arial" w:cs="Arial" w:eastAsia="Arial" w:hAnsi="Arial"/>
          <w:sz w:val="13"/>
          <w:szCs w:val="13"/>
          <w:b w:val="1"/>
          <w:bCs w:val="1"/>
          <w:color w:val="auto"/>
        </w:rPr>
      </w:pPr>
    </w:p>
    <w:p>
      <w:pPr>
        <w:ind w:left="240" w:hanging="234"/>
        <w:spacing w:after="0"/>
        <w:tabs>
          <w:tab w:leader="none" w:pos="24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The market value of equity acceleration is calculated based on the closing price of our common stock as of December 31, 2024 of $1.38 per share.</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Pension Benefits and Retirement Plan</w:t>
      </w:r>
    </w:p>
    <w:p>
      <w:pPr>
        <w:spacing w:after="0" w:line="166"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during 2024 other than the 401(k) Plan.</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Clawback Policy</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2023, we adopted our Incentive Compensation Recoupment Policy in compliance with requirements under the Dodd Frank Wall Street Reform and Consumer Protection Act and related Nasdaq listing rules, which was amended and restated in 2024.</w:t>
      </w:r>
    </w:p>
    <w:p>
      <w:pPr>
        <w:spacing w:after="0" w:line="222" w:lineRule="exact"/>
        <w:rPr>
          <w:sz w:val="20"/>
          <w:szCs w:val="20"/>
          <w:color w:val="auto"/>
        </w:rPr>
      </w:pPr>
    </w:p>
    <w:p>
      <w:pPr>
        <w:ind w:right="260"/>
        <w:spacing w:after="0" w:line="272" w:lineRule="auto"/>
        <w:rPr>
          <w:sz w:val="20"/>
          <w:szCs w:val="20"/>
          <w:color w:val="auto"/>
        </w:rPr>
      </w:pPr>
      <w:r>
        <w:rPr>
          <w:rFonts w:ascii="Arial" w:cs="Arial" w:eastAsia="Arial" w:hAnsi="Arial"/>
          <w:sz w:val="22"/>
          <w:szCs w:val="22"/>
          <w:b w:val="1"/>
          <w:bCs w:val="1"/>
          <w:color w:val="40C0C0"/>
        </w:rPr>
        <w:t>Policies and Practices Related to the Grant of Certain Equity Awards Close in Time to the Release of Material Nonpublic Information</w:t>
      </w:r>
    </w:p>
    <w:p>
      <w:pPr>
        <w:spacing w:after="0" w:line="8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Company does not grant stock options, stock appreciation rights, or similar instruments with option-like features and has no policies or practices to disclose pursuant to Item 402(x)(1) of Regulation S-K.</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Director Compensation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Non-Employee Director Compensation</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In 2024, we compensated our non-employee directors in accordance with a Non-Employee Director Compensation Policy. The Non-Employee Director Compensation Policy is intended to provide a total compensation package that enables us to attract and retain, on a long-term basis, high-caliber directors who are not our employees 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59664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Non-Employee Director Compensation Policy was amended in 2023 with changes effective on 1/1/2023. The Non-Employee Director Compensation Policy, as amended, that remained effective for 2024 consisted of the following elements: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7400" w:type="dxa"/>
            <w:vAlign w:val="bottom"/>
            <w:shd w:val="clear" w:color="auto" w:fill="000000"/>
          </w:tcPr>
          <w:p>
            <w:pPr>
              <w:spacing w:after="0"/>
              <w:rPr>
                <w:sz w:val="24"/>
                <w:szCs w:val="24"/>
                <w:color w:val="auto"/>
              </w:rPr>
            </w:pPr>
          </w:p>
        </w:tc>
        <w:tc>
          <w:tcPr>
            <w:tcW w:w="200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Amount</w:t>
            </w:r>
          </w:p>
        </w:tc>
      </w:tr>
      <w:tr>
        <w:trPr>
          <w:trHeight w:val="196"/>
        </w:trPr>
        <w:tc>
          <w:tcPr>
            <w:tcW w:w="7400" w:type="dxa"/>
            <w:vAlign w:val="bottom"/>
            <w:shd w:val="clear" w:color="auto" w:fill="000000"/>
          </w:tcPr>
          <w:p>
            <w:pPr>
              <w:ind w:left="220"/>
              <w:spacing w:after="0"/>
              <w:rPr>
                <w:sz w:val="20"/>
                <w:szCs w:val="20"/>
                <w:color w:val="auto"/>
              </w:rPr>
            </w:pPr>
            <w:r>
              <w:rPr>
                <w:rFonts w:ascii="Arial" w:cs="Arial" w:eastAsia="Arial" w:hAnsi="Arial"/>
                <w:sz w:val="14"/>
                <w:szCs w:val="14"/>
                <w:b w:val="1"/>
                <w:bCs w:val="1"/>
                <w:color w:val="FFFFFF"/>
              </w:rPr>
              <w:t>Description of Non-Employee Director Compensation</w:t>
            </w:r>
          </w:p>
        </w:tc>
        <w:tc>
          <w:tcPr>
            <w:tcW w:w="200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83"/>
        </w:trPr>
        <w:tc>
          <w:tcPr>
            <w:tcW w:w="7400" w:type="dxa"/>
            <w:vAlign w:val="bottom"/>
            <w:shd w:val="clear" w:color="auto" w:fill="000000"/>
          </w:tcPr>
          <w:p>
            <w:pPr>
              <w:spacing w:after="0"/>
              <w:rPr>
                <w:sz w:val="7"/>
                <w:szCs w:val="7"/>
                <w:color w:val="auto"/>
              </w:rPr>
            </w:pPr>
          </w:p>
        </w:tc>
        <w:tc>
          <w:tcPr>
            <w:tcW w:w="2000" w:type="dxa"/>
            <w:vAlign w:val="bottom"/>
            <w:shd w:val="clear" w:color="auto" w:fill="000000"/>
          </w:tcPr>
          <w:p>
            <w:pPr>
              <w:spacing w:after="0"/>
              <w:rPr>
                <w:sz w:val="7"/>
                <w:szCs w:val="7"/>
                <w:color w:val="auto"/>
              </w:rPr>
            </w:pPr>
          </w:p>
        </w:tc>
      </w:tr>
      <w:tr>
        <w:trPr>
          <w:trHeight w:val="405"/>
        </w:trPr>
        <w:tc>
          <w:tcPr>
            <w:tcW w:w="7400" w:type="dxa"/>
            <w:vAlign w:val="bottom"/>
            <w:tcBorders>
              <w:bottom w:val="single" w:sz="8" w:color="999999"/>
            </w:tcBorders>
          </w:tcPr>
          <w:p>
            <w:pPr>
              <w:ind w:left="220"/>
              <w:spacing w:after="0"/>
              <w:rPr>
                <w:sz w:val="20"/>
                <w:szCs w:val="20"/>
                <w:color w:val="auto"/>
              </w:rPr>
            </w:pPr>
            <w:r>
              <w:rPr>
                <w:rFonts w:ascii="Arial" w:cs="Arial" w:eastAsia="Arial" w:hAnsi="Arial"/>
                <w:sz w:val="14"/>
                <w:szCs w:val="14"/>
                <w:b w:val="1"/>
                <w:bCs w:val="1"/>
                <w:color w:val="auto"/>
              </w:rPr>
              <w:t>Annual Retainer for Board Membership</w:t>
            </w:r>
            <w:r>
              <w:rPr>
                <w:rFonts w:ascii="Arial" w:cs="Arial" w:eastAsia="Arial" w:hAnsi="Arial"/>
                <w:sz w:val="23"/>
                <w:szCs w:val="23"/>
                <w:b w:val="1"/>
                <w:bCs w:val="1"/>
                <w:color w:val="auto"/>
                <w:vertAlign w:val="superscript"/>
              </w:rPr>
              <w:t>(1)(2)</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50,000</w:t>
            </w:r>
          </w:p>
        </w:tc>
      </w:tr>
      <w:tr>
        <w:trPr>
          <w:trHeight w:val="398"/>
        </w:trPr>
        <w:tc>
          <w:tcPr>
            <w:tcW w:w="7400" w:type="dxa"/>
            <w:vAlign w:val="bottom"/>
            <w:tcBorders>
              <w:bottom w:val="single" w:sz="8" w:color="999999"/>
            </w:tcBorders>
          </w:tcPr>
          <w:p>
            <w:pPr>
              <w:ind w:left="220"/>
              <w:spacing w:after="0"/>
              <w:rPr>
                <w:sz w:val="20"/>
                <w:szCs w:val="20"/>
                <w:color w:val="auto"/>
              </w:rPr>
            </w:pPr>
            <w:r>
              <w:rPr>
                <w:rFonts w:ascii="Arial" w:cs="Arial" w:eastAsia="Arial" w:hAnsi="Arial"/>
                <w:sz w:val="14"/>
                <w:szCs w:val="14"/>
                <w:b w:val="1"/>
                <w:bCs w:val="1"/>
                <w:color w:val="auto"/>
              </w:rPr>
              <w:t>New Director Grant of RSUs for New Non-Employee Directors</w:t>
            </w:r>
            <w:r>
              <w:rPr>
                <w:rFonts w:ascii="Arial" w:cs="Arial" w:eastAsia="Arial" w:hAnsi="Arial"/>
                <w:sz w:val="23"/>
                <w:szCs w:val="23"/>
                <w:b w:val="1"/>
                <w:bCs w:val="1"/>
                <w:color w:val="auto"/>
                <w:vertAlign w:val="superscript"/>
              </w:rPr>
              <w:t>(3)(4)</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200,000</w:t>
            </w:r>
          </w:p>
        </w:tc>
      </w:tr>
      <w:tr>
        <w:trPr>
          <w:trHeight w:val="399"/>
        </w:trPr>
        <w:tc>
          <w:tcPr>
            <w:tcW w:w="7400" w:type="dxa"/>
            <w:vAlign w:val="bottom"/>
            <w:tcBorders>
              <w:bottom w:val="single" w:sz="8" w:color="999999"/>
            </w:tcBorders>
          </w:tcPr>
          <w:p>
            <w:pPr>
              <w:ind w:left="220"/>
              <w:spacing w:after="0"/>
              <w:rPr>
                <w:sz w:val="20"/>
                <w:szCs w:val="20"/>
                <w:color w:val="auto"/>
              </w:rPr>
            </w:pPr>
            <w:r>
              <w:rPr>
                <w:rFonts w:ascii="Arial" w:cs="Arial" w:eastAsia="Arial" w:hAnsi="Arial"/>
                <w:sz w:val="14"/>
                <w:szCs w:val="14"/>
                <w:b w:val="1"/>
                <w:bCs w:val="1"/>
                <w:color w:val="auto"/>
              </w:rPr>
              <w:t>Initial Term Grants for Existing Non-Employee Directors</w:t>
            </w:r>
            <w:r>
              <w:rPr>
                <w:rFonts w:ascii="Arial" w:cs="Arial" w:eastAsia="Arial" w:hAnsi="Arial"/>
                <w:sz w:val="23"/>
                <w:szCs w:val="23"/>
                <w:b w:val="1"/>
                <w:bCs w:val="1"/>
                <w:color w:val="auto"/>
                <w:vertAlign w:val="superscript"/>
              </w:rPr>
              <w:t>(4)(5)</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200,000</w:t>
            </w:r>
          </w:p>
        </w:tc>
      </w:tr>
      <w:tr>
        <w:trPr>
          <w:trHeight w:val="398"/>
        </w:trPr>
        <w:tc>
          <w:tcPr>
            <w:tcW w:w="7400" w:type="dxa"/>
            <w:vAlign w:val="bottom"/>
            <w:tcBorders>
              <w:bottom w:val="single" w:sz="8" w:color="999999"/>
            </w:tcBorders>
          </w:tcPr>
          <w:p>
            <w:pPr>
              <w:ind w:left="220"/>
              <w:spacing w:after="0"/>
              <w:rPr>
                <w:sz w:val="20"/>
                <w:szCs w:val="20"/>
                <w:color w:val="auto"/>
              </w:rPr>
            </w:pPr>
            <w:r>
              <w:rPr>
                <w:rFonts w:ascii="Arial" w:cs="Arial" w:eastAsia="Arial" w:hAnsi="Arial"/>
                <w:sz w:val="14"/>
                <w:szCs w:val="14"/>
                <w:b w:val="1"/>
                <w:bCs w:val="1"/>
                <w:color w:val="auto"/>
              </w:rPr>
              <w:t>Annual RSU Grant for All Non-Employee Directors</w:t>
            </w:r>
            <w:r>
              <w:rPr>
                <w:rFonts w:ascii="Arial" w:cs="Arial" w:eastAsia="Arial" w:hAnsi="Arial"/>
                <w:sz w:val="23"/>
                <w:szCs w:val="23"/>
                <w:b w:val="1"/>
                <w:bCs w:val="1"/>
                <w:color w:val="auto"/>
                <w:vertAlign w:val="superscript"/>
              </w:rPr>
              <w:t>(5)(6)</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200,000</w:t>
            </w:r>
          </w:p>
        </w:tc>
      </w:tr>
      <w:tr>
        <w:trPr>
          <w:trHeight w:val="288"/>
        </w:trPr>
        <w:tc>
          <w:tcPr>
            <w:tcW w:w="7400" w:type="dxa"/>
            <w:vAlign w:val="bottom"/>
          </w:tcPr>
          <w:p>
            <w:pPr>
              <w:ind w:left="220"/>
              <w:spacing w:after="0"/>
              <w:rPr>
                <w:sz w:val="20"/>
                <w:szCs w:val="20"/>
                <w:color w:val="auto"/>
              </w:rPr>
            </w:pPr>
            <w:r>
              <w:rPr>
                <w:rFonts w:ascii="Arial" w:cs="Arial" w:eastAsia="Arial" w:hAnsi="Arial"/>
                <w:sz w:val="14"/>
                <w:szCs w:val="14"/>
                <w:b w:val="1"/>
                <w:bCs w:val="1"/>
                <w:color w:val="auto"/>
              </w:rPr>
              <w:t>Committee Additional Cash Retainer</w:t>
            </w:r>
          </w:p>
        </w:tc>
        <w:tc>
          <w:tcPr>
            <w:tcW w:w="2000" w:type="dxa"/>
            <w:vAlign w:val="bottom"/>
          </w:tcPr>
          <w:p>
            <w:pPr>
              <w:spacing w:after="0"/>
              <w:rPr>
                <w:sz w:val="24"/>
                <w:szCs w:val="24"/>
                <w:color w:val="auto"/>
              </w:rPr>
            </w:pPr>
          </w:p>
        </w:tc>
      </w:tr>
      <w:tr>
        <w:trPr>
          <w:trHeight w:val="83"/>
        </w:trPr>
        <w:tc>
          <w:tcPr>
            <w:tcW w:w="7400" w:type="dxa"/>
            <w:vAlign w:val="bottom"/>
            <w:tcBorders>
              <w:bottom w:val="single" w:sz="8" w:color="999999"/>
            </w:tcBorders>
          </w:tcPr>
          <w:p>
            <w:pPr>
              <w:spacing w:after="0"/>
              <w:rPr>
                <w:sz w:val="7"/>
                <w:szCs w:val="7"/>
                <w:color w:val="auto"/>
              </w:rPr>
            </w:pPr>
          </w:p>
        </w:tc>
        <w:tc>
          <w:tcPr>
            <w:tcW w:w="2000" w:type="dxa"/>
            <w:vAlign w:val="bottom"/>
            <w:tcBorders>
              <w:bottom w:val="single" w:sz="8" w:color="999999"/>
            </w:tcBorders>
          </w:tcPr>
          <w:p>
            <w:pPr>
              <w:spacing w:after="0"/>
              <w:rPr>
                <w:sz w:val="7"/>
                <w:szCs w:val="7"/>
                <w:color w:val="auto"/>
              </w:rPr>
            </w:pPr>
          </w:p>
        </w:tc>
      </w:tr>
      <w:tr>
        <w:trPr>
          <w:trHeight w:val="398"/>
        </w:trPr>
        <w:tc>
          <w:tcPr>
            <w:tcW w:w="7400" w:type="dxa"/>
            <w:vAlign w:val="bottom"/>
            <w:tcBorders>
              <w:bottom w:val="single" w:sz="8" w:color="999999"/>
            </w:tcBorders>
          </w:tcPr>
          <w:p>
            <w:pPr>
              <w:ind w:left="400"/>
              <w:spacing w:after="0"/>
              <w:rPr>
                <w:sz w:val="20"/>
                <w:szCs w:val="20"/>
                <w:color w:val="auto"/>
              </w:rPr>
            </w:pPr>
            <w:r>
              <w:rPr>
                <w:rFonts w:ascii="Arial" w:cs="Arial" w:eastAsia="Arial" w:hAnsi="Arial"/>
                <w:sz w:val="14"/>
                <w:szCs w:val="14"/>
                <w:color w:val="auto"/>
              </w:rPr>
              <w:t>Audit Committee Chairperson</w:t>
            </w:r>
            <w:r>
              <w:rPr>
                <w:rFonts w:ascii="Arial" w:cs="Arial" w:eastAsia="Arial" w:hAnsi="Arial"/>
                <w:sz w:val="23"/>
                <w:szCs w:val="23"/>
                <w:color w:val="auto"/>
                <w:vertAlign w:val="superscript"/>
              </w:rPr>
              <w:t>(1)(2)</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20,000</w:t>
            </w:r>
          </w:p>
        </w:tc>
      </w:tr>
      <w:tr>
        <w:trPr>
          <w:trHeight w:val="398"/>
        </w:trPr>
        <w:tc>
          <w:tcPr>
            <w:tcW w:w="7400" w:type="dxa"/>
            <w:vAlign w:val="bottom"/>
            <w:tcBorders>
              <w:bottom w:val="single" w:sz="8" w:color="999999"/>
            </w:tcBorders>
          </w:tcPr>
          <w:p>
            <w:pPr>
              <w:ind w:left="400"/>
              <w:spacing w:after="0"/>
              <w:rPr>
                <w:sz w:val="20"/>
                <w:szCs w:val="20"/>
                <w:color w:val="auto"/>
              </w:rPr>
            </w:pPr>
            <w:r>
              <w:rPr>
                <w:rFonts w:ascii="Arial" w:cs="Arial" w:eastAsia="Arial" w:hAnsi="Arial"/>
                <w:sz w:val="14"/>
                <w:szCs w:val="14"/>
                <w:color w:val="auto"/>
              </w:rPr>
              <w:t>Audit Committee member (other than Chairperson)</w:t>
            </w:r>
            <w:r>
              <w:rPr>
                <w:rFonts w:ascii="Arial" w:cs="Arial" w:eastAsia="Arial" w:hAnsi="Arial"/>
                <w:sz w:val="23"/>
                <w:szCs w:val="23"/>
                <w:color w:val="auto"/>
                <w:vertAlign w:val="superscript"/>
              </w:rPr>
              <w:t>(1)(2)</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10,000</w:t>
            </w:r>
          </w:p>
        </w:tc>
      </w:tr>
      <w:tr>
        <w:trPr>
          <w:trHeight w:val="398"/>
        </w:trPr>
        <w:tc>
          <w:tcPr>
            <w:tcW w:w="7400" w:type="dxa"/>
            <w:vAlign w:val="bottom"/>
            <w:tcBorders>
              <w:bottom w:val="single" w:sz="8" w:color="999999"/>
            </w:tcBorders>
          </w:tcPr>
          <w:p>
            <w:pPr>
              <w:ind w:left="400"/>
              <w:spacing w:after="0"/>
              <w:rPr>
                <w:sz w:val="20"/>
                <w:szCs w:val="20"/>
                <w:color w:val="auto"/>
              </w:rPr>
            </w:pPr>
            <w:r>
              <w:rPr>
                <w:rFonts w:ascii="Arial" w:cs="Arial" w:eastAsia="Arial" w:hAnsi="Arial"/>
                <w:sz w:val="14"/>
                <w:szCs w:val="14"/>
                <w:color w:val="auto"/>
              </w:rPr>
              <w:t>Compensation Committee Chairperson</w:t>
            </w:r>
            <w:r>
              <w:rPr>
                <w:rFonts w:ascii="Arial" w:cs="Arial" w:eastAsia="Arial" w:hAnsi="Arial"/>
                <w:sz w:val="23"/>
                <w:szCs w:val="23"/>
                <w:color w:val="auto"/>
                <w:vertAlign w:val="superscript"/>
              </w:rPr>
              <w:t>(1)(2)</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15,000</w:t>
            </w:r>
          </w:p>
        </w:tc>
      </w:tr>
      <w:tr>
        <w:trPr>
          <w:trHeight w:val="398"/>
        </w:trPr>
        <w:tc>
          <w:tcPr>
            <w:tcW w:w="7400" w:type="dxa"/>
            <w:vAlign w:val="bottom"/>
            <w:tcBorders>
              <w:bottom w:val="single" w:sz="8" w:color="999999"/>
            </w:tcBorders>
          </w:tcPr>
          <w:p>
            <w:pPr>
              <w:ind w:left="400"/>
              <w:spacing w:after="0"/>
              <w:rPr>
                <w:sz w:val="20"/>
                <w:szCs w:val="20"/>
                <w:color w:val="auto"/>
              </w:rPr>
            </w:pPr>
            <w:r>
              <w:rPr>
                <w:rFonts w:ascii="Arial" w:cs="Arial" w:eastAsia="Arial" w:hAnsi="Arial"/>
                <w:sz w:val="14"/>
                <w:szCs w:val="14"/>
                <w:color w:val="auto"/>
              </w:rPr>
              <w:t>Compensation Committee member (other than Chairperson)</w:t>
            </w:r>
            <w:r>
              <w:rPr>
                <w:rFonts w:ascii="Arial" w:cs="Arial" w:eastAsia="Arial" w:hAnsi="Arial"/>
                <w:sz w:val="23"/>
                <w:szCs w:val="23"/>
                <w:color w:val="auto"/>
                <w:vertAlign w:val="superscript"/>
              </w:rPr>
              <w:t>(1)(2)</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7,500</w:t>
            </w:r>
          </w:p>
        </w:tc>
      </w:tr>
      <w:tr>
        <w:trPr>
          <w:trHeight w:val="398"/>
        </w:trPr>
        <w:tc>
          <w:tcPr>
            <w:tcW w:w="7400" w:type="dxa"/>
            <w:vAlign w:val="bottom"/>
            <w:tcBorders>
              <w:bottom w:val="single" w:sz="8" w:color="999999"/>
            </w:tcBorders>
          </w:tcPr>
          <w:p>
            <w:pPr>
              <w:ind w:left="400"/>
              <w:spacing w:after="0"/>
              <w:rPr>
                <w:sz w:val="20"/>
                <w:szCs w:val="20"/>
                <w:color w:val="auto"/>
              </w:rPr>
            </w:pPr>
            <w:r>
              <w:rPr>
                <w:rFonts w:ascii="Arial" w:cs="Arial" w:eastAsia="Arial" w:hAnsi="Arial"/>
                <w:sz w:val="14"/>
                <w:szCs w:val="14"/>
                <w:color w:val="auto"/>
              </w:rPr>
              <w:t>Nominating and Corporate Governance Committee Chairperson</w:t>
            </w:r>
            <w:r>
              <w:rPr>
                <w:rFonts w:ascii="Arial" w:cs="Arial" w:eastAsia="Arial" w:hAnsi="Arial"/>
                <w:sz w:val="23"/>
                <w:szCs w:val="23"/>
                <w:color w:val="auto"/>
                <w:vertAlign w:val="superscript"/>
              </w:rPr>
              <w:t>(1)(2)</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10,000</w:t>
            </w:r>
          </w:p>
        </w:tc>
      </w:tr>
      <w:tr>
        <w:trPr>
          <w:trHeight w:val="398"/>
        </w:trPr>
        <w:tc>
          <w:tcPr>
            <w:tcW w:w="7400" w:type="dxa"/>
            <w:vAlign w:val="bottom"/>
            <w:tcBorders>
              <w:bottom w:val="single" w:sz="8" w:color="999999"/>
            </w:tcBorders>
          </w:tcPr>
          <w:p>
            <w:pPr>
              <w:ind w:left="400"/>
              <w:spacing w:after="0"/>
              <w:rPr>
                <w:sz w:val="20"/>
                <w:szCs w:val="20"/>
                <w:color w:val="auto"/>
              </w:rPr>
            </w:pPr>
            <w:r>
              <w:rPr>
                <w:rFonts w:ascii="Arial" w:cs="Arial" w:eastAsia="Arial" w:hAnsi="Arial"/>
                <w:sz w:val="14"/>
                <w:szCs w:val="14"/>
                <w:color w:val="auto"/>
              </w:rPr>
              <w:t>Nominating and Corporate Governance Committee member (other than Chairperson</w:t>
            </w:r>
            <w:r>
              <w:rPr>
                <w:rFonts w:ascii="Arial" w:cs="Arial" w:eastAsia="Arial" w:hAnsi="Arial"/>
                <w:sz w:val="23"/>
                <w:szCs w:val="23"/>
                <w:color w:val="auto"/>
                <w:vertAlign w:val="superscript"/>
              </w:rPr>
              <w:t>(1)(2)</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5,000</w:t>
            </w:r>
          </w:p>
        </w:tc>
      </w:tr>
      <w:tr>
        <w:trPr>
          <w:trHeight w:val="399"/>
        </w:trPr>
        <w:tc>
          <w:tcPr>
            <w:tcW w:w="7400" w:type="dxa"/>
            <w:vAlign w:val="bottom"/>
            <w:tcBorders>
              <w:bottom w:val="single" w:sz="8" w:color="999999"/>
            </w:tcBorders>
          </w:tcPr>
          <w:p>
            <w:pPr>
              <w:ind w:left="400"/>
              <w:spacing w:after="0"/>
              <w:rPr>
                <w:sz w:val="20"/>
                <w:szCs w:val="20"/>
                <w:color w:val="auto"/>
              </w:rPr>
            </w:pPr>
            <w:r>
              <w:rPr>
                <w:rFonts w:ascii="Arial" w:cs="Arial" w:eastAsia="Arial" w:hAnsi="Arial"/>
                <w:sz w:val="14"/>
                <w:szCs w:val="14"/>
                <w:color w:val="auto"/>
              </w:rPr>
              <w:t>Technology Committee Chairperson</w:t>
            </w:r>
            <w:r>
              <w:rPr>
                <w:rFonts w:ascii="Arial" w:cs="Arial" w:eastAsia="Arial" w:hAnsi="Arial"/>
                <w:sz w:val="23"/>
                <w:szCs w:val="23"/>
                <w:color w:val="auto"/>
                <w:vertAlign w:val="superscript"/>
              </w:rPr>
              <w:t>(1)(2)</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15,000</w:t>
            </w:r>
          </w:p>
        </w:tc>
      </w:tr>
      <w:tr>
        <w:trPr>
          <w:trHeight w:val="398"/>
        </w:trPr>
        <w:tc>
          <w:tcPr>
            <w:tcW w:w="7400" w:type="dxa"/>
            <w:vAlign w:val="bottom"/>
            <w:tcBorders>
              <w:bottom w:val="single" w:sz="8" w:color="999999"/>
            </w:tcBorders>
          </w:tcPr>
          <w:p>
            <w:pPr>
              <w:ind w:left="400"/>
              <w:spacing w:after="0"/>
              <w:rPr>
                <w:sz w:val="20"/>
                <w:szCs w:val="20"/>
                <w:color w:val="auto"/>
              </w:rPr>
            </w:pPr>
            <w:r>
              <w:rPr>
                <w:rFonts w:ascii="Arial" w:cs="Arial" w:eastAsia="Arial" w:hAnsi="Arial"/>
                <w:sz w:val="14"/>
                <w:szCs w:val="14"/>
                <w:color w:val="auto"/>
              </w:rPr>
              <w:t>Technology Committee member (other than Chairperson)</w:t>
            </w:r>
            <w:r>
              <w:rPr>
                <w:rFonts w:ascii="Arial" w:cs="Arial" w:eastAsia="Arial" w:hAnsi="Arial"/>
                <w:sz w:val="23"/>
                <w:szCs w:val="23"/>
                <w:color w:val="auto"/>
                <w:vertAlign w:val="superscript"/>
              </w:rPr>
              <w:t>(1)(2)</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7,500</w:t>
            </w:r>
          </w:p>
        </w:tc>
      </w:tr>
      <w:tr>
        <w:trPr>
          <w:trHeight w:val="398"/>
        </w:trPr>
        <w:tc>
          <w:tcPr>
            <w:tcW w:w="7400" w:type="dxa"/>
            <w:vAlign w:val="bottom"/>
            <w:tcBorders>
              <w:bottom w:val="single" w:sz="8" w:color="999999"/>
            </w:tcBorders>
          </w:tcPr>
          <w:p>
            <w:pPr>
              <w:ind w:left="400"/>
              <w:spacing w:after="0"/>
              <w:rPr>
                <w:sz w:val="20"/>
                <w:szCs w:val="20"/>
                <w:color w:val="auto"/>
              </w:rPr>
            </w:pPr>
            <w:r>
              <w:rPr>
                <w:rFonts w:ascii="Arial" w:cs="Arial" w:eastAsia="Arial" w:hAnsi="Arial"/>
                <w:sz w:val="14"/>
                <w:szCs w:val="14"/>
                <w:color w:val="auto"/>
              </w:rPr>
              <w:t>Additional Annual Retainer for Chairperson of the Board (if a Non-Employee Director)</w:t>
            </w:r>
            <w:r>
              <w:rPr>
                <w:rFonts w:ascii="Arial" w:cs="Arial" w:eastAsia="Arial" w:hAnsi="Arial"/>
                <w:sz w:val="23"/>
                <w:szCs w:val="23"/>
                <w:color w:val="auto"/>
                <w:vertAlign w:val="superscript"/>
              </w:rPr>
              <w:t>(1)(2)</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60,000</w:t>
            </w:r>
          </w:p>
        </w:tc>
      </w:tr>
      <w:tr>
        <w:trPr>
          <w:trHeight w:val="398"/>
        </w:trPr>
        <w:tc>
          <w:tcPr>
            <w:tcW w:w="7400" w:type="dxa"/>
            <w:vAlign w:val="bottom"/>
            <w:tcBorders>
              <w:bottom w:val="single" w:sz="8" w:color="999999"/>
            </w:tcBorders>
          </w:tcPr>
          <w:p>
            <w:pPr>
              <w:ind w:left="400"/>
              <w:spacing w:after="0"/>
              <w:rPr>
                <w:sz w:val="20"/>
                <w:szCs w:val="20"/>
                <w:color w:val="auto"/>
              </w:rPr>
            </w:pPr>
            <w:r>
              <w:rPr>
                <w:rFonts w:ascii="Arial" w:cs="Arial" w:eastAsia="Arial" w:hAnsi="Arial"/>
                <w:sz w:val="14"/>
                <w:szCs w:val="14"/>
                <w:color w:val="auto"/>
              </w:rPr>
              <w:t>Additional Annual Retainer for Lead Independent Director</w:t>
            </w:r>
            <w:r>
              <w:rPr>
                <w:rFonts w:ascii="Arial" w:cs="Arial" w:eastAsia="Arial" w:hAnsi="Arial"/>
                <w:sz w:val="23"/>
                <w:szCs w:val="23"/>
                <w:color w:val="auto"/>
                <w:vertAlign w:val="superscript"/>
              </w:rPr>
              <w:t>(1)(2)</w:t>
            </w:r>
          </w:p>
        </w:tc>
        <w:tc>
          <w:tcPr>
            <w:tcW w:w="200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25,000</w:t>
            </w:r>
          </w:p>
        </w:tc>
      </w:tr>
      <w:tr>
        <w:trPr>
          <w:trHeight w:val="385"/>
        </w:trPr>
        <w:tc>
          <w:tcPr>
            <w:tcW w:w="74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Additional Meeting Fees for each Director</w:t>
            </w:r>
            <w:r>
              <w:rPr>
                <w:rFonts w:ascii="Arial" w:cs="Arial" w:eastAsia="Arial" w:hAnsi="Arial"/>
                <w:sz w:val="23"/>
                <w:szCs w:val="23"/>
                <w:color w:val="auto"/>
                <w:vertAlign w:val="superscript"/>
              </w:rPr>
              <w:t>(7)</w:t>
            </w:r>
          </w:p>
        </w:tc>
        <w:tc>
          <w:tcPr>
            <w:tcW w:w="2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1,000</w:t>
            </w:r>
          </w:p>
        </w:tc>
      </w:tr>
    </w:tbl>
    <w:p>
      <w:pPr>
        <w:spacing w:after="0" w:line="198" w:lineRule="exact"/>
        <w:rPr>
          <w:sz w:val="20"/>
          <w:szCs w:val="20"/>
          <w:color w:val="auto"/>
        </w:rPr>
      </w:pPr>
    </w:p>
    <w:p>
      <w:pPr>
        <w:ind w:left="240" w:hanging="234"/>
        <w:spacing w:after="0"/>
        <w:tabs>
          <w:tab w:leader="none" w:pos="24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Vested upon payment and paid in arrears on the last business day of each fiscal quarter in which the Non-Employee Director’s service occurred.</w:t>
      </w:r>
    </w:p>
    <w:p>
      <w:pPr>
        <w:spacing w:after="0" w:line="66" w:lineRule="exact"/>
        <w:rPr>
          <w:rFonts w:ascii="Arial" w:cs="Arial" w:eastAsia="Arial" w:hAnsi="Arial"/>
          <w:sz w:val="13"/>
          <w:szCs w:val="13"/>
          <w:b w:val="1"/>
          <w:bCs w:val="1"/>
          <w:color w:val="auto"/>
        </w:rPr>
      </w:pPr>
    </w:p>
    <w:p>
      <w:pPr>
        <w:ind w:left="240" w:right="140" w:hanging="234"/>
        <w:spacing w:after="0" w:line="236" w:lineRule="auto"/>
        <w:tabs>
          <w:tab w:leader="none" w:pos="24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spacing w:after="0" w:line="31" w:lineRule="exact"/>
        <w:rPr>
          <w:rFonts w:ascii="Arial" w:cs="Arial" w:eastAsia="Arial" w:hAnsi="Arial"/>
          <w:sz w:val="13"/>
          <w:szCs w:val="13"/>
          <w:b w:val="1"/>
          <w:bCs w:val="1"/>
          <w:color w:val="auto"/>
        </w:rPr>
      </w:pPr>
    </w:p>
    <w:p>
      <w:pPr>
        <w:ind w:left="240" w:right="20" w:hanging="234"/>
        <w:spacing w:after="0" w:line="225" w:lineRule="auto"/>
        <w:tabs>
          <w:tab w:leader="none" w:pos="24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w:t>
      </w:r>
    </w:p>
    <w:p>
      <w:pPr>
        <w:spacing w:after="0" w:line="31" w:lineRule="exact"/>
        <w:rPr>
          <w:rFonts w:ascii="Arial" w:cs="Arial" w:eastAsia="Arial" w:hAnsi="Arial"/>
          <w:sz w:val="13"/>
          <w:szCs w:val="13"/>
          <w:b w:val="1"/>
          <w:bCs w:val="1"/>
          <w:color w:val="auto"/>
        </w:rPr>
      </w:pPr>
    </w:p>
    <w:p>
      <w:pPr>
        <w:ind w:left="240" w:right="40" w:hanging="234"/>
        <w:spacing w:after="0" w:line="223" w:lineRule="auto"/>
        <w:tabs>
          <w:tab w:leader="none" w:pos="24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9664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40" w:right="20" w:hanging="234"/>
        <w:spacing w:after="0" w:line="228" w:lineRule="auto"/>
        <w:tabs>
          <w:tab w:leader="none" w:pos="24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w:t>
      </w:r>
    </w:p>
    <w:p>
      <w:pPr>
        <w:spacing w:after="0" w:line="32" w:lineRule="exact"/>
        <w:rPr>
          <w:rFonts w:ascii="Arial" w:cs="Arial" w:eastAsia="Arial" w:hAnsi="Arial"/>
          <w:sz w:val="13"/>
          <w:szCs w:val="13"/>
          <w:b w:val="1"/>
          <w:bCs w:val="1"/>
          <w:color w:val="auto"/>
        </w:rPr>
      </w:pPr>
    </w:p>
    <w:p>
      <w:pPr>
        <w:ind w:left="240" w:right="180" w:hanging="234"/>
        <w:spacing w:after="0" w:line="236" w:lineRule="auto"/>
        <w:tabs>
          <w:tab w:leader="none" w:pos="24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At the close of business on the date of each annual meeting of our stockholders, each Non-Employee Director who will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w:t>
      </w:r>
    </w:p>
    <w:p>
      <w:pPr>
        <w:spacing w:after="0" w:line="31" w:lineRule="exact"/>
        <w:rPr>
          <w:rFonts w:ascii="Arial" w:cs="Arial" w:eastAsia="Arial" w:hAnsi="Arial"/>
          <w:sz w:val="13"/>
          <w:szCs w:val="13"/>
          <w:b w:val="1"/>
          <w:bCs w:val="1"/>
          <w:color w:val="auto"/>
        </w:rPr>
      </w:pPr>
    </w:p>
    <w:p>
      <w:pPr>
        <w:ind w:left="240" w:right="260" w:hanging="234"/>
        <w:spacing w:after="0" w:line="231" w:lineRule="auto"/>
        <w:tabs>
          <w:tab w:leader="none" w:pos="24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13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following table shows certain information with respect to the compensation of all non-employee directors of the Company in 2024. These amounts reflect our accounting expense for these RSUs, as further described in the footnotes to the table, and do not represent the actual economic value that was realized in 2024 or may be realized upon vesting by the non-employee director.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140" w:type="dxa"/>
            <w:vAlign w:val="bottom"/>
            <w:shd w:val="clear" w:color="auto" w:fill="000000"/>
          </w:tcPr>
          <w:p>
            <w:pPr>
              <w:spacing w:after="0"/>
              <w:rPr>
                <w:sz w:val="24"/>
                <w:szCs w:val="24"/>
                <w:color w:val="auto"/>
              </w:rPr>
            </w:pPr>
          </w:p>
        </w:tc>
        <w:tc>
          <w:tcPr>
            <w:tcW w:w="1940" w:type="dxa"/>
            <w:vAlign w:val="bottom"/>
            <w:shd w:val="clear" w:color="auto" w:fill="000000"/>
          </w:tcPr>
          <w:p>
            <w:pPr>
              <w:spacing w:after="0"/>
              <w:rPr>
                <w:sz w:val="24"/>
                <w:szCs w:val="24"/>
                <w:color w:val="auto"/>
              </w:rPr>
            </w:pPr>
          </w:p>
        </w:tc>
        <w:tc>
          <w:tcPr>
            <w:tcW w:w="680" w:type="dxa"/>
            <w:vAlign w:val="bottom"/>
            <w:shd w:val="clear" w:color="auto" w:fill="000000"/>
          </w:tcPr>
          <w:p>
            <w:pPr>
              <w:spacing w:after="0"/>
              <w:rPr>
                <w:sz w:val="24"/>
                <w:szCs w:val="24"/>
                <w:color w:val="auto"/>
              </w:rPr>
            </w:pPr>
          </w:p>
        </w:tc>
        <w:tc>
          <w:tcPr>
            <w:tcW w:w="620" w:type="dxa"/>
            <w:vAlign w:val="bottom"/>
            <w:shd w:val="clear" w:color="auto" w:fill="000000"/>
          </w:tcPr>
          <w:p>
            <w:pPr>
              <w:spacing w:after="0"/>
              <w:rPr>
                <w:sz w:val="24"/>
                <w:szCs w:val="24"/>
                <w:color w:val="auto"/>
              </w:rPr>
            </w:pPr>
          </w:p>
        </w:tc>
        <w:tc>
          <w:tcPr>
            <w:tcW w:w="108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Non-equity</w:t>
            </w:r>
          </w:p>
        </w:tc>
        <w:tc>
          <w:tcPr>
            <w:tcW w:w="110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Nonqualified</w:t>
            </w:r>
          </w:p>
        </w:tc>
        <w:tc>
          <w:tcPr>
            <w:tcW w:w="1080" w:type="dxa"/>
            <w:vAlign w:val="bottom"/>
            <w:shd w:val="clear" w:color="auto" w:fill="000000"/>
          </w:tcPr>
          <w:p>
            <w:pPr>
              <w:spacing w:after="0"/>
              <w:rPr>
                <w:sz w:val="24"/>
                <w:szCs w:val="24"/>
                <w:color w:val="auto"/>
              </w:rPr>
            </w:pPr>
          </w:p>
        </w:tc>
        <w:tc>
          <w:tcPr>
            <w:tcW w:w="7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000000"/>
          </w:tcPr>
          <w:p>
            <w:pPr>
              <w:spacing w:after="0"/>
              <w:rPr>
                <w:sz w:val="14"/>
                <w:szCs w:val="14"/>
                <w:color w:val="auto"/>
              </w:rPr>
            </w:pPr>
          </w:p>
        </w:tc>
        <w:tc>
          <w:tcPr>
            <w:tcW w:w="1940" w:type="dxa"/>
            <w:vAlign w:val="bottom"/>
            <w:shd w:val="clear" w:color="auto" w:fill="000000"/>
          </w:tcPr>
          <w:p>
            <w:pPr>
              <w:spacing w:after="0"/>
              <w:rPr>
                <w:sz w:val="14"/>
                <w:szCs w:val="14"/>
                <w:color w:val="auto"/>
              </w:rPr>
            </w:pPr>
          </w:p>
        </w:tc>
        <w:tc>
          <w:tcPr>
            <w:tcW w:w="680" w:type="dxa"/>
            <w:vAlign w:val="bottom"/>
            <w:vMerge w:val="restart"/>
            <w:shd w:val="clear" w:color="auto" w:fill="000000"/>
          </w:tcPr>
          <w:p>
            <w:pPr>
              <w:jc w:val="right"/>
              <w:ind w:right="29"/>
              <w:spacing w:after="0"/>
              <w:rPr>
                <w:sz w:val="20"/>
                <w:szCs w:val="20"/>
                <w:color w:val="auto"/>
              </w:rPr>
            </w:pPr>
            <w:r>
              <w:rPr>
                <w:rFonts w:ascii="Arial" w:cs="Arial" w:eastAsia="Arial" w:hAnsi="Arial"/>
                <w:sz w:val="14"/>
                <w:szCs w:val="14"/>
                <w:b w:val="1"/>
                <w:bCs w:val="1"/>
                <w:color w:val="FFFFFF"/>
              </w:rPr>
              <w:t>Stock​</w:t>
            </w:r>
          </w:p>
        </w:tc>
        <w:tc>
          <w:tcPr>
            <w:tcW w:w="620" w:type="dxa"/>
            <w:vAlign w:val="bottom"/>
            <w:shd w:val="clear" w:color="auto" w:fill="000000"/>
          </w:tcPr>
          <w:p>
            <w:pPr>
              <w:spacing w:after="0"/>
              <w:rPr>
                <w:sz w:val="14"/>
                <w:szCs w:val="14"/>
                <w:color w:val="auto"/>
              </w:rPr>
            </w:pPr>
          </w:p>
        </w:tc>
        <w:tc>
          <w:tcPr>
            <w:tcW w:w="108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incentive</w:t>
            </w:r>
          </w:p>
        </w:tc>
        <w:tc>
          <w:tcPr>
            <w:tcW w:w="110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deferred</w:t>
            </w:r>
          </w:p>
        </w:tc>
        <w:tc>
          <w:tcPr>
            <w:tcW w:w="108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40" w:type="dxa"/>
            <w:vAlign w:val="bottom"/>
            <w:shd w:val="clear" w:color="auto" w:fill="000000"/>
          </w:tcPr>
          <w:p>
            <w:pPr>
              <w:spacing w:after="0"/>
              <w:rPr>
                <w:sz w:val="12"/>
                <w:szCs w:val="12"/>
                <w:color w:val="auto"/>
              </w:rPr>
            </w:pPr>
          </w:p>
        </w:tc>
        <w:tc>
          <w:tcPr>
            <w:tcW w:w="1940" w:type="dxa"/>
            <w:vAlign w:val="bottom"/>
            <w:shd w:val="clear" w:color="auto" w:fill="000000"/>
          </w:tcPr>
          <w:p>
            <w:pPr>
              <w:jc w:val="right"/>
              <w:ind w:right="28"/>
              <w:spacing w:after="0" w:line="145" w:lineRule="exact"/>
              <w:rPr>
                <w:sz w:val="20"/>
                <w:szCs w:val="20"/>
                <w:color w:val="auto"/>
              </w:rPr>
            </w:pPr>
            <w:r>
              <w:rPr>
                <w:rFonts w:ascii="Arial" w:cs="Arial" w:eastAsia="Arial" w:hAnsi="Arial"/>
                <w:sz w:val="14"/>
                <w:szCs w:val="14"/>
                <w:b w:val="1"/>
                <w:bCs w:val="1"/>
                <w:color w:val="FFFFFF"/>
              </w:rPr>
              <w:t>Fees Earned or</w:t>
            </w:r>
          </w:p>
        </w:tc>
        <w:tc>
          <w:tcPr>
            <w:tcW w:w="680" w:type="dxa"/>
            <w:vAlign w:val="bottom"/>
            <w:vMerge w:val="continue"/>
            <w:shd w:val="clear" w:color="auto" w:fill="000000"/>
          </w:tcPr>
          <w:p>
            <w:pPr>
              <w:spacing w:after="0"/>
              <w:rPr>
                <w:sz w:val="12"/>
                <w:szCs w:val="12"/>
                <w:color w:val="auto"/>
              </w:rPr>
            </w:pPr>
          </w:p>
        </w:tc>
        <w:tc>
          <w:tcPr>
            <w:tcW w:w="620" w:type="dxa"/>
            <w:vAlign w:val="bottom"/>
            <w:shd w:val="clear" w:color="auto" w:fill="000000"/>
          </w:tcPr>
          <w:p>
            <w:pPr>
              <w:jc w:val="right"/>
              <w:spacing w:after="0" w:line="145" w:lineRule="exact"/>
              <w:rPr>
                <w:sz w:val="20"/>
                <w:szCs w:val="20"/>
                <w:color w:val="auto"/>
              </w:rPr>
            </w:pPr>
            <w:r>
              <w:rPr>
                <w:rFonts w:ascii="Arial" w:cs="Arial" w:eastAsia="Arial" w:hAnsi="Arial"/>
                <w:sz w:val="14"/>
                <w:szCs w:val="14"/>
                <w:b w:val="1"/>
                <w:bCs w:val="1"/>
                <w:color w:val="FFFFFF"/>
              </w:rPr>
              <w:t>Option</w:t>
            </w:r>
          </w:p>
        </w:tc>
        <w:tc>
          <w:tcPr>
            <w:tcW w:w="1080" w:type="dxa"/>
            <w:vAlign w:val="bottom"/>
            <w:shd w:val="clear" w:color="auto" w:fill="000000"/>
          </w:tcPr>
          <w:p>
            <w:pPr>
              <w:jc w:val="right"/>
              <w:ind w:right="28"/>
              <w:spacing w:after="0" w:line="145" w:lineRule="exact"/>
              <w:rPr>
                <w:sz w:val="20"/>
                <w:szCs w:val="20"/>
                <w:color w:val="auto"/>
              </w:rPr>
            </w:pPr>
            <w:r>
              <w:rPr>
                <w:rFonts w:ascii="Arial" w:cs="Arial" w:eastAsia="Arial" w:hAnsi="Arial"/>
                <w:sz w:val="14"/>
                <w:szCs w:val="14"/>
                <w:b w:val="1"/>
                <w:bCs w:val="1"/>
                <w:color w:val="FFFFFF"/>
              </w:rPr>
              <w:t>plan</w:t>
            </w:r>
          </w:p>
        </w:tc>
        <w:tc>
          <w:tcPr>
            <w:tcW w:w="1100" w:type="dxa"/>
            <w:vAlign w:val="bottom"/>
            <w:shd w:val="clear" w:color="auto" w:fill="000000"/>
          </w:tcPr>
          <w:p>
            <w:pPr>
              <w:ind w:left="60"/>
              <w:spacing w:after="0" w:line="145" w:lineRule="exact"/>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000000"/>
          </w:tcPr>
          <w:p>
            <w:pPr>
              <w:ind w:left="380"/>
              <w:spacing w:after="0" w:line="145" w:lineRule="exact"/>
              <w:rPr>
                <w:sz w:val="20"/>
                <w:szCs w:val="20"/>
                <w:color w:val="auto"/>
              </w:rPr>
            </w:pPr>
            <w:r>
              <w:rPr>
                <w:rFonts w:ascii="Arial" w:cs="Arial" w:eastAsia="Arial" w:hAnsi="Arial"/>
                <w:sz w:val="14"/>
                <w:szCs w:val="14"/>
                <w:b w:val="1"/>
                <w:bCs w:val="1"/>
                <w:color w:val="FFFFFF"/>
              </w:rPr>
              <w:t>All​ Other</w:t>
            </w:r>
          </w:p>
        </w:tc>
        <w:tc>
          <w:tcPr>
            <w:tcW w:w="7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000000"/>
          </w:tcPr>
          <w:p>
            <w:pPr>
              <w:spacing w:after="0"/>
              <w:rPr>
                <w:sz w:val="14"/>
                <w:szCs w:val="14"/>
                <w:color w:val="auto"/>
              </w:rPr>
            </w:pPr>
          </w:p>
        </w:tc>
        <w:tc>
          <w:tcPr>
            <w:tcW w:w="194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Paid in Cash</w:t>
            </w:r>
          </w:p>
        </w:tc>
        <w:tc>
          <w:tcPr>
            <w:tcW w:w="680" w:type="dxa"/>
            <w:vAlign w:val="bottom"/>
            <w:shd w:val="clear" w:color="auto" w:fill="000000"/>
          </w:tcPr>
          <w:p>
            <w:pPr>
              <w:jc w:val="right"/>
              <w:ind w:right="29"/>
              <w:spacing w:after="0"/>
              <w:rPr>
                <w:sz w:val="20"/>
                <w:szCs w:val="20"/>
                <w:color w:val="auto"/>
              </w:rPr>
            </w:pPr>
            <w:r>
              <w:rPr>
                <w:rFonts w:ascii="Arial" w:cs="Arial" w:eastAsia="Arial" w:hAnsi="Arial"/>
                <w:sz w:val="14"/>
                <w:szCs w:val="14"/>
                <w:b w:val="1"/>
                <w:bCs w:val="1"/>
                <w:color w:val="FFFFFF"/>
              </w:rPr>
              <w:t>Awards</w:t>
            </w:r>
          </w:p>
        </w:tc>
        <w:tc>
          <w:tcPr>
            <w:tcW w:w="62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awards</w:t>
            </w:r>
          </w:p>
        </w:tc>
        <w:tc>
          <w:tcPr>
            <w:tcW w:w="1080" w:type="dxa"/>
            <w:vAlign w:val="bottom"/>
            <w:shd w:val="clear" w:color="auto" w:fill="000000"/>
          </w:tcPr>
          <w:p>
            <w:pPr>
              <w:ind w:left="40"/>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earnings</w:t>
            </w:r>
          </w:p>
        </w:tc>
        <w:tc>
          <w:tcPr>
            <w:tcW w:w="1080" w:type="dxa"/>
            <w:vAlign w:val="bottom"/>
            <w:shd w:val="clear" w:color="auto" w:fill="000000"/>
          </w:tcPr>
          <w:p>
            <w:pPr>
              <w:ind w:left="60"/>
              <w:spacing w:after="0"/>
              <w:rPr>
                <w:sz w:val="20"/>
                <w:szCs w:val="20"/>
                <w:color w:val="auto"/>
              </w:rPr>
            </w:pPr>
            <w:r>
              <w:rPr>
                <w:rFonts w:ascii="Arial" w:cs="Arial" w:eastAsia="Arial" w:hAnsi="Arial"/>
                <w:sz w:val="14"/>
                <w:szCs w:val="14"/>
                <w:b w:val="1"/>
                <w:bCs w:val="1"/>
                <w:color w:val="FFFFFF"/>
              </w:rPr>
              <w:t>compensation</w:t>
            </w:r>
          </w:p>
        </w:tc>
        <w:tc>
          <w:tcPr>
            <w:tcW w:w="76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97"/>
        </w:trPr>
        <w:tc>
          <w:tcPr>
            <w:tcW w:w="2140" w:type="dxa"/>
            <w:vAlign w:val="bottom"/>
            <w:shd w:val="clear" w:color="auto" w:fill="000000"/>
          </w:tcPr>
          <w:p>
            <w:pPr>
              <w:ind w:left="180"/>
              <w:spacing w:after="0"/>
              <w:rPr>
                <w:sz w:val="20"/>
                <w:szCs w:val="20"/>
                <w:color w:val="auto"/>
              </w:rPr>
            </w:pPr>
            <w:r>
              <w:rPr>
                <w:rFonts w:ascii="Arial" w:cs="Arial" w:eastAsia="Arial" w:hAnsi="Arial"/>
                <w:sz w:val="14"/>
                <w:szCs w:val="14"/>
                <w:b w:val="1"/>
                <w:bCs w:val="1"/>
                <w:color w:val="FFFFFF"/>
              </w:rPr>
              <w:t>Name</w:t>
            </w:r>
          </w:p>
        </w:tc>
        <w:tc>
          <w:tcPr>
            <w:tcW w:w="194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000000"/>
          </w:tcPr>
          <w:p>
            <w:pPr>
              <w:jc w:val="right"/>
              <w:spacing w:after="0" w:line="29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(1)(2)</w:t>
            </w:r>
          </w:p>
        </w:tc>
        <w:tc>
          <w:tcPr>
            <w:tcW w:w="62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000000"/>
          </w:tcPr>
          <w:p>
            <w:pPr>
              <w:ind w:left="840"/>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0000"/>
          </w:tcPr>
          <w:p>
            <w:pPr>
              <w:ind w:left="860"/>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000000"/>
          </w:tcPr>
          <w:p>
            <w:pPr>
              <w:ind w:left="860"/>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95"/>
        </w:trPr>
        <w:tc>
          <w:tcPr>
            <w:tcW w:w="2140" w:type="dxa"/>
            <w:vAlign w:val="bottom"/>
          </w:tcPr>
          <w:p>
            <w:pPr>
              <w:ind w:left="180"/>
              <w:spacing w:after="0"/>
              <w:rPr>
                <w:sz w:val="20"/>
                <w:szCs w:val="20"/>
                <w:color w:val="auto"/>
              </w:rPr>
            </w:pPr>
            <w:r>
              <w:rPr>
                <w:rFonts w:ascii="Arial" w:cs="Arial" w:eastAsia="Arial" w:hAnsi="Arial"/>
                <w:sz w:val="14"/>
                <w:szCs w:val="14"/>
                <w:b w:val="1"/>
                <w:bCs w:val="1"/>
                <w:color w:val="40C0C0"/>
              </w:rPr>
              <w:t>Tony Aquila</w:t>
            </w:r>
          </w:p>
        </w:tc>
        <w:tc>
          <w:tcPr>
            <w:tcW w:w="1940" w:type="dxa"/>
            <w:vAlign w:val="bottom"/>
          </w:tcPr>
          <w:p>
            <w:pPr>
              <w:jc w:val="right"/>
              <w:ind w:right="108"/>
              <w:spacing w:after="0"/>
              <w:rPr>
                <w:sz w:val="20"/>
                <w:szCs w:val="20"/>
                <w:color w:val="auto"/>
              </w:rPr>
            </w:pPr>
            <w:r>
              <w:rPr>
                <w:rFonts w:ascii="Arial" w:cs="Arial" w:eastAsia="Arial" w:hAnsi="Arial"/>
                <w:sz w:val="14"/>
                <w:szCs w:val="14"/>
                <w:color w:val="auto"/>
              </w:rPr>
              <w:t>85,000</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412,500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497,500</w:t>
            </w:r>
          </w:p>
        </w:tc>
        <w:tc>
          <w:tcPr>
            <w:tcW w:w="0" w:type="dxa"/>
            <w:vAlign w:val="bottom"/>
          </w:tcPr>
          <w:p>
            <w:pPr>
              <w:spacing w:after="0"/>
              <w:rPr>
                <w:sz w:val="1"/>
                <w:szCs w:val="1"/>
                <w:color w:val="auto"/>
              </w:rPr>
            </w:pPr>
          </w:p>
        </w:tc>
      </w:tr>
      <w:tr>
        <w:trPr>
          <w:trHeight w:val="83"/>
        </w:trPr>
        <w:tc>
          <w:tcPr>
            <w:tcW w:w="2140" w:type="dxa"/>
            <w:vAlign w:val="bottom"/>
            <w:tcBorders>
              <w:bottom w:val="single" w:sz="8" w:color="999999"/>
            </w:tcBorders>
          </w:tcPr>
          <w:p>
            <w:pPr>
              <w:spacing w:after="0"/>
              <w:rPr>
                <w:sz w:val="7"/>
                <w:szCs w:val="7"/>
                <w:color w:val="auto"/>
              </w:rPr>
            </w:pPr>
          </w:p>
        </w:tc>
        <w:tc>
          <w:tcPr>
            <w:tcW w:w="1940" w:type="dxa"/>
            <w:vAlign w:val="bottom"/>
            <w:tcBorders>
              <w:bottom w:val="single" w:sz="8" w:color="999999"/>
            </w:tcBorders>
          </w:tcPr>
          <w:p>
            <w:pPr>
              <w:spacing w:after="0"/>
              <w:rPr>
                <w:sz w:val="7"/>
                <w:szCs w:val="7"/>
                <w:color w:val="auto"/>
              </w:rPr>
            </w:pPr>
          </w:p>
        </w:tc>
        <w:tc>
          <w:tcPr>
            <w:tcW w:w="680" w:type="dxa"/>
            <w:vAlign w:val="bottom"/>
            <w:tcBorders>
              <w:bottom w:val="single" w:sz="8" w:color="999999"/>
            </w:tcBorders>
          </w:tcPr>
          <w:p>
            <w:pPr>
              <w:spacing w:after="0"/>
              <w:rPr>
                <w:sz w:val="7"/>
                <w:szCs w:val="7"/>
                <w:color w:val="auto"/>
              </w:rPr>
            </w:pPr>
          </w:p>
        </w:tc>
        <w:tc>
          <w:tcPr>
            <w:tcW w:w="620" w:type="dxa"/>
            <w:vAlign w:val="bottom"/>
            <w:tcBorders>
              <w:bottom w:val="single" w:sz="8" w:color="999999"/>
            </w:tcBorders>
          </w:tcPr>
          <w:p>
            <w:pPr>
              <w:spacing w:after="0"/>
              <w:rPr>
                <w:sz w:val="7"/>
                <w:szCs w:val="7"/>
                <w:color w:val="auto"/>
              </w:rPr>
            </w:pPr>
          </w:p>
        </w:tc>
        <w:tc>
          <w:tcPr>
            <w:tcW w:w="108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080" w:type="dxa"/>
            <w:vAlign w:val="bottom"/>
            <w:tcBorders>
              <w:bottom w:val="single" w:sz="8" w:color="999999"/>
            </w:tcBorders>
          </w:tcPr>
          <w:p>
            <w:pPr>
              <w:spacing w:after="0"/>
              <w:rPr>
                <w:sz w:val="7"/>
                <w:szCs w:val="7"/>
                <w:color w:val="auto"/>
              </w:rPr>
            </w:pPr>
          </w:p>
        </w:tc>
        <w:tc>
          <w:tcPr>
            <w:tcW w:w="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140" w:type="dxa"/>
            <w:vAlign w:val="bottom"/>
          </w:tcPr>
          <w:p>
            <w:pPr>
              <w:ind w:left="180"/>
              <w:spacing w:after="0"/>
              <w:rPr>
                <w:sz w:val="20"/>
                <w:szCs w:val="20"/>
                <w:color w:val="auto"/>
              </w:rPr>
            </w:pPr>
            <w:r>
              <w:rPr>
                <w:rFonts w:ascii="Arial" w:cs="Arial" w:eastAsia="Arial" w:hAnsi="Arial"/>
                <w:sz w:val="14"/>
                <w:szCs w:val="14"/>
                <w:b w:val="1"/>
                <w:bCs w:val="1"/>
                <w:color w:val="40C0C0"/>
              </w:rPr>
              <w:t>Anthony Bay</w:t>
            </w:r>
          </w:p>
        </w:tc>
        <w:tc>
          <w:tcPr>
            <w:tcW w:w="1940" w:type="dxa"/>
            <w:vAlign w:val="bottom"/>
          </w:tcPr>
          <w:p>
            <w:pPr>
              <w:jc w:val="right"/>
              <w:ind w:right="108"/>
              <w:spacing w:after="0"/>
              <w:rPr>
                <w:sz w:val="20"/>
                <w:szCs w:val="20"/>
                <w:color w:val="auto"/>
              </w:rPr>
            </w:pPr>
            <w:r>
              <w:rPr>
                <w:rFonts w:ascii="Arial" w:cs="Arial" w:eastAsia="Arial" w:hAnsi="Arial"/>
                <w:sz w:val="14"/>
                <w:szCs w:val="14"/>
                <w:color w:val="auto"/>
              </w:rPr>
              <w:t>70,890</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206,250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277,140</w:t>
            </w:r>
          </w:p>
        </w:tc>
        <w:tc>
          <w:tcPr>
            <w:tcW w:w="0" w:type="dxa"/>
            <w:vAlign w:val="bottom"/>
          </w:tcPr>
          <w:p>
            <w:pPr>
              <w:spacing w:after="0"/>
              <w:rPr>
                <w:sz w:val="1"/>
                <w:szCs w:val="1"/>
                <w:color w:val="auto"/>
              </w:rPr>
            </w:pPr>
          </w:p>
        </w:tc>
      </w:tr>
      <w:tr>
        <w:trPr>
          <w:trHeight w:val="83"/>
        </w:trPr>
        <w:tc>
          <w:tcPr>
            <w:tcW w:w="2140" w:type="dxa"/>
            <w:vAlign w:val="bottom"/>
            <w:tcBorders>
              <w:bottom w:val="single" w:sz="8" w:color="999999"/>
            </w:tcBorders>
          </w:tcPr>
          <w:p>
            <w:pPr>
              <w:spacing w:after="0"/>
              <w:rPr>
                <w:sz w:val="7"/>
                <w:szCs w:val="7"/>
                <w:color w:val="auto"/>
              </w:rPr>
            </w:pPr>
          </w:p>
        </w:tc>
        <w:tc>
          <w:tcPr>
            <w:tcW w:w="1940" w:type="dxa"/>
            <w:vAlign w:val="bottom"/>
            <w:tcBorders>
              <w:bottom w:val="single" w:sz="8" w:color="999999"/>
            </w:tcBorders>
          </w:tcPr>
          <w:p>
            <w:pPr>
              <w:spacing w:after="0"/>
              <w:rPr>
                <w:sz w:val="7"/>
                <w:szCs w:val="7"/>
                <w:color w:val="auto"/>
              </w:rPr>
            </w:pPr>
          </w:p>
        </w:tc>
        <w:tc>
          <w:tcPr>
            <w:tcW w:w="680" w:type="dxa"/>
            <w:vAlign w:val="bottom"/>
            <w:tcBorders>
              <w:bottom w:val="single" w:sz="8" w:color="999999"/>
            </w:tcBorders>
          </w:tcPr>
          <w:p>
            <w:pPr>
              <w:spacing w:after="0"/>
              <w:rPr>
                <w:sz w:val="7"/>
                <w:szCs w:val="7"/>
                <w:color w:val="auto"/>
              </w:rPr>
            </w:pPr>
          </w:p>
        </w:tc>
        <w:tc>
          <w:tcPr>
            <w:tcW w:w="620" w:type="dxa"/>
            <w:vAlign w:val="bottom"/>
            <w:tcBorders>
              <w:bottom w:val="single" w:sz="8" w:color="999999"/>
            </w:tcBorders>
          </w:tcPr>
          <w:p>
            <w:pPr>
              <w:spacing w:after="0"/>
              <w:rPr>
                <w:sz w:val="7"/>
                <w:szCs w:val="7"/>
                <w:color w:val="auto"/>
              </w:rPr>
            </w:pPr>
          </w:p>
        </w:tc>
        <w:tc>
          <w:tcPr>
            <w:tcW w:w="108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080" w:type="dxa"/>
            <w:vAlign w:val="bottom"/>
            <w:tcBorders>
              <w:bottom w:val="single" w:sz="8" w:color="999999"/>
            </w:tcBorders>
          </w:tcPr>
          <w:p>
            <w:pPr>
              <w:spacing w:after="0"/>
              <w:rPr>
                <w:sz w:val="7"/>
                <w:szCs w:val="7"/>
                <w:color w:val="auto"/>
              </w:rPr>
            </w:pPr>
          </w:p>
        </w:tc>
        <w:tc>
          <w:tcPr>
            <w:tcW w:w="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140" w:type="dxa"/>
            <w:vAlign w:val="bottom"/>
          </w:tcPr>
          <w:p>
            <w:pPr>
              <w:ind w:left="180"/>
              <w:spacing w:after="0"/>
              <w:rPr>
                <w:sz w:val="20"/>
                <w:szCs w:val="20"/>
                <w:color w:val="auto"/>
              </w:rPr>
            </w:pPr>
            <w:r>
              <w:rPr>
                <w:rFonts w:ascii="Arial" w:cs="Arial" w:eastAsia="Arial" w:hAnsi="Arial"/>
                <w:sz w:val="14"/>
                <w:szCs w:val="14"/>
                <w:b w:val="1"/>
                <w:bCs w:val="1"/>
                <w:color w:val="40C0C0"/>
              </w:rPr>
              <w:t>Douglas Francis</w:t>
            </w:r>
          </w:p>
        </w:tc>
        <w:tc>
          <w:tcPr>
            <w:tcW w:w="1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2140" w:type="dxa"/>
            <w:vAlign w:val="bottom"/>
            <w:tcBorders>
              <w:bottom w:val="single" w:sz="8" w:color="999999"/>
            </w:tcBorders>
          </w:tcPr>
          <w:p>
            <w:pPr>
              <w:spacing w:after="0"/>
              <w:rPr>
                <w:sz w:val="7"/>
                <w:szCs w:val="7"/>
                <w:color w:val="auto"/>
              </w:rPr>
            </w:pPr>
          </w:p>
        </w:tc>
        <w:tc>
          <w:tcPr>
            <w:tcW w:w="1940" w:type="dxa"/>
            <w:vAlign w:val="bottom"/>
            <w:tcBorders>
              <w:bottom w:val="single" w:sz="8" w:color="999999"/>
            </w:tcBorders>
          </w:tcPr>
          <w:p>
            <w:pPr>
              <w:spacing w:after="0"/>
              <w:rPr>
                <w:sz w:val="7"/>
                <w:szCs w:val="7"/>
                <w:color w:val="auto"/>
              </w:rPr>
            </w:pPr>
          </w:p>
        </w:tc>
        <w:tc>
          <w:tcPr>
            <w:tcW w:w="680" w:type="dxa"/>
            <w:vAlign w:val="bottom"/>
            <w:tcBorders>
              <w:bottom w:val="single" w:sz="8" w:color="999999"/>
            </w:tcBorders>
          </w:tcPr>
          <w:p>
            <w:pPr>
              <w:spacing w:after="0"/>
              <w:rPr>
                <w:sz w:val="7"/>
                <w:szCs w:val="7"/>
                <w:color w:val="auto"/>
              </w:rPr>
            </w:pPr>
          </w:p>
        </w:tc>
        <w:tc>
          <w:tcPr>
            <w:tcW w:w="620" w:type="dxa"/>
            <w:vAlign w:val="bottom"/>
            <w:tcBorders>
              <w:bottom w:val="single" w:sz="8" w:color="999999"/>
            </w:tcBorders>
          </w:tcPr>
          <w:p>
            <w:pPr>
              <w:spacing w:after="0"/>
              <w:rPr>
                <w:sz w:val="7"/>
                <w:szCs w:val="7"/>
                <w:color w:val="auto"/>
              </w:rPr>
            </w:pPr>
          </w:p>
        </w:tc>
        <w:tc>
          <w:tcPr>
            <w:tcW w:w="108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080" w:type="dxa"/>
            <w:vAlign w:val="bottom"/>
            <w:tcBorders>
              <w:bottom w:val="single" w:sz="8" w:color="999999"/>
            </w:tcBorders>
          </w:tcPr>
          <w:p>
            <w:pPr>
              <w:spacing w:after="0"/>
              <w:rPr>
                <w:sz w:val="7"/>
                <w:szCs w:val="7"/>
                <w:color w:val="auto"/>
              </w:rPr>
            </w:pPr>
          </w:p>
        </w:tc>
        <w:tc>
          <w:tcPr>
            <w:tcW w:w="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140" w:type="dxa"/>
            <w:vAlign w:val="bottom"/>
          </w:tcPr>
          <w:p>
            <w:pPr>
              <w:ind w:left="180"/>
              <w:spacing w:after="0"/>
              <w:rPr>
                <w:sz w:val="20"/>
                <w:szCs w:val="20"/>
                <w:color w:val="auto"/>
              </w:rPr>
            </w:pPr>
            <w:r>
              <w:rPr>
                <w:rFonts w:ascii="Arial" w:cs="Arial" w:eastAsia="Arial" w:hAnsi="Arial"/>
                <w:sz w:val="14"/>
                <w:szCs w:val="14"/>
                <w:b w:val="1"/>
                <w:bCs w:val="1"/>
                <w:color w:val="40C0C0"/>
              </w:rPr>
              <w:t>Brenda Freeman</w:t>
            </w:r>
          </w:p>
        </w:tc>
        <w:tc>
          <w:tcPr>
            <w:tcW w:w="1940" w:type="dxa"/>
            <w:vAlign w:val="bottom"/>
          </w:tcPr>
          <w:p>
            <w:pPr>
              <w:jc w:val="right"/>
              <w:ind w:right="128"/>
              <w:spacing w:after="0"/>
              <w:rPr>
                <w:sz w:val="20"/>
                <w:szCs w:val="20"/>
                <w:color w:val="auto"/>
              </w:rPr>
            </w:pPr>
            <w:r>
              <w:rPr>
                <w:rFonts w:ascii="Arial" w:cs="Arial" w:eastAsia="Arial" w:hAnsi="Arial"/>
                <w:sz w:val="14"/>
                <w:szCs w:val="14"/>
                <w:color w:val="auto"/>
              </w:rPr>
              <w:t>115,000</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387,500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502,500</w:t>
            </w:r>
          </w:p>
        </w:tc>
        <w:tc>
          <w:tcPr>
            <w:tcW w:w="0" w:type="dxa"/>
            <w:vAlign w:val="bottom"/>
          </w:tcPr>
          <w:p>
            <w:pPr>
              <w:spacing w:after="0"/>
              <w:rPr>
                <w:sz w:val="1"/>
                <w:szCs w:val="1"/>
                <w:color w:val="auto"/>
              </w:rPr>
            </w:pPr>
          </w:p>
        </w:tc>
      </w:tr>
      <w:tr>
        <w:trPr>
          <w:trHeight w:val="83"/>
        </w:trPr>
        <w:tc>
          <w:tcPr>
            <w:tcW w:w="2140" w:type="dxa"/>
            <w:vAlign w:val="bottom"/>
            <w:tcBorders>
              <w:bottom w:val="single" w:sz="8" w:color="999999"/>
            </w:tcBorders>
          </w:tcPr>
          <w:p>
            <w:pPr>
              <w:spacing w:after="0"/>
              <w:rPr>
                <w:sz w:val="7"/>
                <w:szCs w:val="7"/>
                <w:color w:val="auto"/>
              </w:rPr>
            </w:pPr>
          </w:p>
        </w:tc>
        <w:tc>
          <w:tcPr>
            <w:tcW w:w="1940" w:type="dxa"/>
            <w:vAlign w:val="bottom"/>
            <w:tcBorders>
              <w:bottom w:val="single" w:sz="8" w:color="999999"/>
            </w:tcBorders>
          </w:tcPr>
          <w:p>
            <w:pPr>
              <w:spacing w:after="0"/>
              <w:rPr>
                <w:sz w:val="7"/>
                <w:szCs w:val="7"/>
                <w:color w:val="auto"/>
              </w:rPr>
            </w:pPr>
          </w:p>
        </w:tc>
        <w:tc>
          <w:tcPr>
            <w:tcW w:w="680" w:type="dxa"/>
            <w:vAlign w:val="bottom"/>
            <w:tcBorders>
              <w:bottom w:val="single" w:sz="8" w:color="999999"/>
            </w:tcBorders>
          </w:tcPr>
          <w:p>
            <w:pPr>
              <w:spacing w:after="0"/>
              <w:rPr>
                <w:sz w:val="7"/>
                <w:szCs w:val="7"/>
                <w:color w:val="auto"/>
              </w:rPr>
            </w:pPr>
          </w:p>
        </w:tc>
        <w:tc>
          <w:tcPr>
            <w:tcW w:w="620" w:type="dxa"/>
            <w:vAlign w:val="bottom"/>
            <w:tcBorders>
              <w:bottom w:val="single" w:sz="8" w:color="999999"/>
            </w:tcBorders>
          </w:tcPr>
          <w:p>
            <w:pPr>
              <w:spacing w:after="0"/>
              <w:rPr>
                <w:sz w:val="7"/>
                <w:szCs w:val="7"/>
                <w:color w:val="auto"/>
              </w:rPr>
            </w:pPr>
          </w:p>
        </w:tc>
        <w:tc>
          <w:tcPr>
            <w:tcW w:w="108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080" w:type="dxa"/>
            <w:vAlign w:val="bottom"/>
            <w:tcBorders>
              <w:bottom w:val="single" w:sz="8" w:color="999999"/>
            </w:tcBorders>
          </w:tcPr>
          <w:p>
            <w:pPr>
              <w:spacing w:after="0"/>
              <w:rPr>
                <w:sz w:val="7"/>
                <w:szCs w:val="7"/>
                <w:color w:val="auto"/>
              </w:rPr>
            </w:pPr>
          </w:p>
        </w:tc>
        <w:tc>
          <w:tcPr>
            <w:tcW w:w="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140" w:type="dxa"/>
            <w:vAlign w:val="bottom"/>
          </w:tcPr>
          <w:p>
            <w:pPr>
              <w:ind w:left="180"/>
              <w:spacing w:after="0"/>
              <w:rPr>
                <w:sz w:val="20"/>
                <w:szCs w:val="20"/>
                <w:color w:val="auto"/>
              </w:rPr>
            </w:pPr>
            <w:r>
              <w:rPr>
                <w:rFonts w:ascii="Arial" w:cs="Arial" w:eastAsia="Arial" w:hAnsi="Arial"/>
                <w:sz w:val="14"/>
                <w:szCs w:val="14"/>
                <w:b w:val="1"/>
                <w:bCs w:val="1"/>
                <w:color w:val="40C0C0"/>
              </w:rPr>
              <w:t>Olga Gonzalez</w:t>
            </w:r>
          </w:p>
        </w:tc>
        <w:tc>
          <w:tcPr>
            <w:tcW w:w="1940" w:type="dxa"/>
            <w:vAlign w:val="bottom"/>
          </w:tcPr>
          <w:p>
            <w:pPr>
              <w:jc w:val="right"/>
              <w:ind w:right="108"/>
              <w:spacing w:after="0"/>
              <w:rPr>
                <w:sz w:val="20"/>
                <w:szCs w:val="20"/>
                <w:color w:val="auto"/>
              </w:rPr>
            </w:pPr>
            <w:r>
              <w:rPr>
                <w:rFonts w:ascii="Arial" w:cs="Arial" w:eastAsia="Arial" w:hAnsi="Arial"/>
                <w:sz w:val="14"/>
                <w:szCs w:val="14"/>
                <w:color w:val="auto"/>
              </w:rPr>
              <w:t>90,000</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387,500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477,500</w:t>
            </w:r>
          </w:p>
        </w:tc>
        <w:tc>
          <w:tcPr>
            <w:tcW w:w="0" w:type="dxa"/>
            <w:vAlign w:val="bottom"/>
          </w:tcPr>
          <w:p>
            <w:pPr>
              <w:spacing w:after="0"/>
              <w:rPr>
                <w:sz w:val="1"/>
                <w:szCs w:val="1"/>
                <w:color w:val="auto"/>
              </w:rPr>
            </w:pPr>
          </w:p>
        </w:tc>
      </w:tr>
      <w:tr>
        <w:trPr>
          <w:trHeight w:val="83"/>
        </w:trPr>
        <w:tc>
          <w:tcPr>
            <w:tcW w:w="2140" w:type="dxa"/>
            <w:vAlign w:val="bottom"/>
            <w:tcBorders>
              <w:bottom w:val="single" w:sz="8" w:color="999999"/>
            </w:tcBorders>
          </w:tcPr>
          <w:p>
            <w:pPr>
              <w:spacing w:after="0"/>
              <w:rPr>
                <w:sz w:val="7"/>
                <w:szCs w:val="7"/>
                <w:color w:val="auto"/>
              </w:rPr>
            </w:pPr>
          </w:p>
        </w:tc>
        <w:tc>
          <w:tcPr>
            <w:tcW w:w="1940" w:type="dxa"/>
            <w:vAlign w:val="bottom"/>
            <w:tcBorders>
              <w:bottom w:val="single" w:sz="8" w:color="999999"/>
            </w:tcBorders>
          </w:tcPr>
          <w:p>
            <w:pPr>
              <w:spacing w:after="0"/>
              <w:rPr>
                <w:sz w:val="7"/>
                <w:szCs w:val="7"/>
                <w:color w:val="auto"/>
              </w:rPr>
            </w:pPr>
          </w:p>
        </w:tc>
        <w:tc>
          <w:tcPr>
            <w:tcW w:w="680" w:type="dxa"/>
            <w:vAlign w:val="bottom"/>
            <w:tcBorders>
              <w:bottom w:val="single" w:sz="8" w:color="999999"/>
            </w:tcBorders>
          </w:tcPr>
          <w:p>
            <w:pPr>
              <w:spacing w:after="0"/>
              <w:rPr>
                <w:sz w:val="7"/>
                <w:szCs w:val="7"/>
                <w:color w:val="auto"/>
              </w:rPr>
            </w:pPr>
          </w:p>
        </w:tc>
        <w:tc>
          <w:tcPr>
            <w:tcW w:w="620" w:type="dxa"/>
            <w:vAlign w:val="bottom"/>
            <w:tcBorders>
              <w:bottom w:val="single" w:sz="8" w:color="999999"/>
            </w:tcBorders>
          </w:tcPr>
          <w:p>
            <w:pPr>
              <w:spacing w:after="0"/>
              <w:rPr>
                <w:sz w:val="7"/>
                <w:szCs w:val="7"/>
                <w:color w:val="auto"/>
              </w:rPr>
            </w:pPr>
          </w:p>
        </w:tc>
        <w:tc>
          <w:tcPr>
            <w:tcW w:w="108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080" w:type="dxa"/>
            <w:vAlign w:val="bottom"/>
            <w:tcBorders>
              <w:bottom w:val="single" w:sz="8" w:color="999999"/>
            </w:tcBorders>
          </w:tcPr>
          <w:p>
            <w:pPr>
              <w:spacing w:after="0"/>
              <w:rPr>
                <w:sz w:val="7"/>
                <w:szCs w:val="7"/>
                <w:color w:val="auto"/>
              </w:rPr>
            </w:pPr>
          </w:p>
        </w:tc>
        <w:tc>
          <w:tcPr>
            <w:tcW w:w="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140" w:type="dxa"/>
            <w:vAlign w:val="bottom"/>
          </w:tcPr>
          <w:p>
            <w:pPr>
              <w:ind w:left="180"/>
              <w:spacing w:after="0"/>
              <w:rPr>
                <w:sz w:val="20"/>
                <w:szCs w:val="20"/>
                <w:color w:val="auto"/>
              </w:rPr>
            </w:pPr>
            <w:r>
              <w:rPr>
                <w:rFonts w:ascii="Arial" w:cs="Arial" w:eastAsia="Arial" w:hAnsi="Arial"/>
                <w:sz w:val="14"/>
                <w:szCs w:val="14"/>
                <w:b w:val="1"/>
                <w:bCs w:val="1"/>
                <w:color w:val="40C0C0"/>
              </w:rPr>
              <w:t>Scott Gordon</w:t>
            </w:r>
          </w:p>
        </w:tc>
        <w:tc>
          <w:tcPr>
            <w:tcW w:w="1940" w:type="dxa"/>
            <w:vAlign w:val="bottom"/>
          </w:tcPr>
          <w:p>
            <w:pPr>
              <w:jc w:val="right"/>
              <w:ind w:right="108"/>
              <w:spacing w:after="0"/>
              <w:rPr>
                <w:sz w:val="20"/>
                <w:szCs w:val="20"/>
                <w:color w:val="auto"/>
              </w:rPr>
            </w:pPr>
            <w:r>
              <w:rPr>
                <w:rFonts w:ascii="Arial" w:cs="Arial" w:eastAsia="Arial" w:hAnsi="Arial"/>
                <w:sz w:val="14"/>
                <w:szCs w:val="14"/>
                <w:color w:val="auto"/>
              </w:rPr>
              <w:t>68,253</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551,943</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620,196</w:t>
            </w:r>
          </w:p>
        </w:tc>
        <w:tc>
          <w:tcPr>
            <w:tcW w:w="0" w:type="dxa"/>
            <w:vAlign w:val="bottom"/>
          </w:tcPr>
          <w:p>
            <w:pPr>
              <w:spacing w:after="0"/>
              <w:rPr>
                <w:sz w:val="1"/>
                <w:szCs w:val="1"/>
                <w:color w:val="auto"/>
              </w:rPr>
            </w:pPr>
          </w:p>
        </w:tc>
      </w:tr>
      <w:tr>
        <w:trPr>
          <w:trHeight w:val="83"/>
        </w:trPr>
        <w:tc>
          <w:tcPr>
            <w:tcW w:w="2140" w:type="dxa"/>
            <w:vAlign w:val="bottom"/>
            <w:tcBorders>
              <w:bottom w:val="single" w:sz="8" w:color="999999"/>
            </w:tcBorders>
          </w:tcPr>
          <w:p>
            <w:pPr>
              <w:spacing w:after="0"/>
              <w:rPr>
                <w:sz w:val="7"/>
                <w:szCs w:val="7"/>
                <w:color w:val="auto"/>
              </w:rPr>
            </w:pPr>
          </w:p>
        </w:tc>
        <w:tc>
          <w:tcPr>
            <w:tcW w:w="1940" w:type="dxa"/>
            <w:vAlign w:val="bottom"/>
            <w:tcBorders>
              <w:bottom w:val="single" w:sz="8" w:color="999999"/>
            </w:tcBorders>
          </w:tcPr>
          <w:p>
            <w:pPr>
              <w:spacing w:after="0"/>
              <w:rPr>
                <w:sz w:val="7"/>
                <w:szCs w:val="7"/>
                <w:color w:val="auto"/>
              </w:rPr>
            </w:pPr>
          </w:p>
        </w:tc>
        <w:tc>
          <w:tcPr>
            <w:tcW w:w="680" w:type="dxa"/>
            <w:vAlign w:val="bottom"/>
            <w:tcBorders>
              <w:bottom w:val="single" w:sz="8" w:color="999999"/>
            </w:tcBorders>
          </w:tcPr>
          <w:p>
            <w:pPr>
              <w:spacing w:after="0"/>
              <w:rPr>
                <w:sz w:val="7"/>
                <w:szCs w:val="7"/>
                <w:color w:val="auto"/>
              </w:rPr>
            </w:pPr>
          </w:p>
        </w:tc>
        <w:tc>
          <w:tcPr>
            <w:tcW w:w="620" w:type="dxa"/>
            <w:vAlign w:val="bottom"/>
            <w:tcBorders>
              <w:bottom w:val="single" w:sz="8" w:color="999999"/>
            </w:tcBorders>
          </w:tcPr>
          <w:p>
            <w:pPr>
              <w:spacing w:after="0"/>
              <w:rPr>
                <w:sz w:val="7"/>
                <w:szCs w:val="7"/>
                <w:color w:val="auto"/>
              </w:rPr>
            </w:pPr>
          </w:p>
        </w:tc>
        <w:tc>
          <w:tcPr>
            <w:tcW w:w="108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080" w:type="dxa"/>
            <w:vAlign w:val="bottom"/>
            <w:tcBorders>
              <w:bottom w:val="single" w:sz="8" w:color="999999"/>
            </w:tcBorders>
          </w:tcPr>
          <w:p>
            <w:pPr>
              <w:spacing w:after="0"/>
              <w:rPr>
                <w:sz w:val="7"/>
                <w:szCs w:val="7"/>
                <w:color w:val="auto"/>
              </w:rPr>
            </w:pPr>
          </w:p>
        </w:tc>
        <w:tc>
          <w:tcPr>
            <w:tcW w:w="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2140" w:type="dxa"/>
            <w:vAlign w:val="bottom"/>
            <w:tcBorders>
              <w:bottom w:val="single" w:sz="8" w:color="999999"/>
            </w:tcBorders>
          </w:tcPr>
          <w:p>
            <w:pPr>
              <w:ind w:left="180"/>
              <w:spacing w:after="0"/>
              <w:rPr>
                <w:sz w:val="20"/>
                <w:szCs w:val="20"/>
                <w:color w:val="auto"/>
              </w:rPr>
            </w:pPr>
            <w:r>
              <w:rPr>
                <w:rFonts w:ascii="Arial" w:cs="Arial" w:eastAsia="Arial" w:hAnsi="Arial"/>
                <w:sz w:val="14"/>
                <w:szCs w:val="14"/>
                <w:b w:val="1"/>
                <w:bCs w:val="1"/>
                <w:color w:val="40C0C0"/>
              </w:rPr>
              <w:t>Fiona Tan</w:t>
            </w:r>
            <w:r>
              <w:rPr>
                <w:rFonts w:ascii="Arial" w:cs="Arial" w:eastAsia="Arial" w:hAnsi="Arial"/>
                <w:sz w:val="23"/>
                <w:szCs w:val="23"/>
                <w:b w:val="1"/>
                <w:bCs w:val="1"/>
                <w:color w:val="40C0C0"/>
                <w:vertAlign w:val="superscript"/>
              </w:rPr>
              <w:t>(3)</w:t>
            </w:r>
          </w:p>
        </w:tc>
        <w:tc>
          <w:tcPr>
            <w:tcW w:w="194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52,500</w:t>
            </w:r>
          </w:p>
        </w:tc>
        <w:tc>
          <w:tcPr>
            <w:tcW w:w="6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999999"/>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ind w:left="8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99999"/>
            </w:tcBorders>
          </w:tcPr>
          <w:p>
            <w:pPr>
              <w:ind w:left="8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99999"/>
            </w:tcBorders>
          </w:tcPr>
          <w:p>
            <w:pPr>
              <w:ind w:left="8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99999"/>
            </w:tcBorders>
          </w:tcPr>
          <w:p>
            <w:pPr>
              <w:jc w:val="right"/>
              <w:ind w:right="108"/>
              <w:spacing w:after="0"/>
              <w:rPr>
                <w:sz w:val="20"/>
                <w:szCs w:val="20"/>
                <w:color w:val="auto"/>
              </w:rPr>
            </w:pPr>
            <w:r>
              <w:rPr>
                <w:rFonts w:ascii="Arial" w:cs="Arial" w:eastAsia="Arial" w:hAnsi="Arial"/>
                <w:sz w:val="14"/>
                <w:szCs w:val="14"/>
                <w:color w:val="auto"/>
              </w:rPr>
              <w:t>52,500</w:t>
            </w:r>
          </w:p>
        </w:tc>
        <w:tc>
          <w:tcPr>
            <w:tcW w:w="0" w:type="dxa"/>
            <w:vAlign w:val="bottom"/>
          </w:tcPr>
          <w:p>
            <w:pPr>
              <w:spacing w:after="0"/>
              <w:rPr>
                <w:sz w:val="1"/>
                <w:szCs w:val="1"/>
                <w:color w:val="auto"/>
              </w:rPr>
            </w:pPr>
          </w:p>
        </w:tc>
      </w:tr>
      <w:tr>
        <w:trPr>
          <w:trHeight w:val="289"/>
        </w:trPr>
        <w:tc>
          <w:tcPr>
            <w:tcW w:w="2140" w:type="dxa"/>
            <w:vAlign w:val="bottom"/>
          </w:tcPr>
          <w:p>
            <w:pPr>
              <w:ind w:left="180"/>
              <w:spacing w:after="0"/>
              <w:rPr>
                <w:sz w:val="20"/>
                <w:szCs w:val="20"/>
                <w:color w:val="auto"/>
              </w:rPr>
            </w:pPr>
            <w:r>
              <w:rPr>
                <w:rFonts w:ascii="Arial" w:cs="Arial" w:eastAsia="Arial" w:hAnsi="Arial"/>
                <w:sz w:val="14"/>
                <w:szCs w:val="14"/>
                <w:b w:val="1"/>
                <w:bCs w:val="1"/>
                <w:color w:val="40C0C0"/>
              </w:rPr>
              <w:t>Glen Ibbott</w:t>
            </w:r>
          </w:p>
        </w:tc>
        <w:tc>
          <w:tcPr>
            <w:tcW w:w="1940" w:type="dxa"/>
            <w:vAlign w:val="bottom"/>
          </w:tcPr>
          <w:p>
            <w:pPr>
              <w:jc w:val="right"/>
              <w:ind w:right="108"/>
              <w:spacing w:after="0"/>
              <w:rPr>
                <w:sz w:val="20"/>
                <w:szCs w:val="20"/>
                <w:color w:val="auto"/>
              </w:rPr>
            </w:pPr>
            <w:r>
              <w:rPr>
                <w:rFonts w:ascii="Arial" w:cs="Arial" w:eastAsia="Arial" w:hAnsi="Arial"/>
                <w:sz w:val="14"/>
                <w:szCs w:val="14"/>
                <w:color w:val="auto"/>
              </w:rPr>
              <w:t>16,130</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146,347</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162,477</w:t>
            </w:r>
          </w:p>
        </w:tc>
        <w:tc>
          <w:tcPr>
            <w:tcW w:w="0" w:type="dxa"/>
            <w:vAlign w:val="bottom"/>
          </w:tcPr>
          <w:p>
            <w:pPr>
              <w:spacing w:after="0"/>
              <w:rPr>
                <w:sz w:val="1"/>
                <w:szCs w:val="1"/>
                <w:color w:val="auto"/>
              </w:rPr>
            </w:pPr>
          </w:p>
        </w:tc>
      </w:tr>
      <w:tr>
        <w:trPr>
          <w:trHeight w:val="69"/>
        </w:trPr>
        <w:tc>
          <w:tcPr>
            <w:tcW w:w="214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right="280" w:hanging="234"/>
        <w:spacing w:after="0" w:line="252" w:lineRule="auto"/>
        <w:tabs>
          <w:tab w:leader="none" w:pos="24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The following table shows, for each named individual, the aggregate shares under stock awards and the aggregate shares underlying option awards held by that individual as of December 31, 2024.</w:t>
      </w:r>
    </w:p>
    <w:p>
      <w:pPr>
        <w:spacing w:after="0" w:line="23" w:lineRule="exact"/>
        <w:rPr>
          <w:rFonts w:ascii="Arial" w:cs="Arial" w:eastAsia="Arial" w:hAnsi="Arial"/>
          <w:sz w:val="13"/>
          <w:szCs w:val="13"/>
          <w:b w:val="1"/>
          <w:bCs w:val="1"/>
          <w:color w:val="auto"/>
        </w:rPr>
      </w:pPr>
    </w:p>
    <w:p>
      <w:pPr>
        <w:ind w:left="240" w:right="40" w:hanging="234"/>
        <w:spacing w:after="0" w:line="228" w:lineRule="auto"/>
        <w:tabs>
          <w:tab w:leader="none" w:pos="24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13 to our financial statements included in our Annual Report on Form 10-K for the year ended December 31, 2024.</w:t>
      </w:r>
    </w:p>
    <w:p>
      <w:pPr>
        <w:spacing w:after="0" w:line="45" w:lineRule="exact"/>
        <w:rPr>
          <w:rFonts w:ascii="Arial" w:cs="Arial" w:eastAsia="Arial" w:hAnsi="Arial"/>
          <w:sz w:val="13"/>
          <w:szCs w:val="13"/>
          <w:b w:val="1"/>
          <w:bCs w:val="1"/>
          <w:color w:val="auto"/>
        </w:rPr>
      </w:pPr>
    </w:p>
    <w:p>
      <w:pPr>
        <w:ind w:left="240" w:hanging="234"/>
        <w:spacing w:after="0"/>
        <w:tabs>
          <w:tab w:leader="none" w:pos="24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Ms. Tan resigned as a member of the Board and forfeited $135,938 of stock awards on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59664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2"/>
        </w:trPr>
        <w:tc>
          <w:tcPr>
            <w:tcW w:w="800" w:type="dxa"/>
            <w:vAlign w:val="bottom"/>
          </w:tcPr>
          <w:p>
            <w:pPr>
              <w:spacing w:after="0"/>
              <w:rPr>
                <w:sz w:val="12"/>
                <w:szCs w:val="12"/>
                <w:color w:val="auto"/>
              </w:rPr>
            </w:pPr>
          </w:p>
        </w:tc>
        <w:tc>
          <w:tcPr>
            <w:tcW w:w="1540" w:type="dxa"/>
            <w:vAlign w:val="bottom"/>
            <w:tcBorders>
              <w:top w:val="single" w:sz="8" w:color="0000EE"/>
            </w:tcBorders>
          </w:tcPr>
          <w:p>
            <w:pPr>
              <w:spacing w:after="0"/>
              <w:rPr>
                <w:sz w:val="12"/>
                <w:szCs w:val="12"/>
                <w:color w:val="auto"/>
              </w:rPr>
            </w:pPr>
          </w:p>
        </w:tc>
        <w:tc>
          <w:tcPr>
            <w:tcW w:w="2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328"/>
        </w:trPr>
        <w:tc>
          <w:tcPr>
            <w:tcW w:w="800" w:type="dxa"/>
            <w:vAlign w:val="bottom"/>
          </w:tcPr>
          <w:p>
            <w:pPr>
              <w:spacing w:after="0"/>
              <w:rPr>
                <w:sz w:val="24"/>
                <w:szCs w:val="24"/>
                <w:color w:val="auto"/>
              </w:rPr>
            </w:pPr>
          </w:p>
        </w:tc>
        <w:tc>
          <w:tcPr>
            <w:tcW w:w="1540" w:type="dxa"/>
            <w:vAlign w:val="bottom"/>
            <w:shd w:val="clear" w:color="auto" w:fill="000000"/>
          </w:tcPr>
          <w:p>
            <w:pPr>
              <w:spacing w:after="0"/>
              <w:rPr>
                <w:sz w:val="24"/>
                <w:szCs w:val="24"/>
                <w:color w:val="auto"/>
              </w:rPr>
            </w:pPr>
          </w:p>
        </w:tc>
        <w:tc>
          <w:tcPr>
            <w:tcW w:w="2920" w:type="dxa"/>
            <w:vAlign w:val="bottom"/>
            <w:shd w:val="clear" w:color="auto" w:fill="000000"/>
          </w:tcPr>
          <w:p>
            <w:pPr>
              <w:spacing w:after="0"/>
              <w:rPr>
                <w:sz w:val="24"/>
                <w:szCs w:val="24"/>
                <w:color w:val="auto"/>
              </w:rPr>
            </w:pPr>
          </w:p>
        </w:tc>
        <w:tc>
          <w:tcPr>
            <w:tcW w:w="460" w:type="dxa"/>
            <w:vAlign w:val="bottom"/>
            <w:shd w:val="clear" w:color="auto" w:fill="000000"/>
          </w:tcPr>
          <w:p>
            <w:pPr>
              <w:spacing w:after="0"/>
              <w:rPr>
                <w:sz w:val="24"/>
                <w:szCs w:val="24"/>
                <w:color w:val="auto"/>
              </w:rPr>
            </w:pPr>
          </w:p>
        </w:tc>
        <w:tc>
          <w:tcPr>
            <w:tcW w:w="4480" w:type="dxa"/>
            <w:vAlign w:val="bottom"/>
            <w:shd w:val="clear" w:color="auto" w:fill="000000"/>
          </w:tcPr>
          <w:p>
            <w:pPr>
              <w:jc w:val="right"/>
              <w:ind w:right="109"/>
              <w:spacing w:after="0"/>
              <w:rPr>
                <w:sz w:val="20"/>
                <w:szCs w:val="20"/>
                <w:color w:val="auto"/>
              </w:rPr>
            </w:pPr>
            <w:r>
              <w:rPr>
                <w:rFonts w:ascii="Arial" w:cs="Arial" w:eastAsia="Arial" w:hAnsi="Arial"/>
                <w:sz w:val="14"/>
                <w:szCs w:val="14"/>
                <w:b w:val="1"/>
                <w:bCs w:val="1"/>
                <w:color w:val="FFFFFF"/>
              </w:rPr>
              <w:t>Aggregate Stock</w:t>
            </w:r>
          </w:p>
        </w:tc>
        <w:tc>
          <w:tcPr>
            <w:tcW w:w="82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1540" w:type="dxa"/>
            <w:vAlign w:val="bottom"/>
            <w:shd w:val="clear" w:color="auto" w:fill="000000"/>
          </w:tcPr>
          <w:p>
            <w:pPr>
              <w:spacing w:after="0"/>
              <w:rPr>
                <w:sz w:val="14"/>
                <w:szCs w:val="14"/>
                <w:color w:val="auto"/>
              </w:rPr>
            </w:pPr>
          </w:p>
        </w:tc>
        <w:tc>
          <w:tcPr>
            <w:tcW w:w="2920" w:type="dxa"/>
            <w:vAlign w:val="bottom"/>
            <w:shd w:val="clear" w:color="auto" w:fill="000000"/>
          </w:tcPr>
          <w:p>
            <w:pPr>
              <w:spacing w:after="0"/>
              <w:rPr>
                <w:sz w:val="14"/>
                <w:szCs w:val="14"/>
                <w:color w:val="auto"/>
              </w:rPr>
            </w:pPr>
          </w:p>
        </w:tc>
        <w:tc>
          <w:tcPr>
            <w:tcW w:w="460" w:type="dxa"/>
            <w:vAlign w:val="bottom"/>
            <w:shd w:val="clear" w:color="auto" w:fill="000000"/>
          </w:tcPr>
          <w:p>
            <w:pPr>
              <w:spacing w:after="0"/>
              <w:rPr>
                <w:sz w:val="14"/>
                <w:szCs w:val="14"/>
                <w:color w:val="auto"/>
              </w:rPr>
            </w:pPr>
          </w:p>
        </w:tc>
        <w:tc>
          <w:tcPr>
            <w:tcW w:w="4480" w:type="dxa"/>
            <w:vAlign w:val="bottom"/>
            <w:shd w:val="clear" w:color="auto" w:fill="000000"/>
          </w:tcPr>
          <w:p>
            <w:pPr>
              <w:jc w:val="right"/>
              <w:ind w:right="109"/>
              <w:spacing w:after="0"/>
              <w:rPr>
                <w:sz w:val="20"/>
                <w:szCs w:val="20"/>
                <w:color w:val="auto"/>
              </w:rPr>
            </w:pPr>
            <w:r>
              <w:rPr>
                <w:rFonts w:ascii="Arial" w:cs="Arial" w:eastAsia="Arial" w:hAnsi="Arial"/>
                <w:sz w:val="14"/>
                <w:szCs w:val="14"/>
                <w:b w:val="1"/>
                <w:bCs w:val="1"/>
                <w:color w:val="FFFFFF"/>
              </w:rPr>
              <w:t>Awards Outstanding</w:t>
            </w:r>
          </w:p>
        </w:tc>
        <w:tc>
          <w:tcPr>
            <w:tcW w:w="82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4460" w:type="dxa"/>
            <w:vAlign w:val="bottom"/>
            <w:gridSpan w:val="2"/>
            <w:shd w:val="clear" w:color="auto" w:fill="000000"/>
          </w:tcPr>
          <w:p>
            <w:pPr>
              <w:ind w:left="200"/>
              <w:spacing w:after="0"/>
              <w:rPr>
                <w:sz w:val="20"/>
                <w:szCs w:val="20"/>
                <w:color w:val="auto"/>
              </w:rPr>
            </w:pPr>
            <w:r>
              <w:rPr>
                <w:rFonts w:ascii="Arial" w:cs="Arial" w:eastAsia="Arial" w:hAnsi="Arial"/>
                <w:sz w:val="14"/>
                <w:szCs w:val="14"/>
                <w:b w:val="1"/>
                <w:bCs w:val="1"/>
                <w:color w:val="FFFFFF"/>
              </w:rPr>
              <w:t>Name</w:t>
            </w:r>
          </w:p>
        </w:tc>
        <w:tc>
          <w:tcPr>
            <w:tcW w:w="460" w:type="dxa"/>
            <w:vAlign w:val="bottom"/>
            <w:shd w:val="clear" w:color="auto" w:fill="000000"/>
          </w:tcPr>
          <w:p>
            <w:pPr>
              <w:spacing w:after="0"/>
              <w:rPr>
                <w:sz w:val="17"/>
                <w:szCs w:val="17"/>
                <w:color w:val="auto"/>
              </w:rPr>
            </w:pPr>
          </w:p>
        </w:tc>
        <w:tc>
          <w:tcPr>
            <w:tcW w:w="4480" w:type="dxa"/>
            <w:vAlign w:val="bottom"/>
            <w:shd w:val="clear" w:color="auto" w:fill="000000"/>
          </w:tcPr>
          <w:p>
            <w:pPr>
              <w:jc w:val="right"/>
              <w:ind w:right="69"/>
              <w:spacing w:after="0"/>
              <w:rPr>
                <w:sz w:val="20"/>
                <w:szCs w:val="20"/>
                <w:color w:val="auto"/>
              </w:rPr>
            </w:pPr>
            <w:r>
              <w:rPr>
                <w:rFonts w:ascii="Arial" w:cs="Arial" w:eastAsia="Arial" w:hAnsi="Arial"/>
                <w:sz w:val="14"/>
                <w:szCs w:val="14"/>
                <w:b w:val="1"/>
                <w:bCs w:val="1"/>
                <w:color w:val="FFFFFF"/>
              </w:rPr>
              <w:t>as of December 31, 2024</w:t>
            </w:r>
          </w:p>
        </w:tc>
        <w:tc>
          <w:tcPr>
            <w:tcW w:w="820" w:type="dxa"/>
            <w:vAlign w:val="bottom"/>
          </w:tcPr>
          <w:p>
            <w:pPr>
              <w:spacing w:after="0"/>
              <w:rPr>
                <w:sz w:val="17"/>
                <w:szCs w:val="17"/>
                <w:color w:val="auto"/>
              </w:rPr>
            </w:pPr>
          </w:p>
        </w:tc>
      </w:tr>
      <w:tr>
        <w:trPr>
          <w:trHeight w:val="83"/>
        </w:trPr>
        <w:tc>
          <w:tcPr>
            <w:tcW w:w="800" w:type="dxa"/>
            <w:vAlign w:val="bottom"/>
          </w:tcPr>
          <w:p>
            <w:pPr>
              <w:spacing w:after="0"/>
              <w:rPr>
                <w:sz w:val="7"/>
                <w:szCs w:val="7"/>
                <w:color w:val="auto"/>
              </w:rPr>
            </w:pPr>
          </w:p>
        </w:tc>
        <w:tc>
          <w:tcPr>
            <w:tcW w:w="1540" w:type="dxa"/>
            <w:vAlign w:val="bottom"/>
            <w:shd w:val="clear" w:color="auto" w:fill="000000"/>
          </w:tcPr>
          <w:p>
            <w:pPr>
              <w:spacing w:after="0"/>
              <w:rPr>
                <w:sz w:val="7"/>
                <w:szCs w:val="7"/>
                <w:color w:val="auto"/>
              </w:rPr>
            </w:pPr>
          </w:p>
        </w:tc>
        <w:tc>
          <w:tcPr>
            <w:tcW w:w="29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4480" w:type="dxa"/>
            <w:vAlign w:val="bottom"/>
            <w:shd w:val="clear" w:color="auto" w:fill="000000"/>
          </w:tcPr>
          <w:p>
            <w:pPr>
              <w:spacing w:after="0"/>
              <w:rPr>
                <w:sz w:val="7"/>
                <w:szCs w:val="7"/>
                <w:color w:val="auto"/>
              </w:rPr>
            </w:pPr>
          </w:p>
        </w:tc>
        <w:tc>
          <w:tcPr>
            <w:tcW w:w="820" w:type="dxa"/>
            <w:vAlign w:val="bottom"/>
          </w:tcPr>
          <w:p>
            <w:pPr>
              <w:spacing w:after="0"/>
              <w:rPr>
                <w:sz w:val="7"/>
                <w:szCs w:val="7"/>
                <w:color w:val="auto"/>
              </w:rPr>
            </w:pPr>
          </w:p>
        </w:tc>
      </w:tr>
      <w:tr>
        <w:trPr>
          <w:trHeight w:val="295"/>
        </w:trPr>
        <w:tc>
          <w:tcPr>
            <w:tcW w:w="800" w:type="dxa"/>
            <w:vAlign w:val="bottom"/>
          </w:tcPr>
          <w:p>
            <w:pPr>
              <w:spacing w:after="0"/>
              <w:rPr>
                <w:sz w:val="24"/>
                <w:szCs w:val="24"/>
                <w:color w:val="auto"/>
              </w:rPr>
            </w:pPr>
          </w:p>
        </w:tc>
        <w:tc>
          <w:tcPr>
            <w:tcW w:w="4460" w:type="dxa"/>
            <w:vAlign w:val="bottom"/>
            <w:gridSpan w:val="2"/>
          </w:tcPr>
          <w:p>
            <w:pPr>
              <w:ind w:left="200"/>
              <w:spacing w:after="0"/>
              <w:rPr>
                <w:sz w:val="20"/>
                <w:szCs w:val="20"/>
                <w:color w:val="auto"/>
              </w:rPr>
            </w:pPr>
            <w:r>
              <w:rPr>
                <w:rFonts w:ascii="Arial" w:cs="Arial" w:eastAsia="Arial" w:hAnsi="Arial"/>
                <w:sz w:val="14"/>
                <w:szCs w:val="14"/>
                <w:b w:val="1"/>
                <w:bCs w:val="1"/>
                <w:color w:val="40C0C0"/>
              </w:rPr>
              <w:t>Tony Aquila</w:t>
            </w:r>
          </w:p>
        </w:tc>
        <w:tc>
          <w:tcPr>
            <w:tcW w:w="460" w:type="dxa"/>
            <w:vAlign w:val="bottom"/>
          </w:tcPr>
          <w:p>
            <w:pPr>
              <w:spacing w:after="0"/>
              <w:rPr>
                <w:sz w:val="24"/>
                <w:szCs w:val="24"/>
                <w:color w:val="auto"/>
              </w:rPr>
            </w:pPr>
          </w:p>
        </w:tc>
        <w:tc>
          <w:tcPr>
            <w:tcW w:w="4480" w:type="dxa"/>
            <w:vAlign w:val="bottom"/>
          </w:tcPr>
          <w:p>
            <w:pPr>
              <w:jc w:val="right"/>
              <w:ind w:right="149"/>
              <w:spacing w:after="0"/>
              <w:rPr>
                <w:sz w:val="20"/>
                <w:szCs w:val="20"/>
                <w:color w:val="auto"/>
              </w:rPr>
            </w:pPr>
            <w:r>
              <w:rPr>
                <w:rFonts w:ascii="Arial" w:cs="Arial" w:eastAsia="Arial" w:hAnsi="Arial"/>
                <w:sz w:val="14"/>
                <w:szCs w:val="14"/>
                <w:color w:val="auto"/>
              </w:rPr>
              <w:t>312,500</w:t>
            </w:r>
          </w:p>
        </w:tc>
        <w:tc>
          <w:tcPr>
            <w:tcW w:w="820" w:type="dxa"/>
            <w:vAlign w:val="bottom"/>
          </w:tcPr>
          <w:p>
            <w:pPr>
              <w:spacing w:after="0"/>
              <w:rPr>
                <w:sz w:val="24"/>
                <w:szCs w:val="24"/>
                <w:color w:val="auto"/>
              </w:rPr>
            </w:pPr>
          </w:p>
        </w:tc>
      </w:tr>
      <w:tr>
        <w:trPr>
          <w:trHeight w:val="83"/>
        </w:trPr>
        <w:tc>
          <w:tcPr>
            <w:tcW w:w="800" w:type="dxa"/>
            <w:vAlign w:val="bottom"/>
          </w:tcPr>
          <w:p>
            <w:pPr>
              <w:spacing w:after="0"/>
              <w:rPr>
                <w:sz w:val="7"/>
                <w:szCs w:val="7"/>
                <w:color w:val="auto"/>
              </w:rPr>
            </w:pPr>
          </w:p>
        </w:tc>
        <w:tc>
          <w:tcPr>
            <w:tcW w:w="1540" w:type="dxa"/>
            <w:vAlign w:val="bottom"/>
            <w:tcBorders>
              <w:bottom w:val="single" w:sz="8" w:color="999999"/>
            </w:tcBorders>
          </w:tcPr>
          <w:p>
            <w:pPr>
              <w:spacing w:after="0"/>
              <w:rPr>
                <w:sz w:val="7"/>
                <w:szCs w:val="7"/>
                <w:color w:val="auto"/>
              </w:rPr>
            </w:pPr>
          </w:p>
        </w:tc>
        <w:tc>
          <w:tcPr>
            <w:tcW w:w="2920" w:type="dxa"/>
            <w:vAlign w:val="bottom"/>
            <w:tcBorders>
              <w:bottom w:val="single" w:sz="8" w:color="999999"/>
            </w:tcBorders>
          </w:tcPr>
          <w:p>
            <w:pPr>
              <w:spacing w:after="0"/>
              <w:rPr>
                <w:sz w:val="7"/>
                <w:szCs w:val="7"/>
                <w:color w:val="auto"/>
              </w:rPr>
            </w:pPr>
          </w:p>
        </w:tc>
        <w:tc>
          <w:tcPr>
            <w:tcW w:w="460" w:type="dxa"/>
            <w:vAlign w:val="bottom"/>
            <w:tcBorders>
              <w:bottom w:val="single" w:sz="8" w:color="999999"/>
            </w:tcBorders>
          </w:tcPr>
          <w:p>
            <w:pPr>
              <w:spacing w:after="0"/>
              <w:rPr>
                <w:sz w:val="7"/>
                <w:szCs w:val="7"/>
                <w:color w:val="auto"/>
              </w:rPr>
            </w:pPr>
          </w:p>
        </w:tc>
        <w:tc>
          <w:tcPr>
            <w:tcW w:w="4480" w:type="dxa"/>
            <w:vAlign w:val="bottom"/>
            <w:tcBorders>
              <w:bottom w:val="single" w:sz="8" w:color="999999"/>
            </w:tcBorders>
          </w:tcPr>
          <w:p>
            <w:pPr>
              <w:spacing w:after="0"/>
              <w:rPr>
                <w:sz w:val="7"/>
                <w:szCs w:val="7"/>
                <w:color w:val="auto"/>
              </w:rPr>
            </w:pPr>
          </w:p>
        </w:tc>
        <w:tc>
          <w:tcPr>
            <w:tcW w:w="820" w:type="dxa"/>
            <w:vAlign w:val="bottom"/>
          </w:tcPr>
          <w:p>
            <w:pPr>
              <w:spacing w:after="0"/>
              <w:rPr>
                <w:sz w:val="7"/>
                <w:szCs w:val="7"/>
                <w:color w:val="auto"/>
              </w:rPr>
            </w:pPr>
          </w:p>
        </w:tc>
      </w:tr>
      <w:tr>
        <w:trPr>
          <w:trHeight w:val="288"/>
        </w:trPr>
        <w:tc>
          <w:tcPr>
            <w:tcW w:w="800" w:type="dxa"/>
            <w:vAlign w:val="bottom"/>
          </w:tcPr>
          <w:p>
            <w:pPr>
              <w:spacing w:after="0"/>
              <w:rPr>
                <w:sz w:val="24"/>
                <w:szCs w:val="24"/>
                <w:color w:val="auto"/>
              </w:rPr>
            </w:pPr>
          </w:p>
        </w:tc>
        <w:tc>
          <w:tcPr>
            <w:tcW w:w="4460" w:type="dxa"/>
            <w:vAlign w:val="bottom"/>
            <w:gridSpan w:val="2"/>
          </w:tcPr>
          <w:p>
            <w:pPr>
              <w:ind w:left="200"/>
              <w:spacing w:after="0"/>
              <w:rPr>
                <w:sz w:val="20"/>
                <w:szCs w:val="20"/>
                <w:color w:val="auto"/>
              </w:rPr>
            </w:pPr>
            <w:r>
              <w:rPr>
                <w:rFonts w:ascii="Arial" w:cs="Arial" w:eastAsia="Arial" w:hAnsi="Arial"/>
                <w:sz w:val="14"/>
                <w:szCs w:val="14"/>
                <w:b w:val="1"/>
                <w:bCs w:val="1"/>
                <w:color w:val="40C0C0"/>
              </w:rPr>
              <w:t>Anthony Bay</w:t>
            </w:r>
          </w:p>
        </w:tc>
        <w:tc>
          <w:tcPr>
            <w:tcW w:w="460" w:type="dxa"/>
            <w:vAlign w:val="bottom"/>
          </w:tcPr>
          <w:p>
            <w:pPr>
              <w:spacing w:after="0"/>
              <w:rPr>
                <w:sz w:val="24"/>
                <w:szCs w:val="24"/>
                <w:color w:val="auto"/>
              </w:rPr>
            </w:pPr>
          </w:p>
        </w:tc>
        <w:tc>
          <w:tcPr>
            <w:tcW w:w="4480" w:type="dxa"/>
            <w:vAlign w:val="bottom"/>
          </w:tcPr>
          <w:p>
            <w:pPr>
              <w:jc w:val="right"/>
              <w:ind w:right="149"/>
              <w:spacing w:after="0"/>
              <w:rPr>
                <w:sz w:val="20"/>
                <w:szCs w:val="20"/>
                <w:color w:val="auto"/>
              </w:rPr>
            </w:pPr>
            <w:r>
              <w:rPr>
                <w:rFonts w:ascii="Arial" w:cs="Arial" w:eastAsia="Arial" w:hAnsi="Arial"/>
                <w:sz w:val="14"/>
                <w:szCs w:val="14"/>
                <w:color w:val="auto"/>
              </w:rPr>
              <w:t>181,503</w:t>
            </w:r>
          </w:p>
        </w:tc>
        <w:tc>
          <w:tcPr>
            <w:tcW w:w="820" w:type="dxa"/>
            <w:vAlign w:val="bottom"/>
          </w:tcPr>
          <w:p>
            <w:pPr>
              <w:spacing w:after="0"/>
              <w:rPr>
                <w:sz w:val="24"/>
                <w:szCs w:val="24"/>
                <w:color w:val="auto"/>
              </w:rPr>
            </w:pPr>
          </w:p>
        </w:tc>
      </w:tr>
      <w:tr>
        <w:trPr>
          <w:trHeight w:val="83"/>
        </w:trPr>
        <w:tc>
          <w:tcPr>
            <w:tcW w:w="800" w:type="dxa"/>
            <w:vAlign w:val="bottom"/>
          </w:tcPr>
          <w:p>
            <w:pPr>
              <w:spacing w:after="0"/>
              <w:rPr>
                <w:sz w:val="7"/>
                <w:szCs w:val="7"/>
                <w:color w:val="auto"/>
              </w:rPr>
            </w:pPr>
          </w:p>
        </w:tc>
        <w:tc>
          <w:tcPr>
            <w:tcW w:w="1540" w:type="dxa"/>
            <w:vAlign w:val="bottom"/>
            <w:tcBorders>
              <w:bottom w:val="single" w:sz="8" w:color="999999"/>
            </w:tcBorders>
          </w:tcPr>
          <w:p>
            <w:pPr>
              <w:spacing w:after="0"/>
              <w:rPr>
                <w:sz w:val="7"/>
                <w:szCs w:val="7"/>
                <w:color w:val="auto"/>
              </w:rPr>
            </w:pPr>
          </w:p>
        </w:tc>
        <w:tc>
          <w:tcPr>
            <w:tcW w:w="2920" w:type="dxa"/>
            <w:vAlign w:val="bottom"/>
            <w:tcBorders>
              <w:bottom w:val="single" w:sz="8" w:color="999999"/>
            </w:tcBorders>
          </w:tcPr>
          <w:p>
            <w:pPr>
              <w:spacing w:after="0"/>
              <w:rPr>
                <w:sz w:val="7"/>
                <w:szCs w:val="7"/>
                <w:color w:val="auto"/>
              </w:rPr>
            </w:pPr>
          </w:p>
        </w:tc>
        <w:tc>
          <w:tcPr>
            <w:tcW w:w="460" w:type="dxa"/>
            <w:vAlign w:val="bottom"/>
            <w:tcBorders>
              <w:bottom w:val="single" w:sz="8" w:color="999999"/>
            </w:tcBorders>
          </w:tcPr>
          <w:p>
            <w:pPr>
              <w:spacing w:after="0"/>
              <w:rPr>
                <w:sz w:val="7"/>
                <w:szCs w:val="7"/>
                <w:color w:val="auto"/>
              </w:rPr>
            </w:pPr>
          </w:p>
        </w:tc>
        <w:tc>
          <w:tcPr>
            <w:tcW w:w="4480" w:type="dxa"/>
            <w:vAlign w:val="bottom"/>
            <w:tcBorders>
              <w:bottom w:val="single" w:sz="8" w:color="999999"/>
            </w:tcBorders>
          </w:tcPr>
          <w:p>
            <w:pPr>
              <w:spacing w:after="0"/>
              <w:rPr>
                <w:sz w:val="7"/>
                <w:szCs w:val="7"/>
                <w:color w:val="auto"/>
              </w:rPr>
            </w:pPr>
          </w:p>
        </w:tc>
        <w:tc>
          <w:tcPr>
            <w:tcW w:w="820" w:type="dxa"/>
            <w:vAlign w:val="bottom"/>
          </w:tcPr>
          <w:p>
            <w:pPr>
              <w:spacing w:after="0"/>
              <w:rPr>
                <w:sz w:val="7"/>
                <w:szCs w:val="7"/>
                <w:color w:val="auto"/>
              </w:rPr>
            </w:pPr>
          </w:p>
        </w:tc>
      </w:tr>
      <w:tr>
        <w:trPr>
          <w:trHeight w:val="288"/>
        </w:trPr>
        <w:tc>
          <w:tcPr>
            <w:tcW w:w="800" w:type="dxa"/>
            <w:vAlign w:val="bottom"/>
          </w:tcPr>
          <w:p>
            <w:pPr>
              <w:spacing w:after="0"/>
              <w:rPr>
                <w:sz w:val="24"/>
                <w:szCs w:val="24"/>
                <w:color w:val="auto"/>
              </w:rPr>
            </w:pPr>
          </w:p>
        </w:tc>
        <w:tc>
          <w:tcPr>
            <w:tcW w:w="4460" w:type="dxa"/>
            <w:vAlign w:val="bottom"/>
            <w:gridSpan w:val="2"/>
          </w:tcPr>
          <w:p>
            <w:pPr>
              <w:ind w:left="200"/>
              <w:spacing w:after="0"/>
              <w:rPr>
                <w:sz w:val="20"/>
                <w:szCs w:val="20"/>
                <w:color w:val="auto"/>
              </w:rPr>
            </w:pPr>
            <w:r>
              <w:rPr>
                <w:rFonts w:ascii="Arial" w:cs="Arial" w:eastAsia="Arial" w:hAnsi="Arial"/>
                <w:sz w:val="14"/>
                <w:szCs w:val="14"/>
                <w:b w:val="1"/>
                <w:bCs w:val="1"/>
                <w:color w:val="40C0C0"/>
              </w:rPr>
              <w:t>Brenda Freeman</w:t>
            </w:r>
          </w:p>
        </w:tc>
        <w:tc>
          <w:tcPr>
            <w:tcW w:w="460" w:type="dxa"/>
            <w:vAlign w:val="bottom"/>
          </w:tcPr>
          <w:p>
            <w:pPr>
              <w:spacing w:after="0"/>
              <w:rPr>
                <w:sz w:val="24"/>
                <w:szCs w:val="24"/>
                <w:color w:val="auto"/>
              </w:rPr>
            </w:pPr>
          </w:p>
        </w:tc>
        <w:tc>
          <w:tcPr>
            <w:tcW w:w="4480" w:type="dxa"/>
            <w:vAlign w:val="bottom"/>
          </w:tcPr>
          <w:p>
            <w:pPr>
              <w:jc w:val="right"/>
              <w:ind w:right="149"/>
              <w:spacing w:after="0"/>
              <w:rPr>
                <w:sz w:val="20"/>
                <w:szCs w:val="20"/>
                <w:color w:val="auto"/>
              </w:rPr>
            </w:pPr>
            <w:r>
              <w:rPr>
                <w:rFonts w:ascii="Arial" w:cs="Arial" w:eastAsia="Arial" w:hAnsi="Arial"/>
                <w:sz w:val="14"/>
                <w:szCs w:val="14"/>
                <w:color w:val="auto"/>
              </w:rPr>
              <w:t>312,500</w:t>
            </w:r>
          </w:p>
        </w:tc>
        <w:tc>
          <w:tcPr>
            <w:tcW w:w="820" w:type="dxa"/>
            <w:vAlign w:val="bottom"/>
          </w:tcPr>
          <w:p>
            <w:pPr>
              <w:spacing w:after="0"/>
              <w:rPr>
                <w:sz w:val="24"/>
                <w:szCs w:val="24"/>
                <w:color w:val="auto"/>
              </w:rPr>
            </w:pPr>
          </w:p>
        </w:tc>
      </w:tr>
      <w:tr>
        <w:trPr>
          <w:trHeight w:val="83"/>
        </w:trPr>
        <w:tc>
          <w:tcPr>
            <w:tcW w:w="800" w:type="dxa"/>
            <w:vAlign w:val="bottom"/>
          </w:tcPr>
          <w:p>
            <w:pPr>
              <w:spacing w:after="0"/>
              <w:rPr>
                <w:sz w:val="7"/>
                <w:szCs w:val="7"/>
                <w:color w:val="auto"/>
              </w:rPr>
            </w:pPr>
          </w:p>
        </w:tc>
        <w:tc>
          <w:tcPr>
            <w:tcW w:w="1540" w:type="dxa"/>
            <w:vAlign w:val="bottom"/>
            <w:tcBorders>
              <w:bottom w:val="single" w:sz="8" w:color="999999"/>
            </w:tcBorders>
          </w:tcPr>
          <w:p>
            <w:pPr>
              <w:spacing w:after="0"/>
              <w:rPr>
                <w:sz w:val="7"/>
                <w:szCs w:val="7"/>
                <w:color w:val="auto"/>
              </w:rPr>
            </w:pPr>
          </w:p>
        </w:tc>
        <w:tc>
          <w:tcPr>
            <w:tcW w:w="2920" w:type="dxa"/>
            <w:vAlign w:val="bottom"/>
            <w:tcBorders>
              <w:bottom w:val="single" w:sz="8" w:color="999999"/>
            </w:tcBorders>
          </w:tcPr>
          <w:p>
            <w:pPr>
              <w:spacing w:after="0"/>
              <w:rPr>
                <w:sz w:val="7"/>
                <w:szCs w:val="7"/>
                <w:color w:val="auto"/>
              </w:rPr>
            </w:pPr>
          </w:p>
        </w:tc>
        <w:tc>
          <w:tcPr>
            <w:tcW w:w="460" w:type="dxa"/>
            <w:vAlign w:val="bottom"/>
            <w:tcBorders>
              <w:bottom w:val="single" w:sz="8" w:color="999999"/>
            </w:tcBorders>
          </w:tcPr>
          <w:p>
            <w:pPr>
              <w:spacing w:after="0"/>
              <w:rPr>
                <w:sz w:val="7"/>
                <w:szCs w:val="7"/>
                <w:color w:val="auto"/>
              </w:rPr>
            </w:pPr>
          </w:p>
        </w:tc>
        <w:tc>
          <w:tcPr>
            <w:tcW w:w="4480" w:type="dxa"/>
            <w:vAlign w:val="bottom"/>
            <w:tcBorders>
              <w:bottom w:val="single" w:sz="8" w:color="999999"/>
            </w:tcBorders>
          </w:tcPr>
          <w:p>
            <w:pPr>
              <w:spacing w:after="0"/>
              <w:rPr>
                <w:sz w:val="7"/>
                <w:szCs w:val="7"/>
                <w:color w:val="auto"/>
              </w:rPr>
            </w:pPr>
          </w:p>
        </w:tc>
        <w:tc>
          <w:tcPr>
            <w:tcW w:w="820" w:type="dxa"/>
            <w:vAlign w:val="bottom"/>
          </w:tcPr>
          <w:p>
            <w:pPr>
              <w:spacing w:after="0"/>
              <w:rPr>
                <w:sz w:val="7"/>
                <w:szCs w:val="7"/>
                <w:color w:val="auto"/>
              </w:rPr>
            </w:pPr>
          </w:p>
        </w:tc>
      </w:tr>
      <w:tr>
        <w:trPr>
          <w:trHeight w:val="288"/>
        </w:trPr>
        <w:tc>
          <w:tcPr>
            <w:tcW w:w="800" w:type="dxa"/>
            <w:vAlign w:val="bottom"/>
          </w:tcPr>
          <w:p>
            <w:pPr>
              <w:spacing w:after="0"/>
              <w:rPr>
                <w:sz w:val="24"/>
                <w:szCs w:val="24"/>
                <w:color w:val="auto"/>
              </w:rPr>
            </w:pPr>
          </w:p>
        </w:tc>
        <w:tc>
          <w:tcPr>
            <w:tcW w:w="4460" w:type="dxa"/>
            <w:vAlign w:val="bottom"/>
            <w:gridSpan w:val="2"/>
          </w:tcPr>
          <w:p>
            <w:pPr>
              <w:ind w:left="200"/>
              <w:spacing w:after="0"/>
              <w:rPr>
                <w:sz w:val="20"/>
                <w:szCs w:val="20"/>
                <w:color w:val="auto"/>
              </w:rPr>
            </w:pPr>
            <w:r>
              <w:rPr>
                <w:rFonts w:ascii="Arial" w:cs="Arial" w:eastAsia="Arial" w:hAnsi="Arial"/>
                <w:sz w:val="14"/>
                <w:szCs w:val="14"/>
                <w:b w:val="1"/>
                <w:bCs w:val="1"/>
                <w:color w:val="40C0C0"/>
              </w:rPr>
              <w:t>Olga Gonzalez</w:t>
            </w:r>
          </w:p>
        </w:tc>
        <w:tc>
          <w:tcPr>
            <w:tcW w:w="460" w:type="dxa"/>
            <w:vAlign w:val="bottom"/>
          </w:tcPr>
          <w:p>
            <w:pPr>
              <w:spacing w:after="0"/>
              <w:rPr>
                <w:sz w:val="24"/>
                <w:szCs w:val="24"/>
                <w:color w:val="auto"/>
              </w:rPr>
            </w:pPr>
          </w:p>
        </w:tc>
        <w:tc>
          <w:tcPr>
            <w:tcW w:w="4480" w:type="dxa"/>
            <w:vAlign w:val="bottom"/>
          </w:tcPr>
          <w:p>
            <w:pPr>
              <w:jc w:val="right"/>
              <w:ind w:right="149"/>
              <w:spacing w:after="0"/>
              <w:rPr>
                <w:sz w:val="20"/>
                <w:szCs w:val="20"/>
                <w:color w:val="auto"/>
              </w:rPr>
            </w:pPr>
            <w:r>
              <w:rPr>
                <w:rFonts w:ascii="Arial" w:cs="Arial" w:eastAsia="Arial" w:hAnsi="Arial"/>
                <w:sz w:val="14"/>
                <w:szCs w:val="14"/>
                <w:color w:val="auto"/>
              </w:rPr>
              <w:t>312,500</w:t>
            </w:r>
          </w:p>
        </w:tc>
        <w:tc>
          <w:tcPr>
            <w:tcW w:w="820" w:type="dxa"/>
            <w:vAlign w:val="bottom"/>
          </w:tcPr>
          <w:p>
            <w:pPr>
              <w:spacing w:after="0"/>
              <w:rPr>
                <w:sz w:val="24"/>
                <w:szCs w:val="24"/>
                <w:color w:val="auto"/>
              </w:rPr>
            </w:pPr>
          </w:p>
        </w:tc>
      </w:tr>
      <w:tr>
        <w:trPr>
          <w:trHeight w:val="83"/>
        </w:trPr>
        <w:tc>
          <w:tcPr>
            <w:tcW w:w="800" w:type="dxa"/>
            <w:vAlign w:val="bottom"/>
          </w:tcPr>
          <w:p>
            <w:pPr>
              <w:spacing w:after="0"/>
              <w:rPr>
                <w:sz w:val="7"/>
                <w:szCs w:val="7"/>
                <w:color w:val="auto"/>
              </w:rPr>
            </w:pPr>
          </w:p>
        </w:tc>
        <w:tc>
          <w:tcPr>
            <w:tcW w:w="1540" w:type="dxa"/>
            <w:vAlign w:val="bottom"/>
            <w:tcBorders>
              <w:bottom w:val="single" w:sz="8" w:color="999999"/>
            </w:tcBorders>
          </w:tcPr>
          <w:p>
            <w:pPr>
              <w:spacing w:after="0"/>
              <w:rPr>
                <w:sz w:val="7"/>
                <w:szCs w:val="7"/>
                <w:color w:val="auto"/>
              </w:rPr>
            </w:pPr>
          </w:p>
        </w:tc>
        <w:tc>
          <w:tcPr>
            <w:tcW w:w="2920" w:type="dxa"/>
            <w:vAlign w:val="bottom"/>
            <w:tcBorders>
              <w:bottom w:val="single" w:sz="8" w:color="999999"/>
            </w:tcBorders>
          </w:tcPr>
          <w:p>
            <w:pPr>
              <w:spacing w:after="0"/>
              <w:rPr>
                <w:sz w:val="7"/>
                <w:szCs w:val="7"/>
                <w:color w:val="auto"/>
              </w:rPr>
            </w:pPr>
          </w:p>
        </w:tc>
        <w:tc>
          <w:tcPr>
            <w:tcW w:w="460" w:type="dxa"/>
            <w:vAlign w:val="bottom"/>
            <w:tcBorders>
              <w:bottom w:val="single" w:sz="8" w:color="999999"/>
            </w:tcBorders>
          </w:tcPr>
          <w:p>
            <w:pPr>
              <w:spacing w:after="0"/>
              <w:rPr>
                <w:sz w:val="7"/>
                <w:szCs w:val="7"/>
                <w:color w:val="auto"/>
              </w:rPr>
            </w:pPr>
          </w:p>
        </w:tc>
        <w:tc>
          <w:tcPr>
            <w:tcW w:w="4480" w:type="dxa"/>
            <w:vAlign w:val="bottom"/>
            <w:tcBorders>
              <w:bottom w:val="single" w:sz="8" w:color="999999"/>
            </w:tcBorders>
          </w:tcPr>
          <w:p>
            <w:pPr>
              <w:spacing w:after="0"/>
              <w:rPr>
                <w:sz w:val="7"/>
                <w:szCs w:val="7"/>
                <w:color w:val="auto"/>
              </w:rPr>
            </w:pPr>
          </w:p>
        </w:tc>
        <w:tc>
          <w:tcPr>
            <w:tcW w:w="820" w:type="dxa"/>
            <w:vAlign w:val="bottom"/>
          </w:tcPr>
          <w:p>
            <w:pPr>
              <w:spacing w:after="0"/>
              <w:rPr>
                <w:sz w:val="7"/>
                <w:szCs w:val="7"/>
                <w:color w:val="auto"/>
              </w:rPr>
            </w:pPr>
          </w:p>
        </w:tc>
      </w:tr>
      <w:tr>
        <w:trPr>
          <w:trHeight w:val="288"/>
        </w:trPr>
        <w:tc>
          <w:tcPr>
            <w:tcW w:w="800" w:type="dxa"/>
            <w:vAlign w:val="bottom"/>
          </w:tcPr>
          <w:p>
            <w:pPr>
              <w:spacing w:after="0"/>
              <w:rPr>
                <w:sz w:val="24"/>
                <w:szCs w:val="24"/>
                <w:color w:val="auto"/>
              </w:rPr>
            </w:pPr>
          </w:p>
        </w:tc>
        <w:tc>
          <w:tcPr>
            <w:tcW w:w="4460" w:type="dxa"/>
            <w:vAlign w:val="bottom"/>
            <w:gridSpan w:val="2"/>
          </w:tcPr>
          <w:p>
            <w:pPr>
              <w:ind w:left="200"/>
              <w:spacing w:after="0"/>
              <w:rPr>
                <w:sz w:val="20"/>
                <w:szCs w:val="20"/>
                <w:color w:val="auto"/>
              </w:rPr>
            </w:pPr>
            <w:r>
              <w:rPr>
                <w:rFonts w:ascii="Arial" w:cs="Arial" w:eastAsia="Arial" w:hAnsi="Arial"/>
                <w:sz w:val="14"/>
                <w:szCs w:val="14"/>
                <w:b w:val="1"/>
                <w:bCs w:val="1"/>
                <w:color w:val="40C0C0"/>
              </w:rPr>
              <w:t>Scott Gordon</w:t>
            </w:r>
          </w:p>
        </w:tc>
        <w:tc>
          <w:tcPr>
            <w:tcW w:w="460" w:type="dxa"/>
            <w:vAlign w:val="bottom"/>
          </w:tcPr>
          <w:p>
            <w:pPr>
              <w:spacing w:after="0"/>
              <w:rPr>
                <w:sz w:val="24"/>
                <w:szCs w:val="24"/>
                <w:color w:val="auto"/>
              </w:rPr>
            </w:pPr>
          </w:p>
        </w:tc>
        <w:tc>
          <w:tcPr>
            <w:tcW w:w="4480" w:type="dxa"/>
            <w:vAlign w:val="bottom"/>
          </w:tcPr>
          <w:p>
            <w:pPr>
              <w:jc w:val="right"/>
              <w:ind w:right="149"/>
              <w:spacing w:after="0"/>
              <w:rPr>
                <w:sz w:val="20"/>
                <w:szCs w:val="20"/>
                <w:color w:val="auto"/>
              </w:rPr>
            </w:pPr>
            <w:r>
              <w:rPr>
                <w:rFonts w:ascii="Arial" w:cs="Arial" w:eastAsia="Arial" w:hAnsi="Arial"/>
                <w:sz w:val="14"/>
                <w:szCs w:val="14"/>
                <w:color w:val="auto"/>
              </w:rPr>
              <w:t>566,037</w:t>
            </w:r>
          </w:p>
        </w:tc>
        <w:tc>
          <w:tcPr>
            <w:tcW w:w="820" w:type="dxa"/>
            <w:vAlign w:val="bottom"/>
          </w:tcPr>
          <w:p>
            <w:pPr>
              <w:spacing w:after="0"/>
              <w:rPr>
                <w:sz w:val="24"/>
                <w:szCs w:val="24"/>
                <w:color w:val="auto"/>
              </w:rPr>
            </w:pPr>
          </w:p>
        </w:tc>
      </w:tr>
      <w:tr>
        <w:trPr>
          <w:trHeight w:val="83"/>
        </w:trPr>
        <w:tc>
          <w:tcPr>
            <w:tcW w:w="800" w:type="dxa"/>
            <w:vAlign w:val="bottom"/>
          </w:tcPr>
          <w:p>
            <w:pPr>
              <w:spacing w:after="0"/>
              <w:rPr>
                <w:sz w:val="7"/>
                <w:szCs w:val="7"/>
                <w:color w:val="auto"/>
              </w:rPr>
            </w:pPr>
          </w:p>
        </w:tc>
        <w:tc>
          <w:tcPr>
            <w:tcW w:w="1540" w:type="dxa"/>
            <w:vAlign w:val="bottom"/>
            <w:tcBorders>
              <w:bottom w:val="single" w:sz="8" w:color="999999"/>
            </w:tcBorders>
          </w:tcPr>
          <w:p>
            <w:pPr>
              <w:spacing w:after="0"/>
              <w:rPr>
                <w:sz w:val="7"/>
                <w:szCs w:val="7"/>
                <w:color w:val="auto"/>
              </w:rPr>
            </w:pPr>
          </w:p>
        </w:tc>
        <w:tc>
          <w:tcPr>
            <w:tcW w:w="2920" w:type="dxa"/>
            <w:vAlign w:val="bottom"/>
            <w:tcBorders>
              <w:bottom w:val="single" w:sz="8" w:color="999999"/>
            </w:tcBorders>
          </w:tcPr>
          <w:p>
            <w:pPr>
              <w:spacing w:after="0"/>
              <w:rPr>
                <w:sz w:val="7"/>
                <w:szCs w:val="7"/>
                <w:color w:val="auto"/>
              </w:rPr>
            </w:pPr>
          </w:p>
        </w:tc>
        <w:tc>
          <w:tcPr>
            <w:tcW w:w="460" w:type="dxa"/>
            <w:vAlign w:val="bottom"/>
            <w:tcBorders>
              <w:bottom w:val="single" w:sz="8" w:color="999999"/>
            </w:tcBorders>
          </w:tcPr>
          <w:p>
            <w:pPr>
              <w:spacing w:after="0"/>
              <w:rPr>
                <w:sz w:val="7"/>
                <w:szCs w:val="7"/>
                <w:color w:val="auto"/>
              </w:rPr>
            </w:pPr>
          </w:p>
        </w:tc>
        <w:tc>
          <w:tcPr>
            <w:tcW w:w="4480" w:type="dxa"/>
            <w:vAlign w:val="bottom"/>
            <w:tcBorders>
              <w:bottom w:val="single" w:sz="8" w:color="999999"/>
            </w:tcBorders>
          </w:tcPr>
          <w:p>
            <w:pPr>
              <w:spacing w:after="0"/>
              <w:rPr>
                <w:sz w:val="7"/>
                <w:szCs w:val="7"/>
                <w:color w:val="auto"/>
              </w:rPr>
            </w:pPr>
          </w:p>
        </w:tc>
        <w:tc>
          <w:tcPr>
            <w:tcW w:w="820" w:type="dxa"/>
            <w:vAlign w:val="bottom"/>
          </w:tcPr>
          <w:p>
            <w:pPr>
              <w:spacing w:after="0"/>
              <w:rPr>
                <w:sz w:val="7"/>
                <w:szCs w:val="7"/>
                <w:color w:val="auto"/>
              </w:rPr>
            </w:pPr>
          </w:p>
        </w:tc>
      </w:tr>
      <w:tr>
        <w:trPr>
          <w:trHeight w:val="288"/>
        </w:trPr>
        <w:tc>
          <w:tcPr>
            <w:tcW w:w="800" w:type="dxa"/>
            <w:vAlign w:val="bottom"/>
          </w:tcPr>
          <w:p>
            <w:pPr>
              <w:spacing w:after="0"/>
              <w:rPr>
                <w:sz w:val="24"/>
                <w:szCs w:val="24"/>
                <w:color w:val="auto"/>
              </w:rPr>
            </w:pPr>
          </w:p>
        </w:tc>
        <w:tc>
          <w:tcPr>
            <w:tcW w:w="4460" w:type="dxa"/>
            <w:vAlign w:val="bottom"/>
            <w:gridSpan w:val="2"/>
          </w:tcPr>
          <w:p>
            <w:pPr>
              <w:ind w:left="200"/>
              <w:spacing w:after="0"/>
              <w:rPr>
                <w:sz w:val="20"/>
                <w:szCs w:val="20"/>
                <w:color w:val="auto"/>
              </w:rPr>
            </w:pPr>
            <w:r>
              <w:rPr>
                <w:rFonts w:ascii="Arial" w:cs="Arial" w:eastAsia="Arial" w:hAnsi="Arial"/>
                <w:sz w:val="14"/>
                <w:szCs w:val="14"/>
                <w:b w:val="1"/>
                <w:bCs w:val="1"/>
                <w:color w:val="40C0C0"/>
              </w:rPr>
              <w:t>Glen Ibbott</w:t>
            </w:r>
          </w:p>
        </w:tc>
        <w:tc>
          <w:tcPr>
            <w:tcW w:w="460" w:type="dxa"/>
            <w:vAlign w:val="bottom"/>
          </w:tcPr>
          <w:p>
            <w:pPr>
              <w:spacing w:after="0"/>
              <w:rPr>
                <w:sz w:val="24"/>
                <w:szCs w:val="24"/>
                <w:color w:val="auto"/>
              </w:rPr>
            </w:pPr>
          </w:p>
        </w:tc>
        <w:tc>
          <w:tcPr>
            <w:tcW w:w="4480" w:type="dxa"/>
            <w:vAlign w:val="bottom"/>
          </w:tcPr>
          <w:p>
            <w:pPr>
              <w:jc w:val="right"/>
              <w:ind w:right="149"/>
              <w:spacing w:after="0"/>
              <w:rPr>
                <w:sz w:val="20"/>
                <w:szCs w:val="20"/>
                <w:color w:val="auto"/>
              </w:rPr>
            </w:pPr>
            <w:r>
              <w:rPr>
                <w:rFonts w:ascii="Arial" w:cs="Arial" w:eastAsia="Arial" w:hAnsi="Arial"/>
                <w:sz w:val="14"/>
                <w:szCs w:val="14"/>
                <w:color w:val="auto"/>
              </w:rPr>
              <w:t>168,350</w:t>
            </w:r>
          </w:p>
        </w:tc>
        <w:tc>
          <w:tcPr>
            <w:tcW w:w="820" w:type="dxa"/>
            <w:vAlign w:val="bottom"/>
          </w:tcPr>
          <w:p>
            <w:pPr>
              <w:spacing w:after="0"/>
              <w:rPr>
                <w:sz w:val="24"/>
                <w:szCs w:val="24"/>
                <w:color w:val="auto"/>
              </w:rPr>
            </w:pPr>
          </w:p>
        </w:tc>
      </w:tr>
      <w:tr>
        <w:trPr>
          <w:trHeight w:val="69"/>
        </w:trPr>
        <w:tc>
          <w:tcPr>
            <w:tcW w:w="800" w:type="dxa"/>
            <w:vAlign w:val="bottom"/>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48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r>
      <w:tr>
        <w:trPr>
          <w:trHeight w:val="156"/>
        </w:trPr>
        <w:tc>
          <w:tcPr>
            <w:tcW w:w="800" w:type="dxa"/>
            <w:vAlign w:val="bottom"/>
          </w:tcPr>
          <w:p>
            <w:pPr>
              <w:spacing w:after="0"/>
              <w:rPr>
                <w:sz w:val="13"/>
                <w:szCs w:val="13"/>
                <w:color w:val="auto"/>
              </w:rPr>
            </w:pPr>
          </w:p>
        </w:tc>
        <w:tc>
          <w:tcPr>
            <w:tcW w:w="1540" w:type="dxa"/>
            <w:vAlign w:val="bottom"/>
            <w:tcBorders>
              <w:bottom w:val="single" w:sz="8" w:color="40C0C0"/>
            </w:tcBorders>
          </w:tcPr>
          <w:p>
            <w:pPr>
              <w:spacing w:after="0"/>
              <w:rPr>
                <w:sz w:val="13"/>
                <w:szCs w:val="13"/>
                <w:color w:val="auto"/>
              </w:rPr>
            </w:pPr>
          </w:p>
        </w:tc>
        <w:tc>
          <w:tcPr>
            <w:tcW w:w="2920" w:type="dxa"/>
            <w:vAlign w:val="bottom"/>
            <w:tcBorders>
              <w:bottom w:val="single" w:sz="8" w:color="40C0C0"/>
            </w:tcBorders>
          </w:tcPr>
          <w:p>
            <w:pPr>
              <w:spacing w:after="0"/>
              <w:rPr>
                <w:sz w:val="13"/>
                <w:szCs w:val="13"/>
                <w:color w:val="auto"/>
              </w:rPr>
            </w:pPr>
          </w:p>
        </w:tc>
        <w:tc>
          <w:tcPr>
            <w:tcW w:w="460" w:type="dxa"/>
            <w:vAlign w:val="bottom"/>
            <w:tcBorders>
              <w:bottom w:val="single" w:sz="8" w:color="40C0C0"/>
            </w:tcBorders>
          </w:tcPr>
          <w:p>
            <w:pPr>
              <w:spacing w:after="0"/>
              <w:rPr>
                <w:sz w:val="13"/>
                <w:szCs w:val="13"/>
                <w:color w:val="auto"/>
              </w:rPr>
            </w:pPr>
          </w:p>
        </w:tc>
        <w:tc>
          <w:tcPr>
            <w:tcW w:w="4480" w:type="dxa"/>
            <w:vAlign w:val="bottom"/>
            <w:tcBorders>
              <w:bottom w:val="single" w:sz="8" w:color="40C0C0"/>
            </w:tcBorders>
          </w:tcPr>
          <w:p>
            <w:pPr>
              <w:spacing w:after="0"/>
              <w:rPr>
                <w:sz w:val="13"/>
                <w:szCs w:val="13"/>
                <w:color w:val="auto"/>
              </w:rPr>
            </w:pPr>
          </w:p>
        </w:tc>
        <w:tc>
          <w:tcPr>
            <w:tcW w:w="820" w:type="dxa"/>
            <w:vAlign w:val="bottom"/>
          </w:tcPr>
          <w:p>
            <w:pPr>
              <w:spacing w:after="0"/>
              <w:rPr>
                <w:sz w:val="13"/>
                <w:szCs w:val="13"/>
                <w:color w:val="auto"/>
              </w:rPr>
            </w:pPr>
          </w:p>
        </w:tc>
      </w:tr>
      <w:tr>
        <w:trPr>
          <w:trHeight w:val="472"/>
        </w:trPr>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20" w:type="dxa"/>
            <w:vAlign w:val="bottom"/>
          </w:tcPr>
          <w:p>
            <w:pPr>
              <w:ind w:left="1520"/>
              <w:spacing w:after="0"/>
              <w:rPr>
                <w:sz w:val="20"/>
                <w:szCs w:val="20"/>
                <w:color w:val="auto"/>
              </w:rPr>
            </w:pPr>
            <w:r>
              <w:rPr>
                <w:rFonts w:ascii="Arial" w:cs="Arial" w:eastAsia="Arial" w:hAnsi="Arial"/>
                <w:sz w:val="13"/>
                <w:szCs w:val="13"/>
                <w:b w:val="1"/>
                <w:bCs w:val="1"/>
                <w:color w:val="auto"/>
              </w:rPr>
              <w:t>WM Technology, Inc.</w:t>
            </w:r>
          </w:p>
        </w:tc>
        <w:tc>
          <w:tcPr>
            <w:tcW w:w="460" w:type="dxa"/>
            <w:vAlign w:val="bottom"/>
          </w:tcPr>
          <w:p>
            <w:pPr>
              <w:jc w:val="right"/>
              <w:ind w:right="97"/>
              <w:spacing w:after="0"/>
              <w:rPr>
                <w:sz w:val="20"/>
                <w:szCs w:val="20"/>
                <w:color w:val="auto"/>
              </w:rPr>
            </w:pPr>
            <w:r>
              <w:rPr>
                <w:rFonts w:ascii="Arial" w:cs="Arial" w:eastAsia="Arial" w:hAnsi="Arial"/>
                <w:sz w:val="13"/>
                <w:szCs w:val="13"/>
                <w:b w:val="1"/>
                <w:bCs w:val="1"/>
                <w:color w:val="auto"/>
              </w:rPr>
              <w:t>46</w:t>
            </w:r>
          </w:p>
        </w:tc>
        <w:tc>
          <w:tcPr>
            <w:tcW w:w="4480" w:type="dxa"/>
            <w:vAlign w:val="bottom"/>
          </w:tcPr>
          <w:p>
            <w:pPr>
              <w:jc w:val="right"/>
              <w:ind w:right="3009"/>
              <w:spacing w:after="0"/>
              <w:rPr>
                <w:sz w:val="20"/>
                <w:szCs w:val="20"/>
                <w:color w:val="auto"/>
              </w:rPr>
            </w:pPr>
            <w:r>
              <w:rPr>
                <w:rFonts w:ascii="Arial" w:cs="Arial" w:eastAsia="Arial" w:hAnsi="Arial"/>
                <w:sz w:val="13"/>
                <w:szCs w:val="13"/>
                <w:color w:val="auto"/>
              </w:rPr>
              <w:t>2025 Proxy Statement</w:t>
            </w:r>
          </w:p>
        </w:tc>
        <w:tc>
          <w:tcPr>
            <w:tcW w:w="820" w:type="dxa"/>
            <w:vAlign w:val="bottom"/>
          </w:tcPr>
          <w:p>
            <w:pPr>
              <w:spacing w:after="0"/>
              <w:rPr>
                <w:sz w:val="24"/>
                <w:szCs w:val="24"/>
                <w:color w:val="auto"/>
              </w:rPr>
            </w:pPr>
          </w:p>
        </w:tc>
      </w:tr>
      <w:tr>
        <w:trPr>
          <w:trHeight w:val="218"/>
        </w:trPr>
        <w:tc>
          <w:tcPr>
            <w:tcW w:w="8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114"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Pay Versus Performance</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 required by Section 953(a) of the Dodd-Frank Act and Item 402(v) of Regulation S-K, we are providing the following information about the relationship between compensation actually paid (“CAP”) to our principal executive officers (“PEOs”) and our non-PEO Named Executive Officers (“Non-PEO NEOs”) and certain financial performance of the Company. Also as required by the SEC, this section compares CAP to various measures used to gauge performance at the Company. Accordingly, the table below includes the following “Company-Selected Measure” as defined in Item 402(v) of Regulation S-K: Revenue. The disclosure included in this section is prescribed by SEC rules and does not necessarily align with how the Company or the Compensation Committee view the link between the Company’s performance and named executive officer pay and the Compensation Committee did not consider the disclosure below in making its pay decisions for any of the years shown. For information on our executive compensation program and the Compensation Committee’s approach, refer to the above Narrative Disclosure to Summary Compensation Table and Outstanding Equity Awards at Fiscal Year-End table.</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Pay Versus Performance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640" w:type="dxa"/>
            <w:vAlign w:val="bottom"/>
            <w:vMerge w:val="restart"/>
          </w:tcPr>
          <w:p>
            <w:pPr>
              <w:ind w:left="180"/>
              <w:spacing w:after="0"/>
              <w:rPr>
                <w:sz w:val="20"/>
                <w:szCs w:val="20"/>
                <w:color w:val="auto"/>
              </w:rPr>
            </w:pPr>
            <w:r>
              <w:rPr>
                <w:rFonts w:ascii="Arial" w:cs="Arial" w:eastAsia="Arial" w:hAnsi="Arial"/>
                <w:sz w:val="14"/>
                <w:szCs w:val="14"/>
                <w:b w:val="1"/>
                <w:bCs w:val="1"/>
                <w:color w:val="FFFFFF"/>
              </w:rPr>
              <w:t>​</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shd w:val="clear" w:color="auto" w:fill="808080"/>
          </w:tcPr>
          <w:p>
            <w:pPr>
              <w:spacing w:after="0"/>
              <w:rPr>
                <w:sz w:val="24"/>
                <w:szCs w:val="24"/>
                <w:color w:val="auto"/>
              </w:rPr>
            </w:pPr>
          </w:p>
        </w:tc>
        <w:tc>
          <w:tcPr>
            <w:tcW w:w="1980" w:type="dxa"/>
            <w:vAlign w:val="bottom"/>
            <w:gridSpan w:val="2"/>
            <w:shd w:val="clear" w:color="auto" w:fill="808080"/>
          </w:tcPr>
          <w:p>
            <w:pPr>
              <w:jc w:val="right"/>
              <w:ind w:right="394"/>
              <w:spacing w:after="0"/>
              <w:rPr>
                <w:sz w:val="20"/>
                <w:szCs w:val="20"/>
                <w:color w:val="auto"/>
              </w:rPr>
            </w:pPr>
            <w:r>
              <w:rPr>
                <w:rFonts w:ascii="Arial" w:cs="Arial" w:eastAsia="Arial" w:hAnsi="Arial"/>
                <w:sz w:val="13"/>
                <w:szCs w:val="13"/>
                <w:b w:val="1"/>
                <w:bCs w:val="1"/>
                <w:color w:val="FFFFFF"/>
              </w:rPr>
              <w:t>Value of Initial Fixed</w:t>
            </w:r>
          </w:p>
        </w:tc>
        <w:tc>
          <w:tcPr>
            <w:tcW w:w="0" w:type="dxa"/>
            <w:vAlign w:val="bottom"/>
          </w:tcPr>
          <w:p>
            <w:pPr>
              <w:spacing w:after="0"/>
              <w:rPr>
                <w:sz w:val="1"/>
                <w:szCs w:val="1"/>
                <w:color w:val="auto"/>
              </w:rPr>
            </w:pPr>
          </w:p>
        </w:tc>
      </w:tr>
      <w:tr>
        <w:trPr>
          <w:trHeight w:val="178"/>
        </w:trPr>
        <w:tc>
          <w:tcPr>
            <w:tcW w:w="6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shd w:val="clear" w:color="auto" w:fill="808080"/>
          </w:tcPr>
          <w:p>
            <w:pPr>
              <w:spacing w:after="0"/>
              <w:rPr>
                <w:sz w:val="15"/>
                <w:szCs w:val="15"/>
                <w:color w:val="auto"/>
              </w:rPr>
            </w:pPr>
          </w:p>
        </w:tc>
        <w:tc>
          <w:tcPr>
            <w:tcW w:w="1980" w:type="dxa"/>
            <w:vAlign w:val="bottom"/>
            <w:gridSpan w:val="2"/>
            <w:shd w:val="clear" w:color="auto" w:fill="808080"/>
          </w:tcPr>
          <w:p>
            <w:pPr>
              <w:jc w:val="right"/>
              <w:ind w:right="154"/>
              <w:spacing w:after="0"/>
              <w:rPr>
                <w:sz w:val="20"/>
                <w:szCs w:val="20"/>
                <w:color w:val="auto"/>
              </w:rPr>
            </w:pPr>
            <w:r>
              <w:rPr>
                <w:rFonts w:ascii="Arial" w:cs="Arial" w:eastAsia="Arial" w:hAnsi="Arial"/>
                <w:sz w:val="13"/>
                <w:szCs w:val="13"/>
                <w:b w:val="1"/>
                <w:bCs w:val="1"/>
                <w:color w:val="FFFFFF"/>
              </w:rPr>
              <w:t>$100 Investment Based On:</w:t>
            </w:r>
          </w:p>
        </w:tc>
        <w:tc>
          <w:tcPr>
            <w:tcW w:w="0" w:type="dxa"/>
            <w:vAlign w:val="bottom"/>
          </w:tcPr>
          <w:p>
            <w:pPr>
              <w:spacing w:after="0"/>
              <w:rPr>
                <w:sz w:val="1"/>
                <w:szCs w:val="1"/>
                <w:color w:val="auto"/>
              </w:rPr>
            </w:pPr>
          </w:p>
        </w:tc>
      </w:tr>
      <w:tr>
        <w:trPr>
          <w:trHeight w:val="97"/>
        </w:trPr>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shd w:val="clear" w:color="auto" w:fill="808080"/>
          </w:tcPr>
          <w:p>
            <w:pPr>
              <w:spacing w:after="0"/>
              <w:rPr>
                <w:sz w:val="8"/>
                <w:szCs w:val="8"/>
                <w:color w:val="auto"/>
              </w:rPr>
            </w:pPr>
          </w:p>
        </w:tc>
        <w:tc>
          <w:tcPr>
            <w:tcW w:w="960" w:type="dxa"/>
            <w:vAlign w:val="bottom"/>
            <w:shd w:val="clear" w:color="auto" w:fill="808080"/>
          </w:tcPr>
          <w:p>
            <w:pPr>
              <w:spacing w:after="0"/>
              <w:rPr>
                <w:sz w:val="8"/>
                <w:szCs w:val="8"/>
                <w:color w:val="auto"/>
              </w:rPr>
            </w:pPr>
          </w:p>
        </w:tc>
        <w:tc>
          <w:tcPr>
            <w:tcW w:w="1020" w:type="dxa"/>
            <w:vAlign w:val="bottom"/>
            <w:shd w:val="clear" w:color="auto" w:fill="808080"/>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640" w:type="dxa"/>
            <w:vAlign w:val="bottom"/>
            <w:shd w:val="clear" w:color="auto" w:fill="000000"/>
          </w:tcPr>
          <w:p>
            <w:pPr>
              <w:spacing w:after="0"/>
              <w:rPr>
                <w:sz w:val="19"/>
                <w:szCs w:val="19"/>
                <w:color w:val="auto"/>
              </w:rPr>
            </w:pPr>
          </w:p>
        </w:tc>
        <w:tc>
          <w:tcPr>
            <w:tcW w:w="1140" w:type="dxa"/>
            <w:vAlign w:val="bottom"/>
            <w:shd w:val="clear" w:color="auto" w:fill="000000"/>
          </w:tcPr>
          <w:p>
            <w:pPr>
              <w:spacing w:after="0"/>
              <w:rPr>
                <w:sz w:val="19"/>
                <w:szCs w:val="19"/>
                <w:color w:val="auto"/>
              </w:rPr>
            </w:pPr>
          </w:p>
        </w:tc>
        <w:tc>
          <w:tcPr>
            <w:tcW w:w="1120" w:type="dxa"/>
            <w:vAlign w:val="bottom"/>
            <w:shd w:val="clear" w:color="auto" w:fill="000000"/>
          </w:tcPr>
          <w:p>
            <w:pPr>
              <w:spacing w:after="0"/>
              <w:rPr>
                <w:sz w:val="19"/>
                <w:szCs w:val="19"/>
                <w:color w:val="auto"/>
              </w:rPr>
            </w:pPr>
          </w:p>
        </w:tc>
        <w:tc>
          <w:tcPr>
            <w:tcW w:w="1140" w:type="dxa"/>
            <w:vAlign w:val="bottom"/>
            <w:shd w:val="clear" w:color="auto" w:fill="000000"/>
          </w:tcPr>
          <w:p>
            <w:pPr>
              <w:spacing w:after="0"/>
              <w:rPr>
                <w:sz w:val="19"/>
                <w:szCs w:val="19"/>
                <w:color w:val="auto"/>
              </w:rPr>
            </w:pPr>
          </w:p>
        </w:tc>
        <w:tc>
          <w:tcPr>
            <w:tcW w:w="1000" w:type="dxa"/>
            <w:vAlign w:val="bottom"/>
            <w:shd w:val="clear" w:color="auto" w:fill="000000"/>
          </w:tcPr>
          <w:p>
            <w:pPr>
              <w:spacing w:after="0"/>
              <w:rPr>
                <w:sz w:val="19"/>
                <w:szCs w:val="19"/>
                <w:color w:val="auto"/>
              </w:rPr>
            </w:pPr>
          </w:p>
        </w:tc>
        <w:tc>
          <w:tcPr>
            <w:tcW w:w="1140" w:type="dxa"/>
            <w:vAlign w:val="bottom"/>
            <w:shd w:val="clear" w:color="auto" w:fill="000000"/>
          </w:tcPr>
          <w:p>
            <w:pPr>
              <w:jc w:val="right"/>
              <w:ind w:right="115"/>
              <w:spacing w:after="0"/>
              <w:rPr>
                <w:sz w:val="20"/>
                <w:szCs w:val="20"/>
                <w:color w:val="auto"/>
              </w:rPr>
            </w:pPr>
            <w:r>
              <w:rPr>
                <w:rFonts w:ascii="Arial" w:cs="Arial" w:eastAsia="Arial" w:hAnsi="Arial"/>
                <w:sz w:val="13"/>
                <w:szCs w:val="13"/>
                <w:b w:val="1"/>
                <w:bCs w:val="1"/>
                <w:color w:val="FFFFFF"/>
              </w:rPr>
              <w:t>Average</w:t>
            </w:r>
          </w:p>
        </w:tc>
        <w:tc>
          <w:tcPr>
            <w:tcW w:w="110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960" w:type="dxa"/>
            <w:vAlign w:val="bottom"/>
            <w:shd w:val="clear" w:color="auto" w:fill="000000"/>
          </w:tcPr>
          <w:p>
            <w:pPr>
              <w:spacing w:after="0"/>
              <w:rPr>
                <w:sz w:val="19"/>
                <w:szCs w:val="19"/>
                <w:color w:val="auto"/>
              </w:rPr>
            </w:pPr>
          </w:p>
        </w:tc>
        <w:tc>
          <w:tcPr>
            <w:tcW w:w="10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000000"/>
          </w:tcPr>
          <w:p>
            <w:pPr>
              <w:spacing w:after="0"/>
              <w:rPr>
                <w:sz w:val="11"/>
                <w:szCs w:val="11"/>
                <w:color w:val="auto"/>
              </w:rPr>
            </w:pPr>
          </w:p>
        </w:tc>
        <w:tc>
          <w:tcPr>
            <w:tcW w:w="1140" w:type="dxa"/>
            <w:vAlign w:val="bottom"/>
            <w:vMerge w:val="restart"/>
            <w:shd w:val="clear" w:color="auto" w:fill="000000"/>
          </w:tcPr>
          <w:p>
            <w:pPr>
              <w:jc w:val="right"/>
              <w:ind w:right="94"/>
              <w:spacing w:after="0"/>
              <w:rPr>
                <w:sz w:val="20"/>
                <w:szCs w:val="20"/>
                <w:color w:val="auto"/>
              </w:rPr>
            </w:pPr>
            <w:r>
              <w:rPr>
                <w:rFonts w:ascii="Arial" w:cs="Arial" w:eastAsia="Arial" w:hAnsi="Arial"/>
                <w:sz w:val="13"/>
                <w:szCs w:val="13"/>
                <w:b w:val="1"/>
                <w:bCs w:val="1"/>
                <w:color w:val="FFFFFF"/>
              </w:rPr>
              <w:t>Summary</w:t>
            </w:r>
          </w:p>
        </w:tc>
        <w:tc>
          <w:tcPr>
            <w:tcW w:w="1120" w:type="dxa"/>
            <w:vAlign w:val="bottom"/>
            <w:vMerge w:val="restart"/>
            <w:shd w:val="clear" w:color="auto" w:fill="000000"/>
          </w:tcPr>
          <w:p>
            <w:pPr>
              <w:jc w:val="right"/>
              <w:ind w:right="94"/>
              <w:spacing w:after="0"/>
              <w:rPr>
                <w:sz w:val="20"/>
                <w:szCs w:val="20"/>
                <w:color w:val="auto"/>
              </w:rPr>
            </w:pPr>
            <w:r>
              <w:rPr>
                <w:rFonts w:ascii="Arial" w:cs="Arial" w:eastAsia="Arial" w:hAnsi="Arial"/>
                <w:sz w:val="13"/>
                <w:szCs w:val="13"/>
                <w:b w:val="1"/>
                <w:bCs w:val="1"/>
                <w:color w:val="FFFFFF"/>
              </w:rPr>
              <w:t>Summary</w:t>
            </w:r>
          </w:p>
        </w:tc>
        <w:tc>
          <w:tcPr>
            <w:tcW w:w="114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140" w:type="dxa"/>
            <w:vAlign w:val="bottom"/>
            <w:shd w:val="clear" w:color="auto" w:fill="000000"/>
          </w:tcPr>
          <w:p>
            <w:pPr>
              <w:jc w:val="right"/>
              <w:ind w:right="115"/>
              <w:spacing w:after="0" w:line="135" w:lineRule="exact"/>
              <w:rPr>
                <w:sz w:val="20"/>
                <w:szCs w:val="20"/>
                <w:color w:val="auto"/>
              </w:rPr>
            </w:pPr>
            <w:r>
              <w:rPr>
                <w:rFonts w:ascii="Arial" w:cs="Arial" w:eastAsia="Arial" w:hAnsi="Arial"/>
                <w:sz w:val="13"/>
                <w:szCs w:val="13"/>
                <w:b w:val="1"/>
                <w:bCs w:val="1"/>
                <w:color w:val="FFFFFF"/>
              </w:rPr>
              <w:t>Summary</w:t>
            </w:r>
          </w:p>
        </w:tc>
        <w:tc>
          <w:tcPr>
            <w:tcW w:w="110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960" w:type="dxa"/>
            <w:vAlign w:val="bottom"/>
            <w:shd w:val="clear" w:color="auto" w:fill="000000"/>
          </w:tcPr>
          <w:p>
            <w:pPr>
              <w:spacing w:after="0"/>
              <w:rPr>
                <w:sz w:val="11"/>
                <w:szCs w:val="11"/>
                <w:color w:val="auto"/>
              </w:rPr>
            </w:pPr>
          </w:p>
        </w:tc>
        <w:tc>
          <w:tcPr>
            <w:tcW w:w="10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000000"/>
          </w:tcPr>
          <w:p>
            <w:pPr>
              <w:spacing w:after="0"/>
              <w:rPr>
                <w:sz w:val="11"/>
                <w:szCs w:val="11"/>
                <w:color w:val="auto"/>
              </w:rPr>
            </w:pPr>
          </w:p>
        </w:tc>
        <w:tc>
          <w:tcPr>
            <w:tcW w:w="1140" w:type="dxa"/>
            <w:vAlign w:val="bottom"/>
            <w:vMerge w:val="continue"/>
            <w:shd w:val="clear" w:color="auto" w:fill="000000"/>
          </w:tcPr>
          <w:p>
            <w:pPr>
              <w:spacing w:after="0"/>
              <w:rPr>
                <w:sz w:val="11"/>
                <w:szCs w:val="11"/>
                <w:color w:val="auto"/>
              </w:rPr>
            </w:pPr>
          </w:p>
        </w:tc>
        <w:tc>
          <w:tcPr>
            <w:tcW w:w="1120" w:type="dxa"/>
            <w:vAlign w:val="bottom"/>
            <w:vMerge w:val="continue"/>
            <w:shd w:val="clear" w:color="auto" w:fill="000000"/>
          </w:tcPr>
          <w:p>
            <w:pPr>
              <w:spacing w:after="0"/>
              <w:rPr>
                <w:sz w:val="11"/>
                <w:szCs w:val="11"/>
                <w:color w:val="auto"/>
              </w:rPr>
            </w:pPr>
          </w:p>
        </w:tc>
        <w:tc>
          <w:tcPr>
            <w:tcW w:w="114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140" w:type="dxa"/>
            <w:vAlign w:val="bottom"/>
            <w:shd w:val="clear" w:color="auto" w:fill="000000"/>
          </w:tcPr>
          <w:p>
            <w:pPr>
              <w:jc w:val="right"/>
              <w:ind w:right="75"/>
              <w:spacing w:after="0" w:line="135" w:lineRule="exact"/>
              <w:rPr>
                <w:sz w:val="20"/>
                <w:szCs w:val="20"/>
                <w:color w:val="auto"/>
              </w:rPr>
            </w:pPr>
            <w:r>
              <w:rPr>
                <w:rFonts w:ascii="Arial" w:cs="Arial" w:eastAsia="Arial" w:hAnsi="Arial"/>
                <w:sz w:val="13"/>
                <w:szCs w:val="13"/>
                <w:b w:val="1"/>
                <w:bCs w:val="1"/>
                <w:color w:val="FFFFFF"/>
              </w:rPr>
              <w:t>Compensation</w:t>
            </w:r>
          </w:p>
        </w:tc>
        <w:tc>
          <w:tcPr>
            <w:tcW w:w="1100" w:type="dxa"/>
            <w:vAlign w:val="bottom"/>
            <w:vMerge w:val="restart"/>
            <w:shd w:val="clear" w:color="auto" w:fill="000000"/>
          </w:tcPr>
          <w:p>
            <w:pPr>
              <w:jc w:val="right"/>
              <w:ind w:right="94"/>
              <w:spacing w:after="0"/>
              <w:rPr>
                <w:sz w:val="20"/>
                <w:szCs w:val="20"/>
                <w:color w:val="auto"/>
              </w:rPr>
            </w:pPr>
            <w:r>
              <w:rPr>
                <w:rFonts w:ascii="Arial" w:cs="Arial" w:eastAsia="Arial" w:hAnsi="Arial"/>
                <w:sz w:val="13"/>
                <w:szCs w:val="13"/>
                <w:b w:val="1"/>
                <w:bCs w:val="1"/>
                <w:color w:val="FFFFFF"/>
              </w:rPr>
              <w:t>Average</w:t>
            </w:r>
          </w:p>
        </w:tc>
        <w:tc>
          <w:tcPr>
            <w:tcW w:w="140" w:type="dxa"/>
            <w:vAlign w:val="bottom"/>
            <w:shd w:val="clear" w:color="auto" w:fill="000000"/>
          </w:tcPr>
          <w:p>
            <w:pPr>
              <w:spacing w:after="0"/>
              <w:rPr>
                <w:sz w:val="11"/>
                <w:szCs w:val="11"/>
                <w:color w:val="auto"/>
              </w:rPr>
            </w:pPr>
          </w:p>
        </w:tc>
        <w:tc>
          <w:tcPr>
            <w:tcW w:w="960" w:type="dxa"/>
            <w:vAlign w:val="bottom"/>
            <w:shd w:val="clear" w:color="auto" w:fill="000000"/>
          </w:tcPr>
          <w:p>
            <w:pPr>
              <w:spacing w:after="0"/>
              <w:rPr>
                <w:sz w:val="11"/>
                <w:szCs w:val="11"/>
                <w:color w:val="auto"/>
              </w:rPr>
            </w:pPr>
          </w:p>
        </w:tc>
        <w:tc>
          <w:tcPr>
            <w:tcW w:w="1020" w:type="dxa"/>
            <w:vAlign w:val="bottom"/>
            <w:vMerge w:val="restart"/>
            <w:shd w:val="clear" w:color="auto" w:fill="000000"/>
          </w:tcPr>
          <w:p>
            <w:pPr>
              <w:jc w:val="right"/>
              <w:ind w:right="94"/>
              <w:spacing w:after="0"/>
              <w:rPr>
                <w:sz w:val="20"/>
                <w:szCs w:val="20"/>
                <w:color w:val="auto"/>
              </w:rPr>
            </w:pPr>
            <w:r>
              <w:rPr>
                <w:rFonts w:ascii="Arial" w:cs="Arial" w:eastAsia="Arial" w:hAnsi="Arial"/>
                <w:sz w:val="13"/>
                <w:szCs w:val="13"/>
                <w:b w:val="1"/>
                <w:bCs w:val="1"/>
                <w:color w:val="FFFFFF"/>
              </w:rPr>
              <w:t>Net</w:t>
            </w:r>
          </w:p>
        </w:tc>
        <w:tc>
          <w:tcPr>
            <w:tcW w:w="0" w:type="dxa"/>
            <w:vAlign w:val="bottom"/>
          </w:tcPr>
          <w:p>
            <w:pPr>
              <w:spacing w:after="0"/>
              <w:rPr>
                <w:sz w:val="1"/>
                <w:szCs w:val="1"/>
                <w:color w:val="auto"/>
              </w:rPr>
            </w:pPr>
          </w:p>
        </w:tc>
      </w:tr>
      <w:tr>
        <w:trPr>
          <w:trHeight w:val="135"/>
        </w:trPr>
        <w:tc>
          <w:tcPr>
            <w:tcW w:w="640" w:type="dxa"/>
            <w:vAlign w:val="bottom"/>
            <w:shd w:val="clear" w:color="auto" w:fill="000000"/>
          </w:tcPr>
          <w:p>
            <w:pPr>
              <w:spacing w:after="0"/>
              <w:rPr>
                <w:sz w:val="11"/>
                <w:szCs w:val="11"/>
                <w:color w:val="auto"/>
              </w:rPr>
            </w:pPr>
          </w:p>
        </w:tc>
        <w:tc>
          <w:tcPr>
            <w:tcW w:w="1140" w:type="dxa"/>
            <w:vAlign w:val="bottom"/>
            <w:shd w:val="clear" w:color="auto" w:fill="000000"/>
          </w:tcPr>
          <w:p>
            <w:pPr>
              <w:jc w:val="right"/>
              <w:ind w:right="54"/>
              <w:spacing w:after="0" w:line="135" w:lineRule="exact"/>
              <w:rPr>
                <w:sz w:val="20"/>
                <w:szCs w:val="20"/>
                <w:color w:val="auto"/>
              </w:rPr>
            </w:pPr>
            <w:r>
              <w:rPr>
                <w:rFonts w:ascii="Arial" w:cs="Arial" w:eastAsia="Arial" w:hAnsi="Arial"/>
                <w:sz w:val="13"/>
                <w:szCs w:val="13"/>
                <w:b w:val="1"/>
                <w:bCs w:val="1"/>
                <w:color w:val="FFFFFF"/>
              </w:rPr>
              <w:t>Compensation</w:t>
            </w:r>
          </w:p>
        </w:tc>
        <w:tc>
          <w:tcPr>
            <w:tcW w:w="1120" w:type="dxa"/>
            <w:vAlign w:val="bottom"/>
            <w:shd w:val="clear" w:color="auto" w:fill="000000"/>
          </w:tcPr>
          <w:p>
            <w:pPr>
              <w:jc w:val="right"/>
              <w:ind w:right="54"/>
              <w:spacing w:after="0" w:line="135" w:lineRule="exact"/>
              <w:rPr>
                <w:sz w:val="20"/>
                <w:szCs w:val="20"/>
                <w:color w:val="auto"/>
              </w:rPr>
            </w:pPr>
            <w:r>
              <w:rPr>
                <w:rFonts w:ascii="Arial" w:cs="Arial" w:eastAsia="Arial" w:hAnsi="Arial"/>
                <w:sz w:val="13"/>
                <w:szCs w:val="13"/>
                <w:b w:val="1"/>
                <w:bCs w:val="1"/>
                <w:color w:val="FFFFFF"/>
              </w:rPr>
              <w:t>Compensation</w:t>
            </w:r>
          </w:p>
        </w:tc>
        <w:tc>
          <w:tcPr>
            <w:tcW w:w="114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140" w:type="dxa"/>
            <w:vAlign w:val="bottom"/>
            <w:shd w:val="clear" w:color="auto" w:fill="000000"/>
          </w:tcPr>
          <w:p>
            <w:pPr>
              <w:jc w:val="right"/>
              <w:ind w:right="115"/>
              <w:spacing w:after="0" w:line="135" w:lineRule="exact"/>
              <w:rPr>
                <w:sz w:val="20"/>
                <w:szCs w:val="20"/>
                <w:color w:val="auto"/>
              </w:rPr>
            </w:pPr>
            <w:r>
              <w:rPr>
                <w:rFonts w:ascii="Arial" w:cs="Arial" w:eastAsia="Arial" w:hAnsi="Arial"/>
                <w:sz w:val="13"/>
                <w:szCs w:val="13"/>
                <w:b w:val="1"/>
                <w:bCs w:val="1"/>
                <w:color w:val="FFFFFF"/>
              </w:rPr>
              <w:t>Table</w:t>
            </w:r>
          </w:p>
        </w:tc>
        <w:tc>
          <w:tcPr>
            <w:tcW w:w="1100" w:type="dxa"/>
            <w:vAlign w:val="bottom"/>
            <w:vMerge w:val="continue"/>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960" w:type="dxa"/>
            <w:vAlign w:val="bottom"/>
            <w:vMerge w:val="restart"/>
            <w:shd w:val="clear" w:color="auto" w:fill="000000"/>
          </w:tcPr>
          <w:p>
            <w:pPr>
              <w:jc w:val="right"/>
              <w:ind w:right="158"/>
              <w:spacing w:after="0"/>
              <w:rPr>
                <w:sz w:val="20"/>
                <w:szCs w:val="20"/>
                <w:color w:val="auto"/>
              </w:rPr>
            </w:pPr>
            <w:r>
              <w:rPr>
                <w:rFonts w:ascii="Arial" w:cs="Arial" w:eastAsia="Arial" w:hAnsi="Arial"/>
                <w:sz w:val="13"/>
                <w:szCs w:val="13"/>
                <w:b w:val="1"/>
                <w:bCs w:val="1"/>
                <w:color w:val="FFFFFF"/>
              </w:rPr>
              <w:t>Total</w:t>
            </w:r>
          </w:p>
        </w:tc>
        <w:tc>
          <w:tcPr>
            <w:tcW w:w="102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000000"/>
          </w:tcPr>
          <w:p>
            <w:pPr>
              <w:spacing w:after="0"/>
              <w:rPr>
                <w:sz w:val="11"/>
                <w:szCs w:val="11"/>
                <w:color w:val="auto"/>
              </w:rPr>
            </w:pPr>
          </w:p>
        </w:tc>
        <w:tc>
          <w:tcPr>
            <w:tcW w:w="1140" w:type="dxa"/>
            <w:vAlign w:val="bottom"/>
            <w:shd w:val="clear" w:color="auto" w:fill="000000"/>
          </w:tcPr>
          <w:p>
            <w:pPr>
              <w:jc w:val="right"/>
              <w:ind w:right="94"/>
              <w:spacing w:after="0" w:line="135" w:lineRule="exact"/>
              <w:rPr>
                <w:sz w:val="20"/>
                <w:szCs w:val="20"/>
                <w:color w:val="auto"/>
              </w:rPr>
            </w:pPr>
            <w:r>
              <w:rPr>
                <w:rFonts w:ascii="Arial" w:cs="Arial" w:eastAsia="Arial" w:hAnsi="Arial"/>
                <w:sz w:val="13"/>
                <w:szCs w:val="13"/>
                <w:b w:val="1"/>
                <w:bCs w:val="1"/>
                <w:color w:val="FFFFFF"/>
              </w:rPr>
              <w:t>Table</w:t>
            </w:r>
          </w:p>
        </w:tc>
        <w:tc>
          <w:tcPr>
            <w:tcW w:w="1120" w:type="dxa"/>
            <w:vAlign w:val="bottom"/>
            <w:shd w:val="clear" w:color="auto" w:fill="000000"/>
          </w:tcPr>
          <w:p>
            <w:pPr>
              <w:jc w:val="right"/>
              <w:ind w:right="94"/>
              <w:spacing w:after="0" w:line="135" w:lineRule="exact"/>
              <w:rPr>
                <w:sz w:val="20"/>
                <w:szCs w:val="20"/>
                <w:color w:val="auto"/>
              </w:rPr>
            </w:pPr>
            <w:r>
              <w:rPr>
                <w:rFonts w:ascii="Arial" w:cs="Arial" w:eastAsia="Arial" w:hAnsi="Arial"/>
                <w:sz w:val="13"/>
                <w:szCs w:val="13"/>
                <w:b w:val="1"/>
                <w:bCs w:val="1"/>
                <w:color w:val="FFFFFF"/>
              </w:rPr>
              <w:t>Table</w:t>
            </w:r>
          </w:p>
        </w:tc>
        <w:tc>
          <w:tcPr>
            <w:tcW w:w="1140" w:type="dxa"/>
            <w:vAlign w:val="bottom"/>
            <w:vMerge w:val="restart"/>
            <w:shd w:val="clear" w:color="auto" w:fill="000000"/>
          </w:tcPr>
          <w:p>
            <w:pPr>
              <w:jc w:val="right"/>
              <w:ind w:right="113"/>
              <w:spacing w:after="0"/>
              <w:rPr>
                <w:sz w:val="20"/>
                <w:szCs w:val="20"/>
                <w:color w:val="auto"/>
              </w:rPr>
            </w:pPr>
            <w:r>
              <w:rPr>
                <w:rFonts w:ascii="Arial" w:cs="Arial" w:eastAsia="Arial" w:hAnsi="Arial"/>
                <w:sz w:val="13"/>
                <w:szCs w:val="13"/>
                <w:b w:val="1"/>
                <w:bCs w:val="1"/>
                <w:color w:val="FFFFFF"/>
              </w:rPr>
              <w:t>CAP to</w:t>
            </w:r>
          </w:p>
        </w:tc>
        <w:tc>
          <w:tcPr>
            <w:tcW w:w="1000" w:type="dxa"/>
            <w:vAlign w:val="bottom"/>
            <w:vMerge w:val="restart"/>
            <w:shd w:val="clear" w:color="auto" w:fill="000000"/>
          </w:tcPr>
          <w:p>
            <w:pPr>
              <w:jc w:val="right"/>
              <w:ind w:right="113"/>
              <w:spacing w:after="0"/>
              <w:rPr>
                <w:sz w:val="20"/>
                <w:szCs w:val="20"/>
                <w:color w:val="auto"/>
              </w:rPr>
            </w:pPr>
            <w:r>
              <w:rPr>
                <w:rFonts w:ascii="Arial" w:cs="Arial" w:eastAsia="Arial" w:hAnsi="Arial"/>
                <w:sz w:val="13"/>
                <w:szCs w:val="13"/>
                <w:b w:val="1"/>
                <w:bCs w:val="1"/>
                <w:color w:val="FFFFFF"/>
              </w:rPr>
              <w:t>CAP to</w:t>
            </w:r>
          </w:p>
        </w:tc>
        <w:tc>
          <w:tcPr>
            <w:tcW w:w="1140" w:type="dxa"/>
            <w:vAlign w:val="bottom"/>
            <w:shd w:val="clear" w:color="auto" w:fill="000000"/>
          </w:tcPr>
          <w:p>
            <w:pPr>
              <w:jc w:val="right"/>
              <w:ind w:right="115"/>
              <w:spacing w:after="0" w:line="135" w:lineRule="exact"/>
              <w:rPr>
                <w:sz w:val="20"/>
                <w:szCs w:val="20"/>
                <w:color w:val="auto"/>
              </w:rPr>
            </w:pPr>
            <w:r>
              <w:rPr>
                <w:rFonts w:ascii="Arial" w:cs="Arial" w:eastAsia="Arial" w:hAnsi="Arial"/>
                <w:sz w:val="13"/>
                <w:szCs w:val="13"/>
                <w:b w:val="1"/>
                <w:bCs w:val="1"/>
                <w:color w:val="FFFFFF"/>
              </w:rPr>
              <w:t>Total for</w:t>
            </w:r>
          </w:p>
        </w:tc>
        <w:tc>
          <w:tcPr>
            <w:tcW w:w="1100" w:type="dxa"/>
            <w:vAlign w:val="bottom"/>
            <w:shd w:val="clear" w:color="auto" w:fill="000000"/>
          </w:tcPr>
          <w:p>
            <w:pPr>
              <w:jc w:val="right"/>
              <w:ind w:right="94"/>
              <w:spacing w:after="0" w:line="135" w:lineRule="exact"/>
              <w:rPr>
                <w:sz w:val="20"/>
                <w:szCs w:val="20"/>
                <w:color w:val="auto"/>
              </w:rPr>
            </w:pPr>
            <w:r>
              <w:rPr>
                <w:rFonts w:ascii="Arial" w:cs="Arial" w:eastAsia="Arial" w:hAnsi="Arial"/>
                <w:sz w:val="13"/>
                <w:szCs w:val="13"/>
                <w:b w:val="1"/>
                <w:bCs w:val="1"/>
                <w:color w:val="FFFFFF"/>
              </w:rPr>
              <w:t>CAP to</w:t>
            </w:r>
          </w:p>
        </w:tc>
        <w:tc>
          <w:tcPr>
            <w:tcW w:w="140" w:type="dxa"/>
            <w:vAlign w:val="bottom"/>
            <w:shd w:val="clear" w:color="auto" w:fill="000000"/>
          </w:tcPr>
          <w:p>
            <w:pPr>
              <w:spacing w:after="0"/>
              <w:rPr>
                <w:sz w:val="11"/>
                <w:szCs w:val="11"/>
                <w:color w:val="auto"/>
              </w:rPr>
            </w:pPr>
          </w:p>
        </w:tc>
        <w:tc>
          <w:tcPr>
            <w:tcW w:w="960" w:type="dxa"/>
            <w:vAlign w:val="bottom"/>
            <w:vMerge w:val="continue"/>
            <w:shd w:val="clear" w:color="auto" w:fill="000000"/>
          </w:tcPr>
          <w:p>
            <w:pPr>
              <w:spacing w:after="0"/>
              <w:rPr>
                <w:sz w:val="11"/>
                <w:szCs w:val="11"/>
                <w:color w:val="auto"/>
              </w:rPr>
            </w:pPr>
          </w:p>
        </w:tc>
        <w:tc>
          <w:tcPr>
            <w:tcW w:w="1020" w:type="dxa"/>
            <w:vAlign w:val="bottom"/>
            <w:shd w:val="clear" w:color="auto" w:fill="000000"/>
          </w:tcPr>
          <w:p>
            <w:pPr>
              <w:jc w:val="right"/>
              <w:ind w:right="94"/>
              <w:spacing w:after="0" w:line="135" w:lineRule="exact"/>
              <w:rPr>
                <w:sz w:val="20"/>
                <w:szCs w:val="20"/>
                <w:color w:val="auto"/>
              </w:rPr>
            </w:pPr>
            <w:r>
              <w:rPr>
                <w:rFonts w:ascii="Arial" w:cs="Arial" w:eastAsia="Arial" w:hAnsi="Arial"/>
                <w:sz w:val="13"/>
                <w:szCs w:val="13"/>
                <w:b w:val="1"/>
                <w:bCs w:val="1"/>
                <w:color w:val="FFFFFF"/>
              </w:rPr>
              <w:t>Income</w:t>
            </w:r>
          </w:p>
        </w:tc>
        <w:tc>
          <w:tcPr>
            <w:tcW w:w="0" w:type="dxa"/>
            <w:vAlign w:val="bottom"/>
          </w:tcPr>
          <w:p>
            <w:pPr>
              <w:spacing w:after="0"/>
              <w:rPr>
                <w:sz w:val="1"/>
                <w:szCs w:val="1"/>
                <w:color w:val="auto"/>
              </w:rPr>
            </w:pPr>
          </w:p>
        </w:tc>
      </w:tr>
      <w:tr>
        <w:trPr>
          <w:trHeight w:val="143"/>
        </w:trPr>
        <w:tc>
          <w:tcPr>
            <w:tcW w:w="640" w:type="dxa"/>
            <w:vAlign w:val="bottom"/>
            <w:shd w:val="clear" w:color="auto" w:fill="000000"/>
          </w:tcPr>
          <w:p>
            <w:pPr>
              <w:spacing w:after="0"/>
              <w:rPr>
                <w:sz w:val="12"/>
                <w:szCs w:val="12"/>
                <w:color w:val="auto"/>
              </w:rPr>
            </w:pPr>
          </w:p>
        </w:tc>
        <w:tc>
          <w:tcPr>
            <w:tcW w:w="1140" w:type="dxa"/>
            <w:vAlign w:val="bottom"/>
            <w:shd w:val="clear" w:color="auto" w:fill="000000"/>
          </w:tcPr>
          <w:p>
            <w:pPr>
              <w:jc w:val="right"/>
              <w:ind w:right="94"/>
              <w:spacing w:after="0" w:line="143" w:lineRule="exact"/>
              <w:rPr>
                <w:sz w:val="20"/>
                <w:szCs w:val="20"/>
                <w:color w:val="auto"/>
              </w:rPr>
            </w:pPr>
            <w:r>
              <w:rPr>
                <w:rFonts w:ascii="Arial" w:cs="Arial" w:eastAsia="Arial" w:hAnsi="Arial"/>
                <w:sz w:val="13"/>
                <w:szCs w:val="13"/>
                <w:b w:val="1"/>
                <w:bCs w:val="1"/>
                <w:color w:val="FFFFFF"/>
              </w:rPr>
              <w:t>Total for</w:t>
            </w:r>
          </w:p>
        </w:tc>
        <w:tc>
          <w:tcPr>
            <w:tcW w:w="1120" w:type="dxa"/>
            <w:vAlign w:val="bottom"/>
            <w:shd w:val="clear" w:color="auto" w:fill="000000"/>
          </w:tcPr>
          <w:p>
            <w:pPr>
              <w:jc w:val="right"/>
              <w:ind w:right="94"/>
              <w:spacing w:after="0" w:line="143" w:lineRule="exact"/>
              <w:rPr>
                <w:sz w:val="20"/>
                <w:szCs w:val="20"/>
                <w:color w:val="auto"/>
              </w:rPr>
            </w:pPr>
            <w:r>
              <w:rPr>
                <w:rFonts w:ascii="Arial" w:cs="Arial" w:eastAsia="Arial" w:hAnsi="Arial"/>
                <w:sz w:val="13"/>
                <w:szCs w:val="13"/>
                <w:b w:val="1"/>
                <w:bCs w:val="1"/>
                <w:color w:val="FFFFFF"/>
              </w:rPr>
              <w:t>Total for</w:t>
            </w:r>
          </w:p>
        </w:tc>
        <w:tc>
          <w:tcPr>
            <w:tcW w:w="1140" w:type="dxa"/>
            <w:vAlign w:val="bottom"/>
            <w:vMerge w:val="continue"/>
            <w:shd w:val="clear" w:color="auto" w:fill="000000"/>
          </w:tcPr>
          <w:p>
            <w:pPr>
              <w:spacing w:after="0"/>
              <w:rPr>
                <w:sz w:val="12"/>
                <w:szCs w:val="12"/>
                <w:color w:val="auto"/>
              </w:rPr>
            </w:pPr>
          </w:p>
        </w:tc>
        <w:tc>
          <w:tcPr>
            <w:tcW w:w="1000" w:type="dxa"/>
            <w:vAlign w:val="bottom"/>
            <w:vMerge w:val="continue"/>
            <w:shd w:val="clear" w:color="auto" w:fill="000000"/>
          </w:tcPr>
          <w:p>
            <w:pPr>
              <w:spacing w:after="0"/>
              <w:rPr>
                <w:sz w:val="12"/>
                <w:szCs w:val="12"/>
                <w:color w:val="auto"/>
              </w:rPr>
            </w:pPr>
          </w:p>
        </w:tc>
        <w:tc>
          <w:tcPr>
            <w:tcW w:w="1140" w:type="dxa"/>
            <w:vAlign w:val="bottom"/>
            <w:shd w:val="clear" w:color="auto" w:fill="000000"/>
          </w:tcPr>
          <w:p>
            <w:pPr>
              <w:jc w:val="right"/>
              <w:ind w:right="115"/>
              <w:spacing w:after="0" w:line="143" w:lineRule="exact"/>
              <w:rPr>
                <w:sz w:val="20"/>
                <w:szCs w:val="20"/>
                <w:color w:val="auto"/>
              </w:rPr>
            </w:pPr>
            <w:r>
              <w:rPr>
                <w:rFonts w:ascii="Arial" w:cs="Arial" w:eastAsia="Arial" w:hAnsi="Arial"/>
                <w:sz w:val="13"/>
                <w:szCs w:val="13"/>
                <w:b w:val="1"/>
                <w:bCs w:val="1"/>
                <w:color w:val="FFFFFF"/>
              </w:rPr>
              <w:t>Non-PEO</w:t>
            </w:r>
          </w:p>
        </w:tc>
        <w:tc>
          <w:tcPr>
            <w:tcW w:w="1100" w:type="dxa"/>
            <w:vAlign w:val="bottom"/>
            <w:shd w:val="clear" w:color="auto" w:fill="000000"/>
          </w:tcPr>
          <w:p>
            <w:pPr>
              <w:jc w:val="right"/>
              <w:ind w:right="94"/>
              <w:spacing w:after="0" w:line="143" w:lineRule="exact"/>
              <w:rPr>
                <w:sz w:val="20"/>
                <w:szCs w:val="20"/>
                <w:color w:val="auto"/>
              </w:rPr>
            </w:pPr>
            <w:r>
              <w:rPr>
                <w:rFonts w:ascii="Arial" w:cs="Arial" w:eastAsia="Arial" w:hAnsi="Arial"/>
                <w:sz w:val="13"/>
                <w:szCs w:val="13"/>
                <w:b w:val="1"/>
                <w:bCs w:val="1"/>
                <w:color w:val="FFFFFF"/>
              </w:rPr>
              <w:t>Non-PEO</w:t>
            </w:r>
          </w:p>
        </w:tc>
        <w:tc>
          <w:tcPr>
            <w:tcW w:w="140" w:type="dxa"/>
            <w:vAlign w:val="bottom"/>
            <w:shd w:val="clear" w:color="auto" w:fill="000000"/>
          </w:tcPr>
          <w:p>
            <w:pPr>
              <w:spacing w:after="0"/>
              <w:rPr>
                <w:sz w:val="12"/>
                <w:szCs w:val="12"/>
                <w:color w:val="auto"/>
              </w:rPr>
            </w:pPr>
          </w:p>
        </w:tc>
        <w:tc>
          <w:tcPr>
            <w:tcW w:w="960" w:type="dxa"/>
            <w:vAlign w:val="bottom"/>
            <w:shd w:val="clear" w:color="auto" w:fill="000000"/>
          </w:tcPr>
          <w:p>
            <w:pPr>
              <w:jc w:val="right"/>
              <w:ind w:right="138"/>
              <w:spacing w:after="0" w:line="143" w:lineRule="exact"/>
              <w:rPr>
                <w:sz w:val="20"/>
                <w:szCs w:val="20"/>
                <w:color w:val="auto"/>
              </w:rPr>
            </w:pPr>
            <w:r>
              <w:rPr>
                <w:rFonts w:ascii="Arial" w:cs="Arial" w:eastAsia="Arial" w:hAnsi="Arial"/>
                <w:sz w:val="13"/>
                <w:szCs w:val="13"/>
                <w:b w:val="1"/>
                <w:bCs w:val="1"/>
                <w:color w:val="FFFFFF"/>
                <w:w w:val="97"/>
              </w:rPr>
              <w:t>Shareholder</w:t>
            </w:r>
          </w:p>
        </w:tc>
        <w:tc>
          <w:tcPr>
            <w:tcW w:w="1020" w:type="dxa"/>
            <w:vAlign w:val="bottom"/>
            <w:shd w:val="clear" w:color="auto" w:fill="000000"/>
          </w:tcPr>
          <w:p>
            <w:pPr>
              <w:jc w:val="right"/>
              <w:ind w:right="94"/>
              <w:spacing w:after="0" w:line="143" w:lineRule="exact"/>
              <w:rPr>
                <w:sz w:val="20"/>
                <w:szCs w:val="20"/>
                <w:color w:val="auto"/>
              </w:rPr>
            </w:pPr>
            <w:r>
              <w:rPr>
                <w:rFonts w:ascii="Arial" w:cs="Arial" w:eastAsia="Arial" w:hAnsi="Arial"/>
                <w:sz w:val="13"/>
                <w:szCs w:val="13"/>
                <w:b w:val="1"/>
                <w:bCs w:val="1"/>
                <w:color w:val="FFFFFF"/>
              </w:rPr>
              <w:t>(Loss)</w:t>
            </w:r>
          </w:p>
        </w:tc>
        <w:tc>
          <w:tcPr>
            <w:tcW w:w="0" w:type="dxa"/>
            <w:vAlign w:val="bottom"/>
          </w:tcPr>
          <w:p>
            <w:pPr>
              <w:spacing w:after="0"/>
              <w:rPr>
                <w:sz w:val="1"/>
                <w:szCs w:val="1"/>
                <w:color w:val="auto"/>
              </w:rPr>
            </w:pPr>
          </w:p>
        </w:tc>
      </w:tr>
      <w:tr>
        <w:trPr>
          <w:trHeight w:val="168"/>
        </w:trPr>
        <w:tc>
          <w:tcPr>
            <w:tcW w:w="640" w:type="dxa"/>
            <w:vAlign w:val="bottom"/>
            <w:vMerge w:val="restart"/>
            <w:shd w:val="clear" w:color="auto" w:fill="000000"/>
          </w:tcPr>
          <w:p>
            <w:pPr>
              <w:ind w:left="180"/>
              <w:spacing w:after="0"/>
              <w:rPr>
                <w:sz w:val="20"/>
                <w:szCs w:val="20"/>
                <w:color w:val="auto"/>
              </w:rPr>
            </w:pPr>
            <w:r>
              <w:rPr>
                <w:rFonts w:ascii="Arial" w:cs="Arial" w:eastAsia="Arial" w:hAnsi="Arial"/>
                <w:sz w:val="13"/>
                <w:szCs w:val="13"/>
                <w:b w:val="1"/>
                <w:bCs w:val="1"/>
                <w:color w:val="FFFFFF"/>
              </w:rPr>
              <w:t>Year</w:t>
            </w:r>
          </w:p>
        </w:tc>
        <w:tc>
          <w:tcPr>
            <w:tcW w:w="1140" w:type="dxa"/>
            <w:vAlign w:val="bottom"/>
            <w:shd w:val="clear" w:color="auto" w:fill="000000"/>
          </w:tcPr>
          <w:p>
            <w:pPr>
              <w:jc w:val="right"/>
              <w:ind w:right="94"/>
              <w:spacing w:after="0" w:line="168" w:lineRule="exact"/>
              <w:rPr>
                <w:sz w:val="20"/>
                <w:szCs w:val="20"/>
                <w:color w:val="auto"/>
              </w:rPr>
            </w:pPr>
            <w:r>
              <w:rPr>
                <w:rFonts w:ascii="Arial" w:cs="Arial" w:eastAsia="Arial" w:hAnsi="Arial"/>
                <w:sz w:val="12"/>
                <w:szCs w:val="12"/>
                <w:b w:val="1"/>
                <w:bCs w:val="1"/>
                <w:color w:val="FFFFFF"/>
              </w:rPr>
              <w:t>Mr. Francis</w:t>
            </w:r>
            <w:r>
              <w:rPr>
                <w:rFonts w:ascii="Arial" w:cs="Arial" w:eastAsia="Arial" w:hAnsi="Arial"/>
                <w:sz w:val="19"/>
                <w:szCs w:val="19"/>
                <w:b w:val="1"/>
                <w:bCs w:val="1"/>
                <w:color w:val="FFFFFF"/>
                <w:vertAlign w:val="superscript"/>
              </w:rPr>
              <w:t>(1)</w:t>
            </w:r>
          </w:p>
        </w:tc>
        <w:tc>
          <w:tcPr>
            <w:tcW w:w="1120" w:type="dxa"/>
            <w:vAlign w:val="bottom"/>
            <w:shd w:val="clear" w:color="auto" w:fill="000000"/>
          </w:tcPr>
          <w:p>
            <w:pPr>
              <w:jc w:val="right"/>
              <w:ind w:right="94"/>
              <w:spacing w:after="0" w:line="168" w:lineRule="exact"/>
              <w:rPr>
                <w:sz w:val="20"/>
                <w:szCs w:val="20"/>
                <w:color w:val="auto"/>
              </w:rPr>
            </w:pPr>
            <w:r>
              <w:rPr>
                <w:rFonts w:ascii="Arial" w:cs="Arial" w:eastAsia="Arial" w:hAnsi="Arial"/>
                <w:sz w:val="12"/>
                <w:szCs w:val="12"/>
                <w:b w:val="1"/>
                <w:bCs w:val="1"/>
                <w:color w:val="FFFFFF"/>
              </w:rPr>
              <w:t>Mr. Beals</w:t>
            </w:r>
            <w:r>
              <w:rPr>
                <w:rFonts w:ascii="Arial" w:cs="Arial" w:eastAsia="Arial" w:hAnsi="Arial"/>
                <w:sz w:val="19"/>
                <w:szCs w:val="19"/>
                <w:b w:val="1"/>
                <w:bCs w:val="1"/>
                <w:color w:val="FFFFFF"/>
                <w:vertAlign w:val="superscript"/>
              </w:rPr>
              <w:t>(1)</w:t>
            </w:r>
          </w:p>
        </w:tc>
        <w:tc>
          <w:tcPr>
            <w:tcW w:w="1140" w:type="dxa"/>
            <w:vAlign w:val="bottom"/>
            <w:shd w:val="clear" w:color="auto" w:fill="000000"/>
          </w:tcPr>
          <w:p>
            <w:pPr>
              <w:jc w:val="right"/>
              <w:ind w:right="113"/>
              <w:spacing w:after="0" w:line="168" w:lineRule="exact"/>
              <w:rPr>
                <w:sz w:val="20"/>
                <w:szCs w:val="20"/>
                <w:color w:val="auto"/>
              </w:rPr>
            </w:pPr>
            <w:r>
              <w:rPr>
                <w:rFonts w:ascii="Arial" w:cs="Arial" w:eastAsia="Arial" w:hAnsi="Arial"/>
                <w:sz w:val="12"/>
                <w:szCs w:val="12"/>
                <w:b w:val="1"/>
                <w:bCs w:val="1"/>
                <w:color w:val="FFFFFF"/>
              </w:rPr>
              <w:t>Mr. Francis</w:t>
            </w:r>
            <w:r>
              <w:rPr>
                <w:rFonts w:ascii="Arial" w:cs="Arial" w:eastAsia="Arial" w:hAnsi="Arial"/>
                <w:sz w:val="19"/>
                <w:szCs w:val="19"/>
                <w:b w:val="1"/>
                <w:bCs w:val="1"/>
                <w:color w:val="FFFFFF"/>
                <w:vertAlign w:val="superscript"/>
              </w:rPr>
              <w:t>(2)</w:t>
            </w:r>
          </w:p>
        </w:tc>
        <w:tc>
          <w:tcPr>
            <w:tcW w:w="1000" w:type="dxa"/>
            <w:vAlign w:val="bottom"/>
            <w:shd w:val="clear" w:color="auto" w:fill="000000"/>
          </w:tcPr>
          <w:p>
            <w:pPr>
              <w:jc w:val="right"/>
              <w:ind w:right="113"/>
              <w:spacing w:after="0" w:line="168" w:lineRule="exact"/>
              <w:rPr>
                <w:sz w:val="20"/>
                <w:szCs w:val="20"/>
                <w:color w:val="auto"/>
              </w:rPr>
            </w:pPr>
            <w:r>
              <w:rPr>
                <w:rFonts w:ascii="Arial" w:cs="Arial" w:eastAsia="Arial" w:hAnsi="Arial"/>
                <w:sz w:val="12"/>
                <w:szCs w:val="12"/>
                <w:b w:val="1"/>
                <w:bCs w:val="1"/>
                <w:color w:val="FFFFFF"/>
              </w:rPr>
              <w:t>Mr. Beals</w:t>
            </w:r>
            <w:r>
              <w:rPr>
                <w:rFonts w:ascii="Arial" w:cs="Arial" w:eastAsia="Arial" w:hAnsi="Arial"/>
                <w:sz w:val="19"/>
                <w:szCs w:val="19"/>
                <w:b w:val="1"/>
                <w:bCs w:val="1"/>
                <w:color w:val="FFFFFF"/>
                <w:vertAlign w:val="superscript"/>
              </w:rPr>
              <w:t>(2)</w:t>
            </w:r>
          </w:p>
        </w:tc>
        <w:tc>
          <w:tcPr>
            <w:tcW w:w="1140" w:type="dxa"/>
            <w:vAlign w:val="bottom"/>
            <w:shd w:val="clear" w:color="auto" w:fill="000000"/>
          </w:tcPr>
          <w:p>
            <w:pPr>
              <w:jc w:val="right"/>
              <w:ind w:right="115"/>
              <w:spacing w:after="0" w:line="168" w:lineRule="exact"/>
              <w:rPr>
                <w:sz w:val="20"/>
                <w:szCs w:val="20"/>
                <w:color w:val="auto"/>
              </w:rPr>
            </w:pPr>
            <w:r>
              <w:rPr>
                <w:rFonts w:ascii="Arial" w:cs="Arial" w:eastAsia="Arial" w:hAnsi="Arial"/>
                <w:sz w:val="12"/>
                <w:szCs w:val="12"/>
                <w:b w:val="1"/>
                <w:bCs w:val="1"/>
                <w:color w:val="FFFFFF"/>
              </w:rPr>
              <w:t>NEOs</w:t>
            </w:r>
            <w:r>
              <w:rPr>
                <w:rFonts w:ascii="Arial" w:cs="Arial" w:eastAsia="Arial" w:hAnsi="Arial"/>
                <w:sz w:val="19"/>
                <w:szCs w:val="19"/>
                <w:b w:val="1"/>
                <w:bCs w:val="1"/>
                <w:color w:val="FFFFFF"/>
                <w:vertAlign w:val="superscript"/>
              </w:rPr>
              <w:t>(3)</w:t>
            </w:r>
          </w:p>
        </w:tc>
        <w:tc>
          <w:tcPr>
            <w:tcW w:w="1100" w:type="dxa"/>
            <w:vAlign w:val="bottom"/>
            <w:shd w:val="clear" w:color="auto" w:fill="000000"/>
          </w:tcPr>
          <w:p>
            <w:pPr>
              <w:jc w:val="right"/>
              <w:ind w:right="94"/>
              <w:spacing w:after="0" w:line="168" w:lineRule="exact"/>
              <w:rPr>
                <w:sz w:val="20"/>
                <w:szCs w:val="20"/>
                <w:color w:val="auto"/>
              </w:rPr>
            </w:pPr>
            <w:r>
              <w:rPr>
                <w:rFonts w:ascii="Arial" w:cs="Arial" w:eastAsia="Arial" w:hAnsi="Arial"/>
                <w:sz w:val="12"/>
                <w:szCs w:val="12"/>
                <w:b w:val="1"/>
                <w:bCs w:val="1"/>
                <w:color w:val="FFFFFF"/>
              </w:rPr>
              <w:t>NEOs</w:t>
            </w:r>
            <w:r>
              <w:rPr>
                <w:rFonts w:ascii="Arial" w:cs="Arial" w:eastAsia="Arial" w:hAnsi="Arial"/>
                <w:sz w:val="19"/>
                <w:szCs w:val="19"/>
                <w:b w:val="1"/>
                <w:bCs w:val="1"/>
                <w:color w:val="FFFFFF"/>
                <w:vertAlign w:val="superscript"/>
              </w:rPr>
              <w:t>(4)</w:t>
            </w:r>
          </w:p>
        </w:tc>
        <w:tc>
          <w:tcPr>
            <w:tcW w:w="140" w:type="dxa"/>
            <w:vAlign w:val="bottom"/>
            <w:shd w:val="clear" w:color="auto" w:fill="000000"/>
          </w:tcPr>
          <w:p>
            <w:pPr>
              <w:spacing w:after="0"/>
              <w:rPr>
                <w:sz w:val="14"/>
                <w:szCs w:val="14"/>
                <w:color w:val="auto"/>
              </w:rPr>
            </w:pPr>
          </w:p>
        </w:tc>
        <w:tc>
          <w:tcPr>
            <w:tcW w:w="960" w:type="dxa"/>
            <w:vAlign w:val="bottom"/>
            <w:shd w:val="clear" w:color="auto" w:fill="000000"/>
          </w:tcPr>
          <w:p>
            <w:pPr>
              <w:jc w:val="right"/>
              <w:ind w:right="158"/>
              <w:spacing w:after="0" w:line="168" w:lineRule="exact"/>
              <w:rPr>
                <w:sz w:val="20"/>
                <w:szCs w:val="20"/>
                <w:color w:val="auto"/>
              </w:rPr>
            </w:pPr>
            <w:r>
              <w:rPr>
                <w:rFonts w:ascii="Arial" w:cs="Arial" w:eastAsia="Arial" w:hAnsi="Arial"/>
                <w:sz w:val="12"/>
                <w:szCs w:val="12"/>
                <w:b w:val="1"/>
                <w:bCs w:val="1"/>
                <w:color w:val="FFFFFF"/>
              </w:rPr>
              <w:t>Return</w:t>
            </w:r>
            <w:r>
              <w:rPr>
                <w:rFonts w:ascii="Arial" w:cs="Arial" w:eastAsia="Arial" w:hAnsi="Arial"/>
                <w:sz w:val="19"/>
                <w:szCs w:val="19"/>
                <w:b w:val="1"/>
                <w:bCs w:val="1"/>
                <w:color w:val="FFFFFF"/>
                <w:vertAlign w:val="superscript"/>
              </w:rPr>
              <w:t>(5)</w:t>
            </w:r>
          </w:p>
        </w:tc>
        <w:tc>
          <w:tcPr>
            <w:tcW w:w="1020" w:type="dxa"/>
            <w:vAlign w:val="bottom"/>
            <w:shd w:val="clear" w:color="auto" w:fill="000000"/>
          </w:tcPr>
          <w:p>
            <w:pPr>
              <w:jc w:val="right"/>
              <w:ind w:right="94"/>
              <w:spacing w:after="0" w:line="168" w:lineRule="exact"/>
              <w:rPr>
                <w:sz w:val="20"/>
                <w:szCs w:val="20"/>
                <w:color w:val="auto"/>
              </w:rPr>
            </w:pPr>
            <w:r>
              <w:rPr>
                <w:rFonts w:ascii="Arial" w:cs="Arial" w:eastAsia="Arial" w:hAnsi="Arial"/>
                <w:sz w:val="12"/>
                <w:szCs w:val="12"/>
                <w:b w:val="1"/>
                <w:bCs w:val="1"/>
                <w:color w:val="FFFFFF"/>
              </w:rPr>
              <w:t>(millions)</w:t>
            </w:r>
            <w:r>
              <w:rPr>
                <w:rFonts w:ascii="Arial" w:cs="Arial" w:eastAsia="Arial" w:hAnsi="Arial"/>
                <w:sz w:val="19"/>
                <w:szCs w:val="19"/>
                <w:b w:val="1"/>
                <w:bCs w:val="1"/>
                <w:color w:val="FFFFFF"/>
                <w:vertAlign w:val="superscript"/>
              </w:rPr>
              <w:t>(6)</w:t>
            </w:r>
          </w:p>
        </w:tc>
        <w:tc>
          <w:tcPr>
            <w:tcW w:w="0" w:type="dxa"/>
            <w:vAlign w:val="bottom"/>
          </w:tcPr>
          <w:p>
            <w:pPr>
              <w:spacing w:after="0"/>
              <w:rPr>
                <w:sz w:val="1"/>
                <w:szCs w:val="1"/>
                <w:color w:val="auto"/>
              </w:rPr>
            </w:pPr>
          </w:p>
        </w:tc>
      </w:tr>
      <w:tr>
        <w:trPr>
          <w:trHeight w:val="172"/>
        </w:trPr>
        <w:tc>
          <w:tcPr>
            <w:tcW w:w="640" w:type="dxa"/>
            <w:vAlign w:val="bottom"/>
            <w:vMerge w:val="continue"/>
            <w:shd w:val="clear" w:color="auto" w:fill="000000"/>
          </w:tcPr>
          <w:p>
            <w:pPr>
              <w:spacing w:after="0"/>
              <w:rPr>
                <w:sz w:val="14"/>
                <w:szCs w:val="14"/>
                <w:color w:val="auto"/>
              </w:rPr>
            </w:pPr>
          </w:p>
        </w:tc>
        <w:tc>
          <w:tcPr>
            <w:tcW w:w="1140" w:type="dxa"/>
            <w:vAlign w:val="bottom"/>
            <w:shd w:val="clear" w:color="auto" w:fill="000000"/>
          </w:tcPr>
          <w:p>
            <w:pPr>
              <w:jc w:val="right"/>
              <w:ind w:right="54"/>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000000"/>
          </w:tcPr>
          <w:p>
            <w:pPr>
              <w:jc w:val="right"/>
              <w:ind w:right="54"/>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000000"/>
          </w:tcPr>
          <w:p>
            <w:pPr>
              <w:jc w:val="right"/>
              <w:ind w:right="53"/>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000000"/>
          </w:tcPr>
          <w:p>
            <w:pPr>
              <w:jc w:val="right"/>
              <w:ind w:right="53"/>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000000"/>
          </w:tcPr>
          <w:p>
            <w:pPr>
              <w:jc w:val="right"/>
              <w:ind w:right="75"/>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000000"/>
          </w:tcPr>
          <w:p>
            <w:pPr>
              <w:jc w:val="right"/>
              <w:ind w:right="74"/>
              <w:spacing w:after="0"/>
              <w:rPr>
                <w:sz w:val="20"/>
                <w:szCs w:val="20"/>
                <w:color w:val="auto"/>
              </w:rPr>
            </w:pPr>
            <w:r>
              <w:rPr>
                <w:rFonts w:ascii="Arial" w:cs="Arial" w:eastAsia="Arial" w:hAnsi="Arial"/>
                <w:sz w:val="13"/>
                <w:szCs w:val="13"/>
                <w:b w:val="1"/>
                <w:bCs w:val="1"/>
                <w:color w:val="FFFFFF"/>
              </w:rPr>
              <w:t>($)</w:t>
            </w:r>
          </w:p>
        </w:tc>
        <w:tc>
          <w:tcPr>
            <w:tcW w:w="1100" w:type="dxa"/>
            <w:vAlign w:val="bottom"/>
            <w:gridSpan w:val="2"/>
            <w:shd w:val="clear" w:color="auto" w:fill="000000"/>
          </w:tcPr>
          <w:p>
            <w:pPr>
              <w:jc w:val="right"/>
              <w:ind w:right="138"/>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000000"/>
          </w:tcPr>
          <w:p>
            <w:pPr>
              <w:jc w:val="right"/>
              <w:ind w:right="54"/>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03"/>
        </w:trPr>
        <w:tc>
          <w:tcPr>
            <w:tcW w:w="640" w:type="dxa"/>
            <w:vAlign w:val="bottom"/>
            <w:shd w:val="clear" w:color="auto" w:fill="000000"/>
          </w:tcPr>
          <w:p>
            <w:pPr>
              <w:spacing w:after="0"/>
              <w:rPr>
                <w:sz w:val="8"/>
                <w:szCs w:val="8"/>
                <w:color w:val="auto"/>
              </w:rPr>
            </w:pPr>
          </w:p>
        </w:tc>
        <w:tc>
          <w:tcPr>
            <w:tcW w:w="1140" w:type="dxa"/>
            <w:vAlign w:val="bottom"/>
            <w:shd w:val="clear" w:color="auto" w:fill="000000"/>
          </w:tcPr>
          <w:p>
            <w:pPr>
              <w:spacing w:after="0"/>
              <w:rPr>
                <w:sz w:val="8"/>
                <w:szCs w:val="8"/>
                <w:color w:val="auto"/>
              </w:rPr>
            </w:pPr>
          </w:p>
        </w:tc>
        <w:tc>
          <w:tcPr>
            <w:tcW w:w="1120" w:type="dxa"/>
            <w:vAlign w:val="bottom"/>
            <w:shd w:val="clear" w:color="auto" w:fill="000000"/>
          </w:tcPr>
          <w:p>
            <w:pPr>
              <w:spacing w:after="0"/>
              <w:rPr>
                <w:sz w:val="8"/>
                <w:szCs w:val="8"/>
                <w:color w:val="auto"/>
              </w:rPr>
            </w:pPr>
          </w:p>
        </w:tc>
        <w:tc>
          <w:tcPr>
            <w:tcW w:w="1140" w:type="dxa"/>
            <w:vAlign w:val="bottom"/>
            <w:shd w:val="clear" w:color="auto" w:fill="000000"/>
          </w:tcPr>
          <w:p>
            <w:pPr>
              <w:spacing w:after="0"/>
              <w:rPr>
                <w:sz w:val="8"/>
                <w:szCs w:val="8"/>
                <w:color w:val="auto"/>
              </w:rPr>
            </w:pPr>
          </w:p>
        </w:tc>
        <w:tc>
          <w:tcPr>
            <w:tcW w:w="1000" w:type="dxa"/>
            <w:vAlign w:val="bottom"/>
            <w:shd w:val="clear" w:color="auto" w:fill="000000"/>
          </w:tcPr>
          <w:p>
            <w:pPr>
              <w:spacing w:after="0"/>
              <w:rPr>
                <w:sz w:val="8"/>
                <w:szCs w:val="8"/>
                <w:color w:val="auto"/>
              </w:rPr>
            </w:pPr>
          </w:p>
        </w:tc>
        <w:tc>
          <w:tcPr>
            <w:tcW w:w="1140" w:type="dxa"/>
            <w:vAlign w:val="bottom"/>
            <w:shd w:val="clear" w:color="auto" w:fill="000000"/>
          </w:tcPr>
          <w:p>
            <w:pPr>
              <w:spacing w:after="0"/>
              <w:rPr>
                <w:sz w:val="8"/>
                <w:szCs w:val="8"/>
                <w:color w:val="auto"/>
              </w:rPr>
            </w:pPr>
          </w:p>
        </w:tc>
        <w:tc>
          <w:tcPr>
            <w:tcW w:w="1100" w:type="dxa"/>
            <w:vAlign w:val="bottom"/>
            <w:shd w:val="clear" w:color="auto" w:fill="000000"/>
          </w:tcPr>
          <w:p>
            <w:pPr>
              <w:spacing w:after="0"/>
              <w:rPr>
                <w:sz w:val="8"/>
                <w:szCs w:val="8"/>
                <w:color w:val="auto"/>
              </w:rPr>
            </w:pPr>
          </w:p>
        </w:tc>
        <w:tc>
          <w:tcPr>
            <w:tcW w:w="1100" w:type="dxa"/>
            <w:vAlign w:val="bottom"/>
            <w:gridSpan w:val="2"/>
            <w:shd w:val="clear" w:color="auto" w:fill="000000"/>
          </w:tcPr>
          <w:p>
            <w:pPr>
              <w:spacing w:after="0"/>
              <w:rPr>
                <w:sz w:val="8"/>
                <w:szCs w:val="8"/>
                <w:color w:val="auto"/>
              </w:rPr>
            </w:pPr>
          </w:p>
        </w:tc>
        <w:tc>
          <w:tcPr>
            <w:tcW w:w="10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640" w:type="dxa"/>
            <w:vAlign w:val="bottom"/>
            <w:tcBorders>
              <w:bottom w:val="single" w:sz="8" w:color="999999"/>
            </w:tcBorders>
          </w:tcPr>
          <w:p>
            <w:pPr>
              <w:ind w:left="180"/>
              <w:spacing w:after="0"/>
              <w:rPr>
                <w:sz w:val="20"/>
                <w:szCs w:val="20"/>
                <w:color w:val="auto"/>
              </w:rPr>
            </w:pPr>
            <w:r>
              <w:rPr>
                <w:rFonts w:ascii="Arial" w:cs="Arial" w:eastAsia="Arial" w:hAnsi="Arial"/>
                <w:sz w:val="14"/>
                <w:szCs w:val="14"/>
                <w:b w:val="1"/>
                <w:bCs w:val="1"/>
                <w:color w:val="40C0C0"/>
              </w:rPr>
              <w:t>2024</w:t>
            </w:r>
          </w:p>
        </w:tc>
        <w:tc>
          <w:tcPr>
            <w:tcW w:w="1140" w:type="dxa"/>
            <w:vAlign w:val="bottom"/>
            <w:tcBorders>
              <w:bottom w:val="single" w:sz="8" w:color="999999"/>
            </w:tcBorders>
          </w:tcPr>
          <w:p>
            <w:pPr>
              <w:jc w:val="right"/>
              <w:ind w:right="134"/>
              <w:spacing w:after="0"/>
              <w:rPr>
                <w:sz w:val="20"/>
                <w:szCs w:val="20"/>
                <w:color w:val="auto"/>
              </w:rPr>
            </w:pPr>
            <w:r>
              <w:rPr>
                <w:rFonts w:ascii="Arial" w:cs="Arial" w:eastAsia="Arial" w:hAnsi="Arial"/>
                <w:sz w:val="14"/>
                <w:szCs w:val="14"/>
                <w:color w:val="auto"/>
              </w:rPr>
              <w:t>7,509,027</w:t>
            </w:r>
          </w:p>
        </w:tc>
        <w:tc>
          <w:tcPr>
            <w:tcW w:w="1120" w:type="dxa"/>
            <w:vAlign w:val="bottom"/>
            <w:tcBorders>
              <w:bottom w:val="single" w:sz="8" w:color="999999"/>
            </w:tcBorders>
          </w:tcPr>
          <w:p>
            <w:pPr>
              <w:jc w:val="right"/>
              <w:ind w:right="174"/>
              <w:spacing w:after="0"/>
              <w:rPr>
                <w:sz w:val="20"/>
                <w:szCs w:val="20"/>
                <w:color w:val="auto"/>
              </w:rPr>
            </w:pPr>
            <w:r>
              <w:rPr>
                <w:rFonts w:ascii="Arial" w:cs="Arial" w:eastAsia="Arial" w:hAnsi="Arial"/>
                <w:sz w:val="14"/>
                <w:szCs w:val="14"/>
                <w:color w:val="auto"/>
              </w:rPr>
              <w:t>N/A</w:t>
            </w:r>
          </w:p>
        </w:tc>
        <w:tc>
          <w:tcPr>
            <w:tcW w:w="1140" w:type="dxa"/>
            <w:vAlign w:val="bottom"/>
            <w:tcBorders>
              <w:bottom w:val="single" w:sz="8" w:color="999999"/>
            </w:tcBorders>
          </w:tcPr>
          <w:p>
            <w:pPr>
              <w:jc w:val="right"/>
              <w:ind w:right="93"/>
              <w:spacing w:after="0"/>
              <w:rPr>
                <w:sz w:val="20"/>
                <w:szCs w:val="20"/>
                <w:color w:val="auto"/>
              </w:rPr>
            </w:pPr>
            <w:r>
              <w:rPr>
                <w:rFonts w:ascii="Arial" w:cs="Arial" w:eastAsia="Arial" w:hAnsi="Arial"/>
                <w:sz w:val="14"/>
                <w:szCs w:val="14"/>
                <w:color w:val="auto"/>
              </w:rPr>
              <w:t>​12,875,782</w:t>
            </w:r>
            <w:r>
              <w:rPr>
                <w:rFonts w:ascii="Arial" w:cs="Arial" w:eastAsia="Arial" w:hAnsi="Arial"/>
                <w:sz w:val="23"/>
                <w:szCs w:val="23"/>
                <w:color w:val="auto"/>
                <w:vertAlign w:val="superscript"/>
              </w:rPr>
              <w:t>(7)</w:t>
            </w:r>
          </w:p>
        </w:tc>
        <w:tc>
          <w:tcPr>
            <w:tcW w:w="1000" w:type="dxa"/>
            <w:vAlign w:val="bottom"/>
            <w:tcBorders>
              <w:bottom w:val="single" w:sz="8" w:color="999999"/>
            </w:tcBorders>
          </w:tcPr>
          <w:p>
            <w:pPr>
              <w:jc w:val="right"/>
              <w:ind w:right="173"/>
              <w:spacing w:after="0"/>
              <w:rPr>
                <w:sz w:val="20"/>
                <w:szCs w:val="20"/>
                <w:color w:val="auto"/>
              </w:rPr>
            </w:pPr>
            <w:r>
              <w:rPr>
                <w:rFonts w:ascii="Arial" w:cs="Arial" w:eastAsia="Arial" w:hAnsi="Arial"/>
                <w:sz w:val="14"/>
                <w:szCs w:val="14"/>
                <w:color w:val="auto"/>
              </w:rPr>
              <w:t>N/A</w:t>
            </w:r>
          </w:p>
        </w:tc>
        <w:tc>
          <w:tcPr>
            <w:tcW w:w="1140" w:type="dxa"/>
            <w:vAlign w:val="bottom"/>
            <w:tcBorders>
              <w:bottom w:val="single" w:sz="8" w:color="999999"/>
            </w:tcBorders>
          </w:tcPr>
          <w:p>
            <w:pPr>
              <w:jc w:val="right"/>
              <w:ind w:right="155"/>
              <w:spacing w:after="0"/>
              <w:rPr>
                <w:sz w:val="20"/>
                <w:szCs w:val="20"/>
                <w:color w:val="auto"/>
              </w:rPr>
            </w:pPr>
            <w:r>
              <w:rPr>
                <w:rFonts w:ascii="Arial" w:cs="Arial" w:eastAsia="Arial" w:hAnsi="Arial"/>
                <w:sz w:val="14"/>
                <w:szCs w:val="14"/>
                <w:color w:val="auto"/>
              </w:rPr>
              <w:t>​ 599,267</w:t>
            </w:r>
          </w:p>
        </w:tc>
        <w:tc>
          <w:tcPr>
            <w:tcW w:w="1100" w:type="dxa"/>
            <w:vAlign w:val="bottom"/>
            <w:tcBorders>
              <w:bottom w:val="single" w:sz="8" w:color="999999"/>
            </w:tcBorders>
          </w:tcPr>
          <w:p>
            <w:pPr>
              <w:jc w:val="right"/>
              <w:ind w:right="94"/>
              <w:spacing w:after="0"/>
              <w:rPr>
                <w:sz w:val="20"/>
                <w:szCs w:val="20"/>
                <w:color w:val="auto"/>
              </w:rPr>
            </w:pPr>
            <w:r>
              <w:rPr>
                <w:rFonts w:ascii="Arial" w:cs="Arial" w:eastAsia="Arial" w:hAnsi="Arial"/>
                <w:sz w:val="14"/>
                <w:szCs w:val="14"/>
                <w:color w:val="auto"/>
              </w:rPr>
              <w:t>634,857</w:t>
            </w:r>
            <w:r>
              <w:rPr>
                <w:rFonts w:ascii="Arial" w:cs="Arial" w:eastAsia="Arial" w:hAnsi="Arial"/>
                <w:sz w:val="23"/>
                <w:szCs w:val="23"/>
                <w:color w:val="auto"/>
                <w:vertAlign w:val="superscript"/>
              </w:rPr>
              <w:t>(7)</w:t>
            </w:r>
          </w:p>
        </w:tc>
        <w:tc>
          <w:tcPr>
            <w:tcW w:w="1100" w:type="dxa"/>
            <w:vAlign w:val="bottom"/>
            <w:tcBorders>
              <w:bottom w:val="single" w:sz="8" w:color="999999"/>
            </w:tcBorders>
            <w:gridSpan w:val="2"/>
          </w:tcPr>
          <w:p>
            <w:pPr>
              <w:jc w:val="right"/>
              <w:ind w:right="138"/>
              <w:spacing w:after="0"/>
              <w:rPr>
                <w:sz w:val="20"/>
                <w:szCs w:val="20"/>
                <w:color w:val="auto"/>
              </w:rPr>
            </w:pPr>
            <w:r>
              <w:rPr>
                <w:rFonts w:ascii="Arial" w:cs="Arial" w:eastAsia="Arial" w:hAnsi="Arial"/>
                <w:sz w:val="14"/>
                <w:szCs w:val="14"/>
                <w:color w:val="auto"/>
              </w:rPr>
              <w:t>$23.08</w:t>
            </w:r>
          </w:p>
        </w:tc>
        <w:tc>
          <w:tcPr>
            <w:tcW w:w="1020" w:type="dxa"/>
            <w:vAlign w:val="bottom"/>
            <w:tcBorders>
              <w:bottom w:val="single" w:sz="8" w:color="999999"/>
            </w:tcBorders>
          </w:tcPr>
          <w:p>
            <w:pPr>
              <w:jc w:val="right"/>
              <w:ind w:right="134"/>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398"/>
        </w:trPr>
        <w:tc>
          <w:tcPr>
            <w:tcW w:w="640" w:type="dxa"/>
            <w:vAlign w:val="bottom"/>
            <w:tcBorders>
              <w:bottom w:val="single" w:sz="8" w:color="999999"/>
            </w:tcBorders>
          </w:tcPr>
          <w:p>
            <w:pPr>
              <w:ind w:left="180"/>
              <w:spacing w:after="0"/>
              <w:rPr>
                <w:sz w:val="20"/>
                <w:szCs w:val="20"/>
                <w:color w:val="auto"/>
              </w:rPr>
            </w:pPr>
            <w:r>
              <w:rPr>
                <w:rFonts w:ascii="Arial" w:cs="Arial" w:eastAsia="Arial" w:hAnsi="Arial"/>
                <w:sz w:val="14"/>
                <w:szCs w:val="14"/>
                <w:b w:val="1"/>
                <w:bCs w:val="1"/>
                <w:color w:val="40C0C0"/>
              </w:rPr>
              <w:t>2023</w:t>
            </w:r>
          </w:p>
        </w:tc>
        <w:tc>
          <w:tcPr>
            <w:tcW w:w="1140" w:type="dxa"/>
            <w:vAlign w:val="bottom"/>
            <w:tcBorders>
              <w:bottom w:val="single" w:sz="8" w:color="999999"/>
            </w:tcBorders>
          </w:tcPr>
          <w:p>
            <w:pPr>
              <w:jc w:val="right"/>
              <w:ind w:right="134"/>
              <w:spacing w:after="0"/>
              <w:rPr>
                <w:sz w:val="20"/>
                <w:szCs w:val="20"/>
                <w:color w:val="auto"/>
              </w:rPr>
            </w:pPr>
            <w:r>
              <w:rPr>
                <w:rFonts w:ascii="Arial" w:cs="Arial" w:eastAsia="Arial" w:hAnsi="Arial"/>
                <w:sz w:val="14"/>
                <w:szCs w:val="14"/>
                <w:color w:val="auto"/>
              </w:rPr>
              <w:t>1,162,045</w:t>
            </w:r>
          </w:p>
        </w:tc>
        <w:tc>
          <w:tcPr>
            <w:tcW w:w="1120" w:type="dxa"/>
            <w:vAlign w:val="bottom"/>
            <w:tcBorders>
              <w:bottom w:val="single" w:sz="8" w:color="999999"/>
            </w:tcBorders>
          </w:tcPr>
          <w:p>
            <w:pPr>
              <w:jc w:val="right"/>
              <w:ind w:right="174"/>
              <w:spacing w:after="0"/>
              <w:rPr>
                <w:sz w:val="20"/>
                <w:szCs w:val="20"/>
                <w:color w:val="auto"/>
              </w:rPr>
            </w:pPr>
            <w:r>
              <w:rPr>
                <w:rFonts w:ascii="Arial" w:cs="Arial" w:eastAsia="Arial" w:hAnsi="Arial"/>
                <w:sz w:val="14"/>
                <w:szCs w:val="14"/>
                <w:color w:val="auto"/>
              </w:rPr>
              <w:t>N/A</w:t>
            </w:r>
          </w:p>
        </w:tc>
        <w:tc>
          <w:tcPr>
            <w:tcW w:w="1140" w:type="dxa"/>
            <w:vAlign w:val="bottom"/>
            <w:tcBorders>
              <w:bottom w:val="single" w:sz="8" w:color="999999"/>
            </w:tcBorders>
          </w:tcPr>
          <w:p>
            <w:pPr>
              <w:jc w:val="right"/>
              <w:ind w:right="73"/>
              <w:spacing w:after="0"/>
              <w:rPr>
                <w:sz w:val="20"/>
                <w:szCs w:val="20"/>
                <w:color w:val="auto"/>
              </w:rPr>
            </w:pPr>
            <w:r>
              <w:rPr>
                <w:rFonts w:ascii="Arial" w:cs="Arial" w:eastAsia="Arial" w:hAnsi="Arial"/>
                <w:sz w:val="14"/>
                <w:szCs w:val="14"/>
                <w:color w:val="auto"/>
              </w:rPr>
              <w:t>1,153,035</w:t>
            </w:r>
            <w:r>
              <w:rPr>
                <w:rFonts w:ascii="Arial" w:cs="Arial" w:eastAsia="Arial" w:hAnsi="Arial"/>
                <w:sz w:val="23"/>
                <w:szCs w:val="23"/>
                <w:color w:val="auto"/>
                <w:vertAlign w:val="superscript"/>
              </w:rPr>
              <w:t>(7)</w:t>
            </w:r>
          </w:p>
        </w:tc>
        <w:tc>
          <w:tcPr>
            <w:tcW w:w="1000" w:type="dxa"/>
            <w:vAlign w:val="bottom"/>
            <w:tcBorders>
              <w:bottom w:val="single" w:sz="8" w:color="999999"/>
            </w:tcBorders>
          </w:tcPr>
          <w:p>
            <w:pPr>
              <w:jc w:val="right"/>
              <w:ind w:right="173"/>
              <w:spacing w:after="0"/>
              <w:rPr>
                <w:sz w:val="20"/>
                <w:szCs w:val="20"/>
                <w:color w:val="auto"/>
              </w:rPr>
            </w:pPr>
            <w:r>
              <w:rPr>
                <w:rFonts w:ascii="Arial" w:cs="Arial" w:eastAsia="Arial" w:hAnsi="Arial"/>
                <w:sz w:val="14"/>
                <w:szCs w:val="14"/>
                <w:color w:val="auto"/>
              </w:rPr>
              <w:t>N/A</w:t>
            </w:r>
          </w:p>
        </w:tc>
        <w:tc>
          <w:tcPr>
            <w:tcW w:w="1140" w:type="dxa"/>
            <w:vAlign w:val="bottom"/>
            <w:tcBorders>
              <w:bottom w:val="single" w:sz="8" w:color="999999"/>
            </w:tcBorders>
          </w:tcPr>
          <w:p>
            <w:pPr>
              <w:jc w:val="right"/>
              <w:ind w:right="155"/>
              <w:spacing w:after="0"/>
              <w:rPr>
                <w:sz w:val="20"/>
                <w:szCs w:val="20"/>
                <w:color w:val="auto"/>
              </w:rPr>
            </w:pPr>
            <w:r>
              <w:rPr>
                <w:rFonts w:ascii="Arial" w:cs="Arial" w:eastAsia="Arial" w:hAnsi="Arial"/>
                <w:sz w:val="14"/>
                <w:szCs w:val="14"/>
                <w:color w:val="auto"/>
              </w:rPr>
              <w:t>1,593,985</w:t>
            </w:r>
          </w:p>
        </w:tc>
        <w:tc>
          <w:tcPr>
            <w:tcW w:w="1100" w:type="dxa"/>
            <w:vAlign w:val="bottom"/>
            <w:tcBorders>
              <w:bottom w:val="single" w:sz="8" w:color="999999"/>
            </w:tcBorders>
          </w:tcPr>
          <w:p>
            <w:pPr>
              <w:jc w:val="right"/>
              <w:ind w:right="94"/>
              <w:spacing w:after="0"/>
              <w:rPr>
                <w:sz w:val="20"/>
                <w:szCs w:val="20"/>
                <w:color w:val="auto"/>
              </w:rPr>
            </w:pPr>
            <w:r>
              <w:rPr>
                <w:rFonts w:ascii="Arial" w:cs="Arial" w:eastAsia="Arial" w:hAnsi="Arial"/>
                <w:sz w:val="14"/>
                <w:szCs w:val="14"/>
                <w:color w:val="auto"/>
              </w:rPr>
              <w:t>1,186,043</w:t>
            </w:r>
            <w:r>
              <w:rPr>
                <w:rFonts w:ascii="Arial" w:cs="Arial" w:eastAsia="Arial" w:hAnsi="Arial"/>
                <w:sz w:val="23"/>
                <w:szCs w:val="23"/>
                <w:color w:val="auto"/>
                <w:vertAlign w:val="superscript"/>
              </w:rPr>
              <w:t>(7)</w:t>
            </w:r>
          </w:p>
        </w:tc>
        <w:tc>
          <w:tcPr>
            <w:tcW w:w="1100" w:type="dxa"/>
            <w:vAlign w:val="bottom"/>
            <w:tcBorders>
              <w:bottom w:val="single" w:sz="8" w:color="999999"/>
            </w:tcBorders>
            <w:gridSpan w:val="2"/>
          </w:tcPr>
          <w:p>
            <w:pPr>
              <w:jc w:val="right"/>
              <w:ind w:right="138"/>
              <w:spacing w:after="0"/>
              <w:rPr>
                <w:sz w:val="20"/>
                <w:szCs w:val="20"/>
                <w:color w:val="auto"/>
              </w:rPr>
            </w:pPr>
            <w:r>
              <w:rPr>
                <w:rFonts w:ascii="Arial" w:cs="Arial" w:eastAsia="Arial" w:hAnsi="Arial"/>
                <w:sz w:val="14"/>
                <w:szCs w:val="14"/>
                <w:color w:val="auto"/>
              </w:rPr>
              <w:t>$12.04</w:t>
            </w:r>
          </w:p>
        </w:tc>
        <w:tc>
          <w:tcPr>
            <w:tcW w:w="1020" w:type="dxa"/>
            <w:vAlign w:val="bottom"/>
            <w:tcBorders>
              <w:bottom w:val="single" w:sz="8" w:color="999999"/>
            </w:tcBorders>
          </w:tcPr>
          <w:p>
            <w:pPr>
              <w:jc w:val="right"/>
              <w:ind w:right="54"/>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89"/>
        </w:trPr>
        <w:tc>
          <w:tcPr>
            <w:tcW w:w="640" w:type="dxa"/>
            <w:vAlign w:val="bottom"/>
          </w:tcPr>
          <w:p>
            <w:pPr>
              <w:ind w:left="180"/>
              <w:spacing w:after="0"/>
              <w:rPr>
                <w:sz w:val="20"/>
                <w:szCs w:val="20"/>
                <w:color w:val="auto"/>
              </w:rPr>
            </w:pPr>
            <w:r>
              <w:rPr>
                <w:rFonts w:ascii="Arial" w:cs="Arial" w:eastAsia="Arial" w:hAnsi="Arial"/>
                <w:sz w:val="14"/>
                <w:szCs w:val="14"/>
                <w:b w:val="1"/>
                <w:bCs w:val="1"/>
                <w:color w:val="40C0C0"/>
              </w:rPr>
              <w:t>2022</w:t>
            </w:r>
          </w:p>
        </w:tc>
        <w:tc>
          <w:tcPr>
            <w:tcW w:w="1140" w:type="dxa"/>
            <w:vAlign w:val="bottom"/>
          </w:tcPr>
          <w:p>
            <w:pPr>
              <w:jc w:val="right"/>
              <w:ind w:right="154"/>
              <w:spacing w:after="0"/>
              <w:rPr>
                <w:sz w:val="20"/>
                <w:szCs w:val="20"/>
                <w:color w:val="auto"/>
              </w:rPr>
            </w:pPr>
            <w:r>
              <w:rPr>
                <w:rFonts w:ascii="Arial" w:cs="Arial" w:eastAsia="Arial" w:hAnsi="Arial"/>
                <w:sz w:val="14"/>
                <w:szCs w:val="14"/>
                <w:color w:val="auto"/>
              </w:rPr>
              <w:t>263,058</w:t>
            </w:r>
          </w:p>
        </w:tc>
        <w:tc>
          <w:tcPr>
            <w:tcW w:w="1120" w:type="dxa"/>
            <w:vAlign w:val="bottom"/>
          </w:tcPr>
          <w:p>
            <w:pPr>
              <w:jc w:val="right"/>
              <w:ind w:right="134"/>
              <w:spacing w:after="0"/>
              <w:rPr>
                <w:sz w:val="20"/>
                <w:szCs w:val="20"/>
                <w:color w:val="auto"/>
              </w:rPr>
            </w:pPr>
            <w:r>
              <w:rPr>
                <w:rFonts w:ascii="Arial" w:cs="Arial" w:eastAsia="Arial" w:hAnsi="Arial"/>
                <w:sz w:val="14"/>
                <w:szCs w:val="14"/>
                <w:color w:val="auto"/>
              </w:rPr>
              <w:t>2,136,675</w:t>
            </w:r>
          </w:p>
        </w:tc>
        <w:tc>
          <w:tcPr>
            <w:tcW w:w="1140" w:type="dxa"/>
            <w:vAlign w:val="bottom"/>
          </w:tcPr>
          <w:p>
            <w:pPr>
              <w:jc w:val="right"/>
              <w:ind w:right="173"/>
              <w:spacing w:after="0"/>
              <w:rPr>
                <w:sz w:val="20"/>
                <w:szCs w:val="20"/>
                <w:color w:val="auto"/>
              </w:rPr>
            </w:pPr>
            <w:r>
              <w:rPr>
                <w:rFonts w:ascii="Arial" w:cs="Arial" w:eastAsia="Arial" w:hAnsi="Arial"/>
                <w:sz w:val="14"/>
                <w:szCs w:val="14"/>
                <w:color w:val="auto"/>
              </w:rPr>
              <w:t>(2,043)</w:t>
            </w:r>
          </w:p>
        </w:tc>
        <w:tc>
          <w:tcPr>
            <w:tcW w:w="1000" w:type="dxa"/>
            <w:vAlign w:val="bottom"/>
          </w:tcPr>
          <w:p>
            <w:pPr>
              <w:jc w:val="right"/>
              <w:ind w:right="93"/>
              <w:spacing w:after="0"/>
              <w:rPr>
                <w:sz w:val="20"/>
                <w:szCs w:val="20"/>
                <w:color w:val="auto"/>
              </w:rPr>
            </w:pPr>
            <w:r>
              <w:rPr>
                <w:rFonts w:ascii="Arial" w:cs="Arial" w:eastAsia="Arial" w:hAnsi="Arial"/>
                <w:sz w:val="14"/>
                <w:szCs w:val="14"/>
                <w:color w:val="auto"/>
              </w:rPr>
              <w:t>(4,133,509)</w:t>
            </w:r>
          </w:p>
        </w:tc>
        <w:tc>
          <w:tcPr>
            <w:tcW w:w="1140" w:type="dxa"/>
            <w:vAlign w:val="bottom"/>
          </w:tcPr>
          <w:p>
            <w:pPr>
              <w:jc w:val="right"/>
              <w:ind w:right="155"/>
              <w:spacing w:after="0"/>
              <w:rPr>
                <w:sz w:val="20"/>
                <w:szCs w:val="20"/>
                <w:color w:val="auto"/>
              </w:rPr>
            </w:pPr>
            <w:r>
              <w:rPr>
                <w:rFonts w:ascii="Arial" w:cs="Arial" w:eastAsia="Arial" w:hAnsi="Arial"/>
                <w:sz w:val="14"/>
                <w:szCs w:val="14"/>
                <w:color w:val="auto"/>
              </w:rPr>
              <w:t>743,179</w:t>
            </w:r>
          </w:p>
        </w:tc>
        <w:tc>
          <w:tcPr>
            <w:tcW w:w="1100" w:type="dxa"/>
            <w:vAlign w:val="bottom"/>
          </w:tcPr>
          <w:p>
            <w:pPr>
              <w:jc w:val="right"/>
              <w:ind w:right="174"/>
              <w:spacing w:after="0"/>
              <w:rPr>
                <w:sz w:val="20"/>
                <w:szCs w:val="20"/>
                <w:color w:val="auto"/>
              </w:rPr>
            </w:pPr>
            <w:r>
              <w:rPr>
                <w:rFonts w:ascii="Arial" w:cs="Arial" w:eastAsia="Arial" w:hAnsi="Arial"/>
                <w:sz w:val="14"/>
                <w:szCs w:val="14"/>
                <w:color w:val="auto"/>
              </w:rPr>
              <w:t>(3,158,242)</w:t>
            </w:r>
          </w:p>
        </w:tc>
        <w:tc>
          <w:tcPr>
            <w:tcW w:w="1100" w:type="dxa"/>
            <w:vAlign w:val="bottom"/>
            <w:gridSpan w:val="2"/>
          </w:tcPr>
          <w:p>
            <w:pPr>
              <w:jc w:val="right"/>
              <w:ind w:right="138"/>
              <w:spacing w:after="0"/>
              <w:rPr>
                <w:sz w:val="20"/>
                <w:szCs w:val="20"/>
                <w:color w:val="auto"/>
              </w:rPr>
            </w:pPr>
            <w:r>
              <w:rPr>
                <w:rFonts w:ascii="Arial" w:cs="Arial" w:eastAsia="Arial" w:hAnsi="Arial"/>
                <w:sz w:val="14"/>
                <w:szCs w:val="14"/>
                <w:color w:val="auto"/>
              </w:rPr>
              <w:t>$16.89</w:t>
            </w:r>
          </w:p>
        </w:tc>
        <w:tc>
          <w:tcPr>
            <w:tcW w:w="1020" w:type="dxa"/>
            <w:vAlign w:val="bottom"/>
          </w:tcPr>
          <w:p>
            <w:pPr>
              <w:jc w:val="right"/>
              <w:ind w:right="54"/>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70"/>
        </w:trPr>
        <w:tc>
          <w:tcPr>
            <w:tcW w:w="6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right="20" w:hanging="234"/>
        <w:spacing w:after="0" w:line="231" w:lineRule="auto"/>
        <w:tabs>
          <w:tab w:leader="none" w:pos="24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The dollar amounts reported are total compensation reported for Messrs. Francis (our Chairperson of the Board and Principal Executive Officer since November 7, 2022) and Beals (our former Chief Executive Officer and former Principal Executive Officer from January 1, 2022 through November 7, 2022) for each corresponding year in the “Total” column of the Summary Compensation Table. Refer to “Executive Compensation—Summary Compensation Table.</w:t>
      </w:r>
    </w:p>
    <w:p>
      <w:pPr>
        <w:spacing w:after="0" w:line="31" w:lineRule="exact"/>
        <w:rPr>
          <w:rFonts w:ascii="Arial" w:cs="Arial" w:eastAsia="Arial" w:hAnsi="Arial"/>
          <w:sz w:val="13"/>
          <w:szCs w:val="13"/>
          <w:b w:val="1"/>
          <w:bCs w:val="1"/>
          <w:color w:val="auto"/>
        </w:rPr>
      </w:pPr>
    </w:p>
    <w:p>
      <w:pPr>
        <w:ind w:left="240" w:right="320" w:hanging="234"/>
        <w:spacing w:after="0" w:line="236" w:lineRule="auto"/>
        <w:tabs>
          <w:tab w:leader="none" w:pos="24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The dollar amounts reported represent CAP to Messrs. Francis and Beals as computed in accordance with Item 402(v) of Regulation S-K. The dollar amounts do not reflect the actual amount of compensation earned by or paid to Messrs. Francis and Beals during the applicable year adjusted in accordance with the requirements of Item 402(v) of Regulation S-K.</w:t>
      </w:r>
    </w:p>
    <w:p>
      <w:pPr>
        <w:spacing w:after="0" w:line="31" w:lineRule="exact"/>
        <w:rPr>
          <w:rFonts w:ascii="Arial" w:cs="Arial" w:eastAsia="Arial" w:hAnsi="Arial"/>
          <w:sz w:val="13"/>
          <w:szCs w:val="13"/>
          <w:b w:val="1"/>
          <w:bCs w:val="1"/>
          <w:color w:val="auto"/>
        </w:rPr>
      </w:pPr>
    </w:p>
    <w:p>
      <w:pPr>
        <w:ind w:left="240" w:right="180" w:hanging="234"/>
        <w:spacing w:after="0" w:line="249" w:lineRule="auto"/>
        <w:tabs>
          <w:tab w:leader="none" w:pos="240"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The dollar amounts reported represent the average of the amounts reported for Non-PEO NEOs in the “Total” column of the Summary Compensation Table in each applicable year. The Non-PEO NEOs included for purposes of calculating the average amounts in each applicable year are as follows: (i) for 2024, Brian Camire, General Counsel, Susan Echard. Chief Financial Officer and Duncan Grazier, Chief Technology Officer; and (ii) for 2023, Brian Camire, General Counsel and Duncan Grazier, Chief Technology Officer; and (iii) for 2022, Arden Lee, Chief Financial Officer; Messrs. Camire and Grazier; Juanjo Feijoo, former Chief Operating Officer and Justin Dean, former Chief Technology Officer and Chief Information Officer.</w:t>
      </w:r>
    </w:p>
    <w:p>
      <w:pPr>
        <w:spacing w:after="0" w:line="40" w:lineRule="exact"/>
        <w:rPr>
          <w:rFonts w:ascii="Arial" w:cs="Arial" w:eastAsia="Arial" w:hAnsi="Arial"/>
          <w:sz w:val="12"/>
          <w:szCs w:val="12"/>
          <w:b w:val="1"/>
          <w:bCs w:val="1"/>
          <w:color w:val="auto"/>
        </w:rPr>
      </w:pPr>
    </w:p>
    <w:p>
      <w:pPr>
        <w:ind w:left="240" w:right="140" w:hanging="234"/>
        <w:spacing w:after="0" w:line="236" w:lineRule="auto"/>
        <w:tabs>
          <w:tab w:leader="none" w:pos="24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The dollar amounts reported represent the average amount of CAP to Non-PEO NEOs, as computed in accordance with Item 402(v) of Regulation S-K. The dollar amounts do not reflect the actual average amount of compensation earned by or paid to Non-PEO NEOs during the applicable year adjusted in accordance with the requirements of Item 402(v) of Regulation S-K.</w:t>
      </w:r>
    </w:p>
    <w:p>
      <w:pPr>
        <w:spacing w:after="0" w:line="31" w:lineRule="exact"/>
        <w:rPr>
          <w:rFonts w:ascii="Arial" w:cs="Arial" w:eastAsia="Arial" w:hAnsi="Arial"/>
          <w:sz w:val="13"/>
          <w:szCs w:val="13"/>
          <w:b w:val="1"/>
          <w:bCs w:val="1"/>
          <w:color w:val="auto"/>
        </w:rPr>
      </w:pPr>
    </w:p>
    <w:p>
      <w:pPr>
        <w:ind w:left="240" w:right="20" w:hanging="234"/>
        <w:spacing w:after="0" w:line="226" w:lineRule="auto"/>
        <w:tabs>
          <w:tab w:leader="none" w:pos="24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The dollar amounts reported represent the cumulative Total Shareholder Return (“TSR”) on a fixed investment of $100 in the Company’s Class A Common Stock, including the cumulative amount of dividends, for the measurement period assuming dividend reinvestment. For this year’s disclosure, the Company has updated the start date of the measurement period from the Closing Date of the Business Combination to December 31, 2021 to align with the Company’s fiscal year and standard market practice. As a result, TSR values for 2022 and 2023 presented in this year’s table may differ from the TSR values shown for those years in the prior year’s Pay Versus Performance disclosure. The Company believes this change enhances comparability going forward and will apply this methodology consistently in future disclosures.</w:t>
      </w:r>
    </w:p>
    <w:p>
      <w:pPr>
        <w:spacing w:after="0" w:line="32" w:lineRule="exact"/>
        <w:rPr>
          <w:rFonts w:ascii="Arial" w:cs="Arial" w:eastAsia="Arial" w:hAnsi="Arial"/>
          <w:sz w:val="13"/>
          <w:szCs w:val="13"/>
          <w:b w:val="1"/>
          <w:bCs w:val="1"/>
          <w:color w:val="auto"/>
        </w:rPr>
      </w:pPr>
    </w:p>
    <w:p>
      <w:pPr>
        <w:ind w:left="240" w:hanging="234"/>
        <w:spacing w:after="0"/>
        <w:tabs>
          <w:tab w:leader="none" w:pos="240"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The dollar amounts for Net Income (Loss) reported represent the amount reflected in the Company’s audited financial statements for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59664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hanging="354"/>
        <w:spacing w:after="0" w:line="293" w:lineRule="auto"/>
        <w:tabs>
          <w:tab w:leader="none" w:pos="360" w:val="left"/>
        </w:tabs>
        <w:numPr>
          <w:ilvl w:val="0"/>
          <w:numId w:val="44"/>
        </w:numPr>
        <w:rPr>
          <w:rFonts w:ascii="Arial" w:cs="Arial" w:eastAsia="Arial" w:hAnsi="Arial"/>
          <w:sz w:val="12"/>
          <w:szCs w:val="12"/>
          <w:b w:val="1"/>
          <w:bCs w:val="1"/>
          <w:color w:val="auto"/>
        </w:rPr>
      </w:pPr>
      <w:r>
        <w:rPr>
          <w:rFonts w:ascii="Arial" w:cs="Arial" w:eastAsia="Arial" w:hAnsi="Arial"/>
          <w:sz w:val="12"/>
          <w:szCs w:val="12"/>
          <w:b w:val="1"/>
          <w:bCs w:val="1"/>
          <w:color w:val="auto"/>
        </w:rPr>
        <w:t>For fiscal year 2024, the CAP to our PEO and the average CAP to the Non-PEO NEOs reflect the following adjustments made to the total compensation amounts reported in the Summary Compensation Table for fiscal year 2024, computed in accordance with Item 402(v) of Regulation S-K:</w:t>
      </w:r>
    </w:p>
    <w:p>
      <w:pPr>
        <w:spacing w:after="0" w:line="113" w:lineRule="exact"/>
        <w:rPr>
          <w:sz w:val="20"/>
          <w:szCs w:val="20"/>
          <w:color w:val="auto"/>
        </w:rPr>
      </w:pPr>
    </w:p>
    <w:tbl>
      <w:tblPr>
        <w:tblLayout w:type="fixed"/>
        <w:tblInd w:w="260" w:type="dxa"/>
        <w:tblCellMar>
          <w:top w:w="0" w:type="dxa"/>
          <w:left w:w="0" w:type="dxa"/>
          <w:bottom w:w="0" w:type="dxa"/>
          <w:right w:w="0" w:type="dxa"/>
        </w:tblCellMar>
      </w:tblPr>
      <w:tr>
        <w:trPr>
          <w:trHeight w:val="328"/>
        </w:trPr>
        <w:tc>
          <w:tcPr>
            <w:tcW w:w="120" w:type="dxa"/>
            <w:vAlign w:val="bottom"/>
            <w:shd w:val="clear" w:color="auto" w:fill="000000"/>
          </w:tcPr>
          <w:p>
            <w:pPr>
              <w:spacing w:after="0"/>
              <w:rPr>
                <w:sz w:val="24"/>
                <w:szCs w:val="24"/>
                <w:color w:val="auto"/>
              </w:rPr>
            </w:pPr>
          </w:p>
        </w:tc>
        <w:tc>
          <w:tcPr>
            <w:tcW w:w="6560" w:type="dxa"/>
            <w:vAlign w:val="bottom"/>
            <w:shd w:val="clear" w:color="auto" w:fill="000000"/>
          </w:tcPr>
          <w:p>
            <w:pPr>
              <w:spacing w:after="0"/>
              <w:rPr>
                <w:sz w:val="24"/>
                <w:szCs w:val="24"/>
                <w:color w:val="auto"/>
              </w:rPr>
            </w:pPr>
          </w:p>
        </w:tc>
        <w:tc>
          <w:tcPr>
            <w:tcW w:w="1100" w:type="dxa"/>
            <w:vAlign w:val="bottom"/>
            <w:shd w:val="clear" w:color="auto" w:fill="000000"/>
          </w:tcPr>
          <w:p>
            <w:pPr>
              <w:jc w:val="right"/>
              <w:ind w:right="8"/>
              <w:spacing w:after="0"/>
              <w:rPr>
                <w:sz w:val="20"/>
                <w:szCs w:val="20"/>
                <w:color w:val="auto"/>
              </w:rPr>
            </w:pPr>
            <w:r>
              <w:rPr>
                <w:rFonts w:ascii="Arial" w:cs="Arial" w:eastAsia="Arial" w:hAnsi="Arial"/>
                <w:sz w:val="14"/>
                <w:szCs w:val="14"/>
                <w:b w:val="1"/>
                <w:bCs w:val="1"/>
                <w:color w:val="FFFFFF"/>
              </w:rPr>
              <w:t>Mr. Francis</w:t>
            </w:r>
          </w:p>
        </w:tc>
        <w:tc>
          <w:tcPr>
            <w:tcW w:w="130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Non​-PEO</w:t>
            </w:r>
          </w:p>
        </w:tc>
        <w:tc>
          <w:tcPr>
            <w:tcW w:w="0" w:type="dxa"/>
            <w:vAlign w:val="bottom"/>
          </w:tcPr>
          <w:p>
            <w:pPr>
              <w:spacing w:after="0"/>
              <w:rPr>
                <w:sz w:val="1"/>
                <w:szCs w:val="1"/>
                <w:color w:val="auto"/>
              </w:rPr>
            </w:pPr>
          </w:p>
        </w:tc>
      </w:tr>
      <w:tr>
        <w:trPr>
          <w:trHeight w:val="162"/>
        </w:trPr>
        <w:tc>
          <w:tcPr>
            <w:tcW w:w="120" w:type="dxa"/>
            <w:vAlign w:val="bottom"/>
            <w:shd w:val="clear" w:color="auto" w:fill="000000"/>
          </w:tcPr>
          <w:p>
            <w:pPr>
              <w:spacing w:after="0"/>
              <w:rPr>
                <w:sz w:val="14"/>
                <w:szCs w:val="14"/>
                <w:color w:val="auto"/>
              </w:rPr>
            </w:pPr>
          </w:p>
        </w:tc>
        <w:tc>
          <w:tcPr>
            <w:tcW w:w="6560" w:type="dxa"/>
            <w:vAlign w:val="bottom"/>
            <w:shd w:val="clear" w:color="auto" w:fill="000000"/>
          </w:tcPr>
          <w:p>
            <w:pPr>
              <w:spacing w:after="0"/>
              <w:rPr>
                <w:sz w:val="14"/>
                <w:szCs w:val="14"/>
                <w:color w:val="auto"/>
              </w:rPr>
            </w:pPr>
          </w:p>
        </w:tc>
        <w:tc>
          <w:tcPr>
            <w:tcW w:w="1100" w:type="dxa"/>
            <w:vAlign w:val="bottom"/>
            <w:shd w:val="clear" w:color="auto" w:fill="000000"/>
          </w:tcPr>
          <w:p>
            <w:pPr>
              <w:jc w:val="right"/>
              <w:ind w:right="8"/>
              <w:spacing w:after="0"/>
              <w:rPr>
                <w:sz w:val="20"/>
                <w:szCs w:val="20"/>
                <w:color w:val="auto"/>
              </w:rPr>
            </w:pPr>
            <w:r>
              <w:rPr>
                <w:rFonts w:ascii="Arial" w:cs="Arial" w:eastAsia="Arial" w:hAnsi="Arial"/>
                <w:sz w:val="14"/>
                <w:szCs w:val="14"/>
                <w:b w:val="1"/>
                <w:bCs w:val="1"/>
                <w:color w:val="FFFFFF"/>
              </w:rPr>
              <w:t>(PEO)</w:t>
            </w:r>
          </w:p>
        </w:tc>
        <w:tc>
          <w:tcPr>
            <w:tcW w:w="130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NEOs (Average)</w:t>
            </w:r>
          </w:p>
        </w:tc>
        <w:tc>
          <w:tcPr>
            <w:tcW w:w="0" w:type="dxa"/>
            <w:vAlign w:val="bottom"/>
          </w:tcPr>
          <w:p>
            <w:pPr>
              <w:spacing w:after="0"/>
              <w:rPr>
                <w:sz w:val="1"/>
                <w:szCs w:val="1"/>
                <w:color w:val="auto"/>
              </w:rPr>
            </w:pPr>
          </w:p>
        </w:tc>
      </w:tr>
      <w:tr>
        <w:trPr>
          <w:trHeight w:val="196"/>
        </w:trPr>
        <w:tc>
          <w:tcPr>
            <w:tcW w:w="120" w:type="dxa"/>
            <w:vAlign w:val="bottom"/>
            <w:shd w:val="clear" w:color="auto" w:fill="000000"/>
          </w:tcPr>
          <w:p>
            <w:pPr>
              <w:spacing w:after="0"/>
              <w:rPr>
                <w:sz w:val="17"/>
                <w:szCs w:val="17"/>
                <w:color w:val="auto"/>
              </w:rPr>
            </w:pPr>
          </w:p>
        </w:tc>
        <w:tc>
          <w:tcPr>
            <w:tcW w:w="656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Fiscal Year</w:t>
            </w:r>
          </w:p>
        </w:tc>
        <w:tc>
          <w:tcPr>
            <w:tcW w:w="11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2024</w:t>
            </w:r>
          </w:p>
        </w:tc>
        <w:tc>
          <w:tcPr>
            <w:tcW w:w="130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2024</w:t>
            </w:r>
          </w:p>
        </w:tc>
        <w:tc>
          <w:tcPr>
            <w:tcW w:w="0" w:type="dxa"/>
            <w:vAlign w:val="bottom"/>
          </w:tcPr>
          <w:p>
            <w:pPr>
              <w:spacing w:after="0"/>
              <w:rPr>
                <w:sz w:val="1"/>
                <w:szCs w:val="1"/>
                <w:color w:val="auto"/>
              </w:rPr>
            </w:pPr>
          </w:p>
        </w:tc>
      </w:tr>
      <w:tr>
        <w:trPr>
          <w:trHeight w:val="83"/>
        </w:trPr>
        <w:tc>
          <w:tcPr>
            <w:tcW w:w="120" w:type="dxa"/>
            <w:vAlign w:val="bottom"/>
            <w:shd w:val="clear" w:color="auto" w:fill="000000"/>
          </w:tcPr>
          <w:p>
            <w:pPr>
              <w:spacing w:after="0"/>
              <w:rPr>
                <w:sz w:val="7"/>
                <w:szCs w:val="7"/>
                <w:color w:val="auto"/>
              </w:rPr>
            </w:pPr>
          </w:p>
        </w:tc>
        <w:tc>
          <w:tcPr>
            <w:tcW w:w="656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13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120" w:type="dxa"/>
            <w:vAlign w:val="bottom"/>
          </w:tcPr>
          <w:p>
            <w:pPr>
              <w:spacing w:after="0"/>
              <w:rPr>
                <w:sz w:val="24"/>
                <w:szCs w:val="24"/>
                <w:color w:val="auto"/>
              </w:rPr>
            </w:pPr>
          </w:p>
        </w:tc>
        <w:tc>
          <w:tcPr>
            <w:tcW w:w="6560" w:type="dxa"/>
            <w:vAlign w:val="bottom"/>
          </w:tcPr>
          <w:p>
            <w:pPr>
              <w:ind w:left="80"/>
              <w:spacing w:after="0"/>
              <w:rPr>
                <w:sz w:val="20"/>
                <w:szCs w:val="20"/>
                <w:color w:val="auto"/>
              </w:rPr>
            </w:pPr>
            <w:r>
              <w:rPr>
                <w:rFonts w:ascii="Arial" w:cs="Arial" w:eastAsia="Arial" w:hAnsi="Arial"/>
                <w:sz w:val="14"/>
                <w:szCs w:val="14"/>
                <w:b w:val="1"/>
                <w:bCs w:val="1"/>
                <w:color w:val="40C0C0"/>
              </w:rPr>
              <w:t>Summary Compensation Table total</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7,509,027</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599,267​</w:t>
            </w:r>
          </w:p>
        </w:tc>
        <w:tc>
          <w:tcPr>
            <w:tcW w:w="0" w:type="dxa"/>
            <w:vAlign w:val="bottom"/>
          </w:tcPr>
          <w:p>
            <w:pPr>
              <w:spacing w:after="0"/>
              <w:rPr>
                <w:sz w:val="1"/>
                <w:szCs w:val="1"/>
                <w:color w:val="auto"/>
              </w:rPr>
            </w:pPr>
          </w:p>
        </w:tc>
      </w:tr>
      <w:tr>
        <w:trPr>
          <w:trHeight w:val="83"/>
        </w:trPr>
        <w:tc>
          <w:tcPr>
            <w:tcW w:w="120" w:type="dxa"/>
            <w:vAlign w:val="bottom"/>
            <w:tcBorders>
              <w:bottom w:val="single" w:sz="8" w:color="999999"/>
            </w:tcBorders>
          </w:tcPr>
          <w:p>
            <w:pPr>
              <w:spacing w:after="0"/>
              <w:rPr>
                <w:sz w:val="7"/>
                <w:szCs w:val="7"/>
                <w:color w:val="auto"/>
              </w:rPr>
            </w:pPr>
          </w:p>
        </w:tc>
        <w:tc>
          <w:tcPr>
            <w:tcW w:w="656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30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6560" w:type="dxa"/>
            <w:vAlign w:val="bottom"/>
          </w:tcPr>
          <w:p>
            <w:pPr>
              <w:ind w:left="80"/>
              <w:spacing w:after="0"/>
              <w:rPr>
                <w:sz w:val="20"/>
                <w:szCs w:val="20"/>
                <w:color w:val="auto"/>
              </w:rPr>
            </w:pPr>
            <w:r>
              <w:rPr>
                <w:rFonts w:ascii="Arial" w:cs="Arial" w:eastAsia="Arial" w:hAnsi="Arial"/>
                <w:sz w:val="14"/>
                <w:szCs w:val="14"/>
                <w:b w:val="1"/>
                <w:bCs w:val="1"/>
                <w:color w:val="40C0C0"/>
              </w:rPr>
              <w:t>Less: Grant Date Fair Value of Stock Awards Columns in the Summary Compensation Table</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(4,993,750)</w:t>
            </w:r>
          </w:p>
        </w:tc>
        <w:tc>
          <w:tcPr>
            <w:tcW w:w="13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20" w:type="dxa"/>
            <w:vAlign w:val="bottom"/>
          </w:tcPr>
          <w:p>
            <w:pPr>
              <w:spacing w:after="0"/>
              <w:rPr>
                <w:sz w:val="9"/>
                <w:szCs w:val="9"/>
                <w:color w:val="auto"/>
              </w:rPr>
            </w:pPr>
          </w:p>
        </w:tc>
        <w:tc>
          <w:tcPr>
            <w:tcW w:w="6560" w:type="dxa"/>
            <w:vAlign w:val="bottom"/>
            <w:vMerge w:val="restart"/>
          </w:tcPr>
          <w:p>
            <w:pPr>
              <w:ind w:left="80"/>
              <w:spacing w:after="0"/>
              <w:rPr>
                <w:sz w:val="20"/>
                <w:szCs w:val="20"/>
                <w:color w:val="auto"/>
              </w:rPr>
            </w:pPr>
            <w:r>
              <w:rPr>
                <w:rFonts w:ascii="Arial" w:cs="Arial" w:eastAsia="Arial" w:hAnsi="Arial"/>
                <w:sz w:val="14"/>
                <w:szCs w:val="14"/>
                <w:b w:val="1"/>
                <w:bCs w:val="1"/>
                <w:color w:val="40C0C0"/>
              </w:rPr>
              <w:t>for Applicable Fiscal Year*</w:t>
            </w: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0" w:type="dxa"/>
            <w:vAlign w:val="bottom"/>
            <w:tcBorders>
              <w:bottom w:val="single" w:sz="8" w:color="999999"/>
            </w:tcBorders>
          </w:tcPr>
          <w:p>
            <w:pPr>
              <w:spacing w:after="0"/>
              <w:rPr>
                <w:sz w:val="7"/>
                <w:szCs w:val="7"/>
                <w:color w:val="auto"/>
              </w:rPr>
            </w:pPr>
          </w:p>
        </w:tc>
        <w:tc>
          <w:tcPr>
            <w:tcW w:w="656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30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6560" w:type="dxa"/>
            <w:vAlign w:val="bottom"/>
          </w:tcPr>
          <w:p>
            <w:pPr>
              <w:ind w:left="80"/>
              <w:spacing w:after="0"/>
              <w:rPr>
                <w:sz w:val="20"/>
                <w:szCs w:val="20"/>
                <w:color w:val="auto"/>
              </w:rPr>
            </w:pPr>
            <w:r>
              <w:rPr>
                <w:rFonts w:ascii="Arial" w:cs="Arial" w:eastAsia="Arial" w:hAnsi="Arial"/>
                <w:sz w:val="14"/>
                <w:szCs w:val="14"/>
                <w:b w:val="1"/>
                <w:bCs w:val="1"/>
                <w:color w:val="40C0C0"/>
              </w:rPr>
              <w:t>±Fair Value at Applicable Fiscal Year-End of Awards Granted during Applicable Fiscal Year</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10,350,410</w:t>
            </w:r>
          </w:p>
        </w:tc>
        <w:tc>
          <w:tcPr>
            <w:tcW w:w="13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20" w:type="dxa"/>
            <w:vAlign w:val="bottom"/>
          </w:tcPr>
          <w:p>
            <w:pPr>
              <w:spacing w:after="0"/>
              <w:rPr>
                <w:sz w:val="9"/>
                <w:szCs w:val="9"/>
                <w:color w:val="auto"/>
              </w:rPr>
            </w:pPr>
          </w:p>
        </w:tc>
        <w:tc>
          <w:tcPr>
            <w:tcW w:w="6560" w:type="dxa"/>
            <w:vAlign w:val="bottom"/>
            <w:vMerge w:val="restart"/>
          </w:tcPr>
          <w:p>
            <w:pPr>
              <w:ind w:left="160"/>
              <w:spacing w:after="0"/>
              <w:rPr>
                <w:sz w:val="20"/>
                <w:szCs w:val="20"/>
                <w:color w:val="auto"/>
              </w:rPr>
            </w:pPr>
            <w:r>
              <w:rPr>
                <w:rFonts w:ascii="Arial" w:cs="Arial" w:eastAsia="Arial" w:hAnsi="Arial"/>
                <w:sz w:val="14"/>
                <w:szCs w:val="14"/>
                <w:b w:val="1"/>
                <w:bCs w:val="1"/>
                <w:color w:val="40C0C0"/>
              </w:rPr>
              <w:t>that Remain Unvested as of Applicable Fiscal Year End*</w:t>
            </w: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0" w:type="dxa"/>
            <w:vAlign w:val="bottom"/>
            <w:tcBorders>
              <w:bottom w:val="single" w:sz="8" w:color="999999"/>
            </w:tcBorders>
          </w:tcPr>
          <w:p>
            <w:pPr>
              <w:spacing w:after="0"/>
              <w:rPr>
                <w:sz w:val="7"/>
                <w:szCs w:val="7"/>
                <w:color w:val="auto"/>
              </w:rPr>
            </w:pPr>
          </w:p>
        </w:tc>
        <w:tc>
          <w:tcPr>
            <w:tcW w:w="656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30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6560" w:type="dxa"/>
            <w:vAlign w:val="bottom"/>
          </w:tcPr>
          <w:p>
            <w:pPr>
              <w:ind w:left="80"/>
              <w:spacing w:after="0"/>
              <w:rPr>
                <w:sz w:val="20"/>
                <w:szCs w:val="20"/>
                <w:color w:val="auto"/>
              </w:rPr>
            </w:pPr>
            <w:r>
              <w:rPr>
                <w:rFonts w:ascii="Arial" w:cs="Arial" w:eastAsia="Arial" w:hAnsi="Arial"/>
                <w:sz w:val="14"/>
                <w:szCs w:val="14"/>
                <w:b w:val="1"/>
                <w:bCs w:val="1"/>
                <w:color w:val="40C0C0"/>
              </w:rPr>
              <w:t>±Change in Fair Value from the end of the Prior Fiscal Year to the end of the Applicable</w:t>
            </w:r>
          </w:p>
        </w:tc>
        <w:tc>
          <w:tcPr>
            <w:tcW w:w="1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6560" w:type="dxa"/>
            <w:vAlign w:val="bottom"/>
          </w:tcPr>
          <w:p>
            <w:pPr>
              <w:ind w:left="160"/>
              <w:spacing w:after="0"/>
              <w:rPr>
                <w:sz w:val="20"/>
                <w:szCs w:val="20"/>
                <w:color w:val="auto"/>
              </w:rPr>
            </w:pPr>
            <w:r>
              <w:rPr>
                <w:rFonts w:ascii="Arial" w:cs="Arial" w:eastAsia="Arial" w:hAnsi="Arial"/>
                <w:sz w:val="14"/>
                <w:szCs w:val="14"/>
                <w:b w:val="1"/>
                <w:bCs w:val="1"/>
                <w:color w:val="40C0C0"/>
              </w:rPr>
              <w:t>Fiscal Year of Awards Granted during Prior Fiscal Year that were Outstanding and</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84,081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ind w:left="160"/>
              <w:spacing w:after="0"/>
              <w:rPr>
                <w:sz w:val="20"/>
                <w:szCs w:val="20"/>
                <w:color w:val="auto"/>
              </w:rPr>
            </w:pPr>
            <w:r>
              <w:rPr>
                <w:rFonts w:ascii="Arial" w:cs="Arial" w:eastAsia="Arial" w:hAnsi="Arial"/>
                <w:sz w:val="14"/>
                <w:szCs w:val="14"/>
                <w:b w:val="1"/>
                <w:bCs w:val="1"/>
                <w:color w:val="40C0C0"/>
              </w:rPr>
              <w:t>Unvested as of Applicable Fiscal Year End*</w:t>
            </w: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120" w:type="dxa"/>
            <w:vAlign w:val="bottom"/>
            <w:tcBorders>
              <w:bottom w:val="single" w:sz="8" w:color="999999"/>
            </w:tcBorders>
          </w:tcPr>
          <w:p>
            <w:pPr>
              <w:spacing w:after="0"/>
              <w:rPr>
                <w:sz w:val="7"/>
                <w:szCs w:val="7"/>
                <w:color w:val="auto"/>
              </w:rPr>
            </w:pPr>
          </w:p>
        </w:tc>
        <w:tc>
          <w:tcPr>
            <w:tcW w:w="656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30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6560" w:type="dxa"/>
            <w:vAlign w:val="bottom"/>
          </w:tcPr>
          <w:p>
            <w:pPr>
              <w:ind w:left="80"/>
              <w:spacing w:after="0"/>
              <w:rPr>
                <w:sz w:val="20"/>
                <w:szCs w:val="20"/>
                <w:color w:val="auto"/>
              </w:rPr>
            </w:pPr>
            <w:r>
              <w:rPr>
                <w:rFonts w:ascii="Arial" w:cs="Arial" w:eastAsia="Arial" w:hAnsi="Arial"/>
                <w:sz w:val="14"/>
                <w:szCs w:val="14"/>
                <w:b w:val="1"/>
                <w:bCs w:val="1"/>
                <w:color w:val="40C0C0"/>
              </w:rPr>
              <w:t>±Vesting Date Fair Value of Awards Granted in Applicable Fiscal Year that Vested During</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20" w:type="dxa"/>
            <w:vAlign w:val="bottom"/>
          </w:tcPr>
          <w:p>
            <w:pPr>
              <w:spacing w:after="0"/>
              <w:rPr>
                <w:sz w:val="9"/>
                <w:szCs w:val="9"/>
                <w:color w:val="auto"/>
              </w:rPr>
            </w:pPr>
          </w:p>
        </w:tc>
        <w:tc>
          <w:tcPr>
            <w:tcW w:w="6560" w:type="dxa"/>
            <w:vAlign w:val="bottom"/>
            <w:vMerge w:val="restart"/>
          </w:tcPr>
          <w:p>
            <w:pPr>
              <w:ind w:left="160"/>
              <w:spacing w:after="0"/>
              <w:rPr>
                <w:sz w:val="20"/>
                <w:szCs w:val="20"/>
                <w:color w:val="auto"/>
              </w:rPr>
            </w:pPr>
            <w:r>
              <w:rPr>
                <w:rFonts w:ascii="Arial" w:cs="Arial" w:eastAsia="Arial" w:hAnsi="Arial"/>
                <w:sz w:val="14"/>
                <w:szCs w:val="14"/>
                <w:b w:val="1"/>
                <w:bCs w:val="1"/>
                <w:color w:val="40C0C0"/>
              </w:rPr>
              <w:t>Applicable Fiscal Year*</w:t>
            </w: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0" w:type="dxa"/>
            <w:vAlign w:val="bottom"/>
            <w:tcBorders>
              <w:bottom w:val="single" w:sz="8" w:color="999999"/>
            </w:tcBorders>
          </w:tcPr>
          <w:p>
            <w:pPr>
              <w:spacing w:after="0"/>
              <w:rPr>
                <w:sz w:val="7"/>
                <w:szCs w:val="7"/>
                <w:color w:val="auto"/>
              </w:rPr>
            </w:pPr>
          </w:p>
        </w:tc>
        <w:tc>
          <w:tcPr>
            <w:tcW w:w="656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30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6560" w:type="dxa"/>
            <w:vAlign w:val="bottom"/>
          </w:tcPr>
          <w:p>
            <w:pPr>
              <w:ind w:left="80"/>
              <w:spacing w:after="0"/>
              <w:rPr>
                <w:sz w:val="20"/>
                <w:szCs w:val="20"/>
                <w:color w:val="auto"/>
              </w:rPr>
            </w:pPr>
            <w:r>
              <w:rPr>
                <w:rFonts w:ascii="Arial" w:cs="Arial" w:eastAsia="Arial" w:hAnsi="Arial"/>
                <w:sz w:val="14"/>
                <w:szCs w:val="14"/>
                <w:b w:val="1"/>
                <w:bCs w:val="1"/>
                <w:color w:val="40C0C0"/>
              </w:rPr>
              <w:t>±Change in Fair Value from the end of the Prior Fiscal Year to the Vesting Date of Awards</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10,094</w:t>
            </w:r>
          </w:p>
        </w:tc>
        <w:tc>
          <w:tcPr>
            <w:tcW w:w="1300" w:type="dxa"/>
            <w:vAlign w:val="bottom"/>
            <w:vMerge w:val="restart"/>
          </w:tcPr>
          <w:p>
            <w:pPr>
              <w:jc w:val="right"/>
              <w:ind w:right="128"/>
              <w:spacing w:after="0"/>
              <w:rPr>
                <w:sz w:val="20"/>
                <w:szCs w:val="20"/>
                <w:color w:val="auto"/>
              </w:rPr>
            </w:pPr>
            <w:r>
              <w:rPr>
                <w:rFonts w:ascii="Arial" w:cs="Arial" w:eastAsia="Arial" w:hAnsi="Arial"/>
                <w:sz w:val="14"/>
                <w:szCs w:val="14"/>
                <w:color w:val="auto"/>
              </w:rPr>
              <w:t>56,141​</w:t>
            </w:r>
          </w:p>
        </w:tc>
        <w:tc>
          <w:tcPr>
            <w:tcW w:w="0" w:type="dxa"/>
            <w:vAlign w:val="bottom"/>
          </w:tcPr>
          <w:p>
            <w:pPr>
              <w:spacing w:after="0"/>
              <w:rPr>
                <w:sz w:val="1"/>
                <w:szCs w:val="1"/>
                <w:color w:val="auto"/>
              </w:rPr>
            </w:pPr>
          </w:p>
        </w:tc>
      </w:tr>
      <w:tr>
        <w:trPr>
          <w:trHeight w:val="109"/>
        </w:trPr>
        <w:tc>
          <w:tcPr>
            <w:tcW w:w="120" w:type="dxa"/>
            <w:vAlign w:val="bottom"/>
          </w:tcPr>
          <w:p>
            <w:pPr>
              <w:spacing w:after="0"/>
              <w:rPr>
                <w:sz w:val="9"/>
                <w:szCs w:val="9"/>
                <w:color w:val="auto"/>
              </w:rPr>
            </w:pPr>
          </w:p>
        </w:tc>
        <w:tc>
          <w:tcPr>
            <w:tcW w:w="6560" w:type="dxa"/>
            <w:vAlign w:val="bottom"/>
            <w:vMerge w:val="restart"/>
          </w:tcPr>
          <w:p>
            <w:pPr>
              <w:ind w:left="160"/>
              <w:spacing w:after="0"/>
              <w:rPr>
                <w:sz w:val="20"/>
                <w:szCs w:val="20"/>
                <w:color w:val="auto"/>
              </w:rPr>
            </w:pPr>
            <w:r>
              <w:rPr>
                <w:rFonts w:ascii="Arial" w:cs="Arial" w:eastAsia="Arial" w:hAnsi="Arial"/>
                <w:sz w:val="14"/>
                <w:szCs w:val="14"/>
                <w:b w:val="1"/>
                <w:bCs w:val="1"/>
                <w:color w:val="40C0C0"/>
              </w:rPr>
              <w:t>Granted during Prior Fiscal Year that Vested During Applicable Fiscal Year*</w:t>
            </w: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0" w:type="dxa"/>
            <w:vAlign w:val="bottom"/>
            <w:tcBorders>
              <w:bottom w:val="single" w:sz="8" w:color="999999"/>
            </w:tcBorders>
          </w:tcPr>
          <w:p>
            <w:pPr>
              <w:spacing w:after="0"/>
              <w:rPr>
                <w:sz w:val="7"/>
                <w:szCs w:val="7"/>
                <w:color w:val="auto"/>
              </w:rPr>
            </w:pPr>
          </w:p>
        </w:tc>
        <w:tc>
          <w:tcPr>
            <w:tcW w:w="656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30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6560" w:type="dxa"/>
            <w:vAlign w:val="bottom"/>
          </w:tcPr>
          <w:p>
            <w:pPr>
              <w:ind w:left="80"/>
              <w:spacing w:after="0"/>
              <w:rPr>
                <w:sz w:val="20"/>
                <w:szCs w:val="20"/>
                <w:color w:val="auto"/>
              </w:rPr>
            </w:pPr>
            <w:r>
              <w:rPr>
                <w:rFonts w:ascii="Arial" w:cs="Arial" w:eastAsia="Arial" w:hAnsi="Arial"/>
                <w:sz w:val="14"/>
                <w:szCs w:val="14"/>
                <w:b w:val="1"/>
                <w:bCs w:val="1"/>
                <w:color w:val="40C0C0"/>
              </w:rPr>
              <w:t>-Fair Value at Prior Year End of Awards Granted during Prior Fiscal Year that were Forfeited</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88"/>
              <w:spacing w:after="0"/>
              <w:rPr>
                <w:sz w:val="20"/>
                <w:szCs w:val="20"/>
                <w:color w:val="auto"/>
              </w:rPr>
            </w:pPr>
            <w:r>
              <w:rPr>
                <w:rFonts w:ascii="Arial" w:cs="Arial" w:eastAsia="Arial" w:hAnsi="Arial"/>
                <w:sz w:val="14"/>
                <w:szCs w:val="14"/>
                <w:color w:val="auto"/>
              </w:rPr>
              <w:t>(104,632)</w:t>
            </w:r>
          </w:p>
        </w:tc>
        <w:tc>
          <w:tcPr>
            <w:tcW w:w="0" w:type="dxa"/>
            <w:vAlign w:val="bottom"/>
          </w:tcPr>
          <w:p>
            <w:pPr>
              <w:spacing w:after="0"/>
              <w:rPr>
                <w:sz w:val="1"/>
                <w:szCs w:val="1"/>
                <w:color w:val="auto"/>
              </w:rPr>
            </w:pPr>
          </w:p>
        </w:tc>
      </w:tr>
      <w:tr>
        <w:trPr>
          <w:trHeight w:val="109"/>
        </w:trPr>
        <w:tc>
          <w:tcPr>
            <w:tcW w:w="120" w:type="dxa"/>
            <w:vAlign w:val="bottom"/>
          </w:tcPr>
          <w:p>
            <w:pPr>
              <w:spacing w:after="0"/>
              <w:rPr>
                <w:sz w:val="9"/>
                <w:szCs w:val="9"/>
                <w:color w:val="auto"/>
              </w:rPr>
            </w:pPr>
          </w:p>
        </w:tc>
        <w:tc>
          <w:tcPr>
            <w:tcW w:w="6560" w:type="dxa"/>
            <w:vAlign w:val="bottom"/>
            <w:vMerge w:val="restart"/>
          </w:tcPr>
          <w:p>
            <w:pPr>
              <w:ind w:left="120"/>
              <w:spacing w:after="0"/>
              <w:rPr>
                <w:sz w:val="20"/>
                <w:szCs w:val="20"/>
                <w:color w:val="auto"/>
              </w:rPr>
            </w:pPr>
            <w:r>
              <w:rPr>
                <w:rFonts w:ascii="Arial" w:cs="Arial" w:eastAsia="Arial" w:hAnsi="Arial"/>
                <w:sz w:val="14"/>
                <w:szCs w:val="14"/>
                <w:b w:val="1"/>
                <w:bCs w:val="1"/>
                <w:color w:val="40C0C0"/>
              </w:rPr>
              <w:t>during Applicable Fiscal Year*</w:t>
            </w: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0" w:type="dxa"/>
            <w:vAlign w:val="bottom"/>
            <w:tcBorders>
              <w:bottom w:val="single" w:sz="8" w:color="999999"/>
            </w:tcBorders>
          </w:tcPr>
          <w:p>
            <w:pPr>
              <w:spacing w:after="0"/>
              <w:rPr>
                <w:sz w:val="7"/>
                <w:szCs w:val="7"/>
                <w:color w:val="auto"/>
              </w:rPr>
            </w:pPr>
          </w:p>
        </w:tc>
        <w:tc>
          <w:tcPr>
            <w:tcW w:w="656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30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6560" w:type="dxa"/>
            <w:vAlign w:val="bottom"/>
          </w:tcPr>
          <w:p>
            <w:pPr>
              <w:ind w:left="80"/>
              <w:spacing w:after="0"/>
              <w:rPr>
                <w:sz w:val="20"/>
                <w:szCs w:val="20"/>
                <w:color w:val="auto"/>
              </w:rPr>
            </w:pPr>
            <w:r>
              <w:rPr>
                <w:rFonts w:ascii="Arial" w:cs="Arial" w:eastAsia="Arial" w:hAnsi="Arial"/>
                <w:sz w:val="14"/>
                <w:szCs w:val="14"/>
                <w:b w:val="1"/>
                <w:bCs w:val="1"/>
                <w:color w:val="40C0C0"/>
              </w:rPr>
              <w:t>Other earnings paid on equity awards prior to the vesting date</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120" w:type="dxa"/>
            <w:vAlign w:val="bottom"/>
            <w:tcBorders>
              <w:bottom w:val="single" w:sz="8" w:color="999999"/>
            </w:tcBorders>
          </w:tcPr>
          <w:p>
            <w:pPr>
              <w:spacing w:after="0"/>
              <w:rPr>
                <w:sz w:val="7"/>
                <w:szCs w:val="7"/>
                <w:color w:val="auto"/>
              </w:rPr>
            </w:pPr>
          </w:p>
        </w:tc>
        <w:tc>
          <w:tcPr>
            <w:tcW w:w="6560" w:type="dxa"/>
            <w:vAlign w:val="bottom"/>
            <w:tcBorders>
              <w:bottom w:val="single" w:sz="8" w:color="999999"/>
            </w:tcBorders>
          </w:tcPr>
          <w:p>
            <w:pPr>
              <w:spacing w:after="0"/>
              <w:rPr>
                <w:sz w:val="7"/>
                <w:szCs w:val="7"/>
                <w:color w:val="auto"/>
              </w:rPr>
            </w:pPr>
          </w:p>
        </w:tc>
        <w:tc>
          <w:tcPr>
            <w:tcW w:w="1100" w:type="dxa"/>
            <w:vAlign w:val="bottom"/>
            <w:tcBorders>
              <w:bottom w:val="single" w:sz="8" w:color="999999"/>
            </w:tcBorders>
          </w:tcPr>
          <w:p>
            <w:pPr>
              <w:spacing w:after="0"/>
              <w:rPr>
                <w:sz w:val="7"/>
                <w:szCs w:val="7"/>
                <w:color w:val="auto"/>
              </w:rPr>
            </w:pPr>
          </w:p>
        </w:tc>
        <w:tc>
          <w:tcPr>
            <w:tcW w:w="130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6560" w:type="dxa"/>
            <w:vAlign w:val="bottom"/>
          </w:tcPr>
          <w:p>
            <w:pPr>
              <w:ind w:left="80"/>
              <w:spacing w:after="0"/>
              <w:rPr>
                <w:sz w:val="20"/>
                <w:szCs w:val="20"/>
                <w:color w:val="auto"/>
              </w:rPr>
            </w:pPr>
            <w:r>
              <w:rPr>
                <w:rFonts w:ascii="Arial" w:cs="Arial" w:eastAsia="Arial" w:hAnsi="Arial"/>
                <w:sz w:val="14"/>
                <w:szCs w:val="14"/>
                <w:b w:val="1"/>
                <w:bCs w:val="1"/>
                <w:color w:val="40C0C0"/>
              </w:rPr>
              <w:t>CAP</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12,875,782</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634,857​</w:t>
            </w:r>
          </w:p>
        </w:tc>
        <w:tc>
          <w:tcPr>
            <w:tcW w:w="0" w:type="dxa"/>
            <w:vAlign w:val="bottom"/>
          </w:tcPr>
          <w:p>
            <w:pPr>
              <w:spacing w:after="0"/>
              <w:rPr>
                <w:sz w:val="1"/>
                <w:szCs w:val="1"/>
                <w:color w:val="auto"/>
              </w:rPr>
            </w:pPr>
          </w:p>
        </w:tc>
      </w:tr>
      <w:tr>
        <w:trPr>
          <w:trHeight w:val="70"/>
        </w:trPr>
        <w:tc>
          <w:tcPr>
            <w:tcW w:w="120" w:type="dxa"/>
            <w:vAlign w:val="bottom"/>
            <w:tcBorders>
              <w:bottom w:val="single" w:sz="8" w:color="auto"/>
            </w:tcBorders>
          </w:tcPr>
          <w:p>
            <w:pPr>
              <w:spacing w:after="0"/>
              <w:rPr>
                <w:sz w:val="6"/>
                <w:szCs w:val="6"/>
                <w:color w:val="auto"/>
              </w:rPr>
            </w:pPr>
          </w:p>
        </w:tc>
        <w:tc>
          <w:tcPr>
            <w:tcW w:w="6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4"/>
        <w:spacing w:after="0"/>
        <w:tabs>
          <w:tab w:leader="none" w:pos="24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The valuation assumptions used to calculate fair values did not materially differ from those disclosed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59664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right="819"/>
        <w:spacing w:after="0" w:line="272" w:lineRule="auto"/>
        <w:rPr>
          <w:sz w:val="20"/>
          <w:szCs w:val="20"/>
          <w:color w:val="auto"/>
        </w:rPr>
      </w:pPr>
      <w:r>
        <w:rPr>
          <w:rFonts w:ascii="Arial" w:cs="Arial" w:eastAsia="Arial" w:hAnsi="Arial"/>
          <w:sz w:val="22"/>
          <w:szCs w:val="22"/>
          <w:b w:val="1"/>
          <w:bCs w:val="1"/>
          <w:color w:val="40C0C0"/>
        </w:rPr>
        <w:t>Required Disclosure of the Relationship Between CAP and Financial Performance Measures</w:t>
      </w:r>
    </w:p>
    <w:p>
      <w:pPr>
        <w:spacing w:after="0" w:line="89" w:lineRule="exact"/>
        <w:rPr>
          <w:sz w:val="20"/>
          <w:szCs w:val="20"/>
          <w:color w:val="auto"/>
        </w:rPr>
      </w:pPr>
    </w:p>
    <w:p>
      <w:pPr>
        <w:ind w:right="19"/>
        <w:spacing w:after="0" w:line="259" w:lineRule="auto"/>
        <w:rPr>
          <w:sz w:val="20"/>
          <w:szCs w:val="20"/>
          <w:color w:val="auto"/>
        </w:rPr>
      </w:pPr>
      <w:r>
        <w:rPr>
          <w:rFonts w:ascii="Arial" w:cs="Arial" w:eastAsia="Arial" w:hAnsi="Arial"/>
          <w:sz w:val="16"/>
          <w:szCs w:val="16"/>
          <w:color w:val="auto"/>
        </w:rPr>
        <w:t>As required by Item 402(v) of Regulation S-K, we are providing the following graphs to illustrate the relationship between the pay and performance figures that are included in the pay versus performance tabular disclosure above. As noted above, CAP for purposes of the tabular disclosure and the following graphs was calculated in accordance with SEC rules and does not fully represent the actual final amount of compensation earned by or actually paid to our NEOs during the applicable years.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graph below illustrates the relationship between CAP to our PEOs and CAP to our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243840</wp:posOffset>
            </wp:positionV>
            <wp:extent cx="5391785" cy="22885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9178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graph below illustrates the relationship between Net (loss) Income and PEO CAP and Average Non-PEO NEOs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234950</wp:posOffset>
            </wp:positionV>
            <wp:extent cx="5391785" cy="2674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9178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67" w:lineRule="exact"/>
        <w:rPr>
          <w:sz w:val="20"/>
          <w:szCs w:val="20"/>
          <w:color w:val="auto"/>
        </w:rPr>
      </w:pPr>
    </w:p>
    <w:p>
      <w:pPr>
        <w:ind w:right="19"/>
        <w:spacing w:after="0" w:line="259" w:lineRule="auto"/>
        <w:rPr>
          <w:sz w:val="20"/>
          <w:szCs w:val="20"/>
          <w:color w:val="auto"/>
        </w:rPr>
      </w:pPr>
      <w:r>
        <w:rPr>
          <w:rFonts w:ascii="Arial" w:cs="Arial" w:eastAsia="Arial" w:hAnsi="Arial"/>
          <w:sz w:val="16"/>
          <w:szCs w:val="16"/>
          <w:color w:val="auto"/>
        </w:rPr>
        <w:t> </w:t>
      </w:r>
      <w:r>
        <w:rPr>
          <w:rFonts w:ascii="Arial" w:cs="Arial" w:eastAsia="Arial" w:hAnsi="Arial"/>
          <w:sz w:val="16"/>
          <w:szCs w:val="16"/>
          <w:i w:val="1"/>
          <w:iCs w:val="1"/>
          <w:color w:val="auto"/>
        </w:rPr>
        <w:t>All information provided above under the “Pay Versus Performance” heading will not be deemed to be incorporated by 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59664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ind w:right="660"/>
        <w:spacing w:after="0" w:line="273" w:lineRule="auto"/>
        <w:rPr>
          <w:sz w:val="20"/>
          <w:szCs w:val="20"/>
          <w:color w:val="auto"/>
        </w:rPr>
      </w:pPr>
      <w:r>
        <w:rPr>
          <w:rFonts w:ascii="Arial" w:cs="Arial" w:eastAsia="Arial" w:hAnsi="Arial"/>
          <w:sz w:val="58"/>
          <w:szCs w:val="58"/>
          <w:color w:val="auto"/>
        </w:rPr>
        <w:t>Certain Relationships and Related Person Transactions</w:t>
      </w:r>
    </w:p>
    <w:p>
      <w:pPr>
        <w:spacing w:after="0" w:line="60"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following is a summary of transactions since January 1, 2023,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Amended Operating Company Agreement</w:t>
      </w:r>
    </w:p>
    <w:p>
      <w:pPr>
        <w:spacing w:after="0" w:line="221"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Concurrently with the closing of the business combination among Silver Spike Acquisition Corp. on June 16, 2021 (the “Closing Date”), its wholly owned direct subsidiary Silver Spike Merger Sub LLC, and WM Holding Company, LLC (the “Business Combination”), the WMH LLC operating agreement was further amended and restated in its entirety to become the</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Fourth Amended and Restated Operating Agreement (the “Amended Operating Agreement”). Messrs. Camire, Grazier, Francis and Hartfield and Ghost Media Group, LLC all own Paired Interests and Class P Units as described in the section titled “Security Ownership of Certain Beneficial Owners and Management.”</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of the Units</w:t>
      </w:r>
    </w:p>
    <w:p>
      <w:pPr>
        <w:spacing w:after="0" w:line="22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Distributions</w:t>
      </w:r>
    </w:p>
    <w:p>
      <w:pPr>
        <w:spacing w:after="0" w:line="221"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12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59664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TRA.</w:t>
      </w:r>
    </w:p>
    <w:p>
      <w:pPr>
        <w:spacing w:after="0" w:line="129" w:lineRule="exact"/>
        <w:rPr>
          <w:sz w:val="20"/>
          <w:szCs w:val="20"/>
          <w:color w:val="auto"/>
        </w:rPr>
      </w:pPr>
    </w:p>
    <w:p>
      <w:pPr>
        <w:ind w:right="580"/>
        <w:spacing w:after="0" w:line="266" w:lineRule="auto"/>
        <w:rPr>
          <w:sz w:val="20"/>
          <w:szCs w:val="20"/>
          <w:color w:val="auto"/>
        </w:rPr>
      </w:pPr>
      <w:r>
        <w:rPr>
          <w:rFonts w:ascii="Arial" w:cs="Arial" w:eastAsia="Arial" w:hAnsi="Arial"/>
          <w:sz w:val="16"/>
          <w:szCs w:val="16"/>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Restrictions</w:t>
      </w:r>
    </w:p>
    <w:p>
      <w:pPr>
        <w:spacing w:after="0" w:line="221"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Exchange Agreement</w:t>
      </w:r>
    </w:p>
    <w:p>
      <w:pPr>
        <w:spacing w:after="0" w:line="16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Concurrently with the Closing, we, WMH LLC and the Unit holders, including Messrs. Camire, Grazier, Francis, Hartfield and Ghost Media Group, LLC, as described in the section 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13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Tax Receivable Agreement</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Concurrently with the Closing, we, the Holder Representative and the Class A Unit holders, including Mr. Francis, Mr. Hartfield and Ghost Media Group, LLC, as described in the section titled “Security Ownership of Certain Beneficial Owners and Management,” entered into the tax receivable agreement, (the “TRA”), pursuant to which we are required to pay to holders of Class A Units, in the aggregate, 85% of the amount of cash savings, if any, in U.S. federal, state and local income tax or franchise tax that we actually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59664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realizes as a result of (i) increases to the tax basis of WMH LLC’s assets resulting from our acquisition of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w:t>
      </w:r>
    </w:p>
    <w:p>
      <w:pPr>
        <w:spacing w:after="0" w:line="12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payments we will be required to make under the TRA may be substantial. Assuming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$165.7 million, as of December 31, 2024, over 15 years from the Closing Date. Under this scenario, we would be required to pay to the Class A Unit holders approximately 85% of such amount, or $140.8 million, as of December 31, 2024,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WMH LLC.</w:t>
      </w:r>
    </w:p>
    <w:p>
      <w:pPr>
        <w:spacing w:after="0" w:line="133"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Payments under the TRA will be based on the tax reporting positions we determine, and the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12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(A) our obligations under the TRA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TRA would be based on certain assumptions, including that our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its liquidity. The change of control provisions in the TRA may also result in situations where the Class A Unit holders have interests that differ from or are in addition to those of the Class A stockholders.</w:t>
      </w:r>
    </w:p>
    <w:p>
      <w:pPr>
        <w:spacing w:after="0" w:line="32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Finally, because we are a holding company with no operations of our own, our ability to make payments under the TRA depends on our ability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Amended and Restated Registration Rights Agreement</w:t>
      </w:r>
    </w:p>
    <w:p>
      <w:pPr>
        <w:spacing w:after="0" w:line="166"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Concurrently with the Closing, Silver Spike Sponsor, LLC (“Silver Spike Sponsor”) and certain Unit holders, including Messrs. Camire, Grazier, Francis, Silver Spike Sponsor, LLC and Ghost Media Group, LLC, as described in the section titled “Security Ownership of Certain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59664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Owners and Management,”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Silver Spike Related Transactions and Agreements</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connection with the closing of Silver Spike Acquisition Corp.’s (“Silver Spike’s”) Initial Public Offering (“IPO”), Silver Spike Sponsor granted sponsor LLC equity interests to Silver Spike’s independent directors that collectively comprised approximately 1% of the outstanding equity interests in Silver Spike Sponsor.</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12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2024, the remaining balance of the promissory note receivable was $0.4 million. We received a total of $379,339 in 2024 for principal and interest related to the promissory note receivable.</w:t>
      </w:r>
    </w:p>
    <w:p>
      <w:pPr>
        <w:spacing w:after="0" w:line="12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During the years ended December 31, 2024 and 2023, the Company reimbursed $0.2 million and $0.4 million, respectively, in certain legal fee to Silver Spike Holdings, an affiliate to a member of the board of directors in connection with the SEC investigation disclosed in the Company’s Form 10-K.</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Legacy WMH Transactions and Agreements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Other Enterprises</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Shield Management Group, LLC is a business in which currently Mr. Francis indirectly owns a majority interest, and Mr. Hartfield indirectly owns a minority interest. In 2023 and 2024, Shield Management Group, LLC used our listing products and participated in other brand promotion opportunities. Shield Management Group, LLC paid us a total of $427,797 and $301,283 in 2023 and 2024, respectively for such products and services.</w:t>
      </w:r>
    </w:p>
    <w:p>
      <w:pPr>
        <w:spacing w:after="0" w:line="124" w:lineRule="exact"/>
        <w:rPr>
          <w:sz w:val="20"/>
          <w:szCs w:val="20"/>
          <w:color w:val="auto"/>
        </w:rPr>
      </w:pPr>
    </w:p>
    <w:p>
      <w:pPr>
        <w:ind w:right="500"/>
        <w:spacing w:after="0" w:line="259" w:lineRule="auto"/>
        <w:rPr>
          <w:sz w:val="20"/>
          <w:szCs w:val="20"/>
          <w:color w:val="auto"/>
        </w:rPr>
      </w:pPr>
      <w:r>
        <w:rPr>
          <w:rFonts w:ascii="Arial" w:cs="Arial" w:eastAsia="Arial" w:hAnsi="Arial"/>
          <w:sz w:val="16"/>
          <w:szCs w:val="16"/>
          <w:color w:val="auto"/>
        </w:rPr>
        <w:t>Glasir Group, LLC is a business owned by Mr. Francis and his spouse. During the second quarter of 2022, we entered into a sublease agreement with Glasir Group, LLC of our offices located at 43 Discovery, Irvine, California 92618. The sublease commenced on June 1, 2022, and was terminated on October 31, 2024. Glasir Group, LLC paid us a total of $169,095 and $1,351,053 in 2023 and 2024, respectively for rent under the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59664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Transactions</w:t>
      </w:r>
    </w:p>
    <w:p>
      <w:pPr>
        <w:spacing w:after="0" w:line="221"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2024.”</w:t>
      </w:r>
    </w:p>
    <w:p>
      <w:pPr>
        <w:spacing w:after="0" w:line="117"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We have granted equity awards to certain of our executive officers. For a description of equity awards granted to our Named Executive Officers, see the section entitled “Executive Compensation.”</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entered into indemnification agreements with substantially all of our directors and executive officers, other than our Chief Financial Officer, Susan Echard, who is not an employee.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26"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We have entered into an employment agreement with Russ Francis, the brother of Douglas Francis, our Chief Executive Officer and Chairman of the Board. Pursuant to his employment agreement, Russ Francis will serve as a Senior Web Designer and receive an annual salary of $170,000, benefits and be eligible for a 10% target bonus.</w:t>
      </w:r>
    </w:p>
    <w:p>
      <w:pPr>
        <w:spacing w:after="0" w:line="11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have entered into an employment agreement with Sydnee Francis, the daughter of Douglas Francis, our Chief Executive Officer and Chairman of the Board. Pursuant to her employment agreement, Sydnee Francis will serve as a Marketplace Business Analyst and receive an annual salary of $100,000, benefits and be eligible for a 10% target bonus.</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Related Person Transactions Policy</w:t>
      </w:r>
    </w:p>
    <w:p>
      <w:pPr>
        <w:spacing w:after="0" w:line="166"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2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considering related-person transactions, our Audit Committee takes into account the relevant available facts and circumstances, which may include, but are not limited to:</w:t>
      </w:r>
    </w:p>
    <w:p>
      <w:pPr>
        <w:spacing w:after="0" w:line="7" w:lineRule="exact"/>
        <w:rPr>
          <w:sz w:val="20"/>
          <w:szCs w:val="20"/>
          <w:color w:val="auto"/>
        </w:rPr>
      </w:pPr>
    </w:p>
    <w:p>
      <w:pPr>
        <w:ind w:left="600" w:hanging="288"/>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risk, cost and benefits to us;</w:t>
      </w:r>
    </w:p>
    <w:p>
      <w:pPr>
        <w:spacing w:after="0" w:line="72" w:lineRule="exact"/>
        <w:rPr>
          <w:rFonts w:ascii="Arial" w:cs="Arial" w:eastAsia="Arial" w:hAnsi="Arial"/>
          <w:sz w:val="16"/>
          <w:szCs w:val="16"/>
          <w:color w:val="auto"/>
        </w:rPr>
      </w:pPr>
    </w:p>
    <w:p>
      <w:pPr>
        <w:ind w:left="600" w:right="560" w:hanging="288"/>
        <w:spacing w:after="0" w:line="286" w:lineRule="auto"/>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impact on a director’s independence in the event the related person is a director, immediate family member of a director or an entity with which a director is affiliated;</w:t>
      </w:r>
    </w:p>
    <w:p>
      <w:pPr>
        <w:spacing w:after="0" w:line="20" w:lineRule="exact"/>
        <w:rPr>
          <w:rFonts w:ascii="Arial" w:cs="Arial" w:eastAsia="Arial" w:hAnsi="Arial"/>
          <w:sz w:val="16"/>
          <w:szCs w:val="16"/>
          <w:color w:val="auto"/>
        </w:rPr>
      </w:pPr>
    </w:p>
    <w:p>
      <w:pPr>
        <w:ind w:left="600" w:hanging="288"/>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terms of the transaction; and</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availability of other sources for comparable services or products.</w:t>
      </w:r>
    </w:p>
    <w:p>
      <w:pPr>
        <w:spacing w:after="0" w:line="167"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59664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Householding of Proxy Materials</w:t>
      </w:r>
    </w:p>
    <w:p>
      <w:pPr>
        <w:spacing w:after="0" w:line="24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2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 number of brokers with account holders who are our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WM Technology, Inc. Direct your written request to Investor Relations at investors@weedmaps.com; 41 Discovery, Irvine CA 92618 or (844) 933-3627. Stockholders who currently receive multiple copies of the Notices of Internet Availability of Proxy Materials at their addresses and would like to request “householding” of their communications should contact their brokers. In addition, we will promptly deliver, upon written or oral request to the address or telephone number above, a separate copy of the Notice of Internet Availability of Proxy Materials or the full set of proxy materials, as applicable, to a stockholder at a shared address to which a single copy of the documents was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59664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Other Matters</w:t>
      </w:r>
    </w:p>
    <w:p>
      <w:pPr>
        <w:spacing w:after="0" w:line="249"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/s/ Brian Camire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Brian Camire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Secretary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April 29, 2025</w:t>
      </w:r>
    </w:p>
    <w:p>
      <w:pPr>
        <w:spacing w:after="0" w:line="16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A copy of our Annual Report to the Securities and Exchange Commission on Form 10-K for the year ended December 31, 2024 is available without charge upon written request to: Brian Camire, 41 Discovery, Irvine, California 92618.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72390</wp:posOffset>
            </wp:positionV>
            <wp:extent cx="59664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060"/>
        <w:spacing w:after="0"/>
        <w:tabs>
          <w:tab w:leader="none" w:pos="4600" w:val="left"/>
          <w:tab w:leader="none" w:pos="506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lvl w:ilvl="1">
      <w:lvlJc w:val="left"/>
      <w:lvlText w:val="☐"/>
      <w:numFmt w:val="bullet"/>
      <w:start w:val="1"/>
    </w:lvl>
  </w:abstractNum>
  <w:abstractNum w:abstractNumId="1">
    <w:nsid w:val="75A2A8D4"/>
    <w:multiLevelType w:val="hybridMultilevel"/>
    <w:lvl w:ilvl="0">
      <w:lvlJc w:val="left"/>
      <w:lvlText w:val="☒"/>
      <w:numFmt w:val="bullet"/>
      <w:start w:val="1"/>
    </w:lvl>
    <w:lvl w:ilvl="1">
      <w:lvlJc w:val="left"/>
      <w:lvlText w:val="☐"/>
      <w:numFmt w:val="bullet"/>
      <w:start w:val="1"/>
    </w:lvl>
  </w:abstractNum>
  <w:abstractNum w:abstractNumId="2">
    <w:nsid w:val="8EDBDAB"/>
    <w:multiLevelType w:val="hybridMultilevel"/>
    <w:lvl w:ilvl="0">
      <w:lvlJc w:val="left"/>
      <w:lvlText w:val=" "/>
      <w:numFmt w:val="bullet"/>
      <w:start w:val="1"/>
    </w:lvl>
  </w:abstractNum>
  <w:abstractNum w:abstractNumId="3">
    <w:nsid w:val="79838CB2"/>
    <w:multiLevelType w:val="hybridMultilevel"/>
    <w:lvl w:ilvl="0">
      <w:lvlJc w:val="left"/>
      <w:lvlText w:val=" "/>
      <w:numFmt w:val="bullet"/>
      <w:start w:val="1"/>
    </w:lvl>
  </w:abstractNum>
  <w:abstractNum w:abstractNumId="4">
    <w:nsid w:val="4353D0CD"/>
    <w:multiLevelType w:val="hybridMultilevel"/>
    <w:lvl w:ilvl="0">
      <w:lvlJc w:val="left"/>
      <w:lvlText w:val=" "/>
      <w:numFmt w:val="bullet"/>
      <w:start w:val="1"/>
    </w:lvl>
  </w:abstractNum>
  <w:abstractNum w:abstractNumId="5">
    <w:nsid w:val="B03E0C6"/>
    <w:multiLevelType w:val="hybridMultilevel"/>
    <w:lvl w:ilvl="0">
      <w:lvlJc w:val="left"/>
      <w:lvlText w:val=" "/>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Roman"/>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6"/>
    </w:lvl>
  </w:abstractNum>
  <w:abstractNum w:abstractNumId="20">
    <w:nsid w:val="3006C83E"/>
    <w:multiLevelType w:val="hybridMultilevel"/>
    <w:lvl w:ilvl="0">
      <w:lvlJc w:val="left"/>
      <w:lvlText w:val="1"/>
      <w:numFmt w:val="bullet"/>
      <w:start w:val="1"/>
    </w:lvl>
  </w:abstractNum>
  <w:abstractNum w:abstractNumId="21">
    <w:nsid w:val="614FD4A1"/>
    <w:multiLevelType w:val="hybridMultilevel"/>
    <w:lvl w:ilvl="0">
      <w:lvlJc w:val="left"/>
      <w:lvlText w:val="2"/>
      <w:numFmt w:val="bullet"/>
      <w:start w:val="1"/>
    </w:lvl>
  </w:abstractNum>
  <w:abstractNum w:abstractNumId="22">
    <w:nsid w:val="419AC241"/>
    <w:multiLevelType w:val="hybridMultilevel"/>
    <w:lvl w:ilvl="0">
      <w:lvlJc w:val="left"/>
      <w:lvlText w:val="3"/>
      <w:numFmt w:val="bullet"/>
      <w:start w:val="1"/>
    </w:lvl>
  </w:abstractNum>
  <w:abstractNum w:abstractNumId="23">
    <w:nsid w:val="5577F8E1"/>
    <w:multiLevelType w:val="hybridMultilevel"/>
    <w:lvl w:ilvl="0">
      <w:lvlJc w:val="left"/>
      <w:lvlText w:val="4"/>
      <w:numFmt w:val="bullet"/>
      <w:start w:val="1"/>
    </w:lvl>
  </w:abstractNum>
  <w:abstractNum w:abstractNumId="24">
    <w:nsid w:val="440BADFC"/>
    <w:multiLevelType w:val="hybridMultilevel"/>
    <w:lvl w:ilvl="0">
      <w:lvlJc w:val="left"/>
      <w:lvlText w:val="%1."/>
      <w:numFmt w:val="decimal"/>
    </w:lvl>
    <w:lvl w:ilvl="1">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5"/>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7"/>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2025-04-29T15:41:34Z</dcterms:created>
  <dcterms:modified xsi:type="dcterms:W3CDTF">2025-04-29T15:41:34Z</dcterms:modified>
</cp:coreProperties>
</file>