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523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523990"/>
                    </a:xfrm>
                    <a:prstGeom prst="rect">
                      <a:avLst/>
                    </a:prstGeom>
                    <a:noFill/>
                  </pic:spPr>
                </pic:pic>
              </a:graphicData>
            </a:graphic>
          </wp:anchor>
        </w:drawing>
      </w:r>
    </w:p>
    <w:p>
      <w:pPr>
        <w:spacing w:after="0" w:line="50" w:lineRule="exact"/>
        <w:rPr>
          <w:sz w:val="24"/>
          <w:szCs w:val="24"/>
          <w:color w:val="auto"/>
        </w:rPr>
      </w:pPr>
    </w:p>
    <w:p>
      <w:pPr>
        <w:sectPr>
          <w:pgSz w:w="11900" w:h="16840"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Aquila Tony</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06/21/2022</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44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24"/>
                <w:szCs w:val="24"/>
                <w:color w:val="auto"/>
              </w:rPr>
            </w:pPr>
          </w:p>
        </w:tc>
        <w:tc>
          <w:tcPr>
            <w:tcW w:w="1220" w:type="dxa"/>
            <w:vAlign w:val="bottom"/>
            <w:gridSpan w:val="2"/>
          </w:tcPr>
          <w:p>
            <w:pPr>
              <w:ind w:left="1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3"/>
              </w:rPr>
              <w:t>41,493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1,321,773</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2,500,000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1,100,000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50,000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50,000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50,000</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underlying restricted stock units ("RSUs"). Each RSU represents the contingent right to receive one share of the Issuer's Common Stock. The RSUs will fully vest on the earlier of June 21, 2023 or the date of the Issuer's next annual meeting of stockholders, subject to acceleration, and subject to the Reporting Person's Continuous Service (as defined in the Issuer's 2021 Equity Incentive Plan) through such vesting date.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AFV Partners SPV-5 (WM) LLC ("AFV 5"). Reporting Person is the Chairman and CEO of AFV Partners LLC, which exercises ultimate voting and investment power with respect to the shares held by AFV 5. Reporting Person disclaims beneficial ownership of these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AFV Partners SPV-6 (WM) LLC ("AFV 6"). Reporting Person is the Chairman and CEO of AFV Partners LLC, which exercises ultimate voting and investment power with respect to the shares held by AFV 6. Reporting Person disclaims beneficial ownership of these shares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Aquila 2007 Irrevocable Trust U/A FBO Elliott Aquila DTD 05/10/2007 (the "Elliott Trust"). Reporting Person is a co-trustee of the Elliot Trust and as such may be deemed to hold voting and dispositive power with respect to the shares held in the Elliott Trust.</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Aquila 2007 Irrevocable Trust U/A FBO Cecily Aquila DTD 05/10/2007 (the "Cecily Trust"). Reporting Person is a co-trustee of the Cecily Trust and as such may be deemed to hold voting and dispositive power with respect to the shares held in the Cecily Trust.</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directly by Aquila 2007 Irrevocable Trust U/A FBO Christopher Aquila DTD 05/10/2007 (the "Christopher Trust"). Reporting Person is a co-trustee of the Christopher Trust and as such may be deemed to hold voting and dispositive power with respect to the shares held in the Christopher Trust.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Tony Aquila, by /s/ Ron 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06/23/2022</w:t>
            </w:r>
          </w:p>
        </w:tc>
        <w:tc>
          <w:tcPr>
            <w:tcW w:w="0" w:type="dxa"/>
            <w:vAlign w:val="bottom"/>
          </w:tcPr>
          <w:p>
            <w:pPr>
              <w:spacing w:after="0"/>
              <w:rPr>
                <w:sz w:val="1"/>
                <w:szCs w:val="1"/>
                <w:color w:val="auto"/>
              </w:rPr>
            </w:pPr>
          </w:p>
        </w:tc>
      </w:tr>
      <w:tr>
        <w:trPr>
          <w:trHeight w:val="87"/>
        </w:trPr>
        <w:tc>
          <w:tcPr>
            <w:tcW w:w="18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Metzger, Attorney-in-Fact</w:t>
            </w:r>
          </w:p>
        </w:tc>
        <w:tc>
          <w:tcPr>
            <w:tcW w:w="4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top w:val="single" w:sz="8" w:color="auto"/>
              <w:bottom w:val="single" w:sz="8" w:color="auto"/>
            </w:tcBorders>
            <w:vMerge w:val="continue"/>
          </w:tcPr>
          <w:p>
            <w:pPr>
              <w:spacing w:after="0"/>
              <w:rPr>
                <w:sz w:val="7"/>
                <w:szCs w:val="7"/>
                <w:color w:val="auto"/>
              </w:rPr>
            </w:pPr>
          </w:p>
        </w:tc>
        <w:tc>
          <w:tcPr>
            <w:tcW w:w="4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40"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9905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2022-06-23T16:37:14Z</dcterms:created>
  <dcterms:modified xsi:type="dcterms:W3CDTF">2022-06-23T16:37:14Z</dcterms:modified>
</cp:coreProperties>
</file>