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0"/>
          <w:szCs w:val="20"/>
          <w:color w:val="auto"/>
        </w:rPr>
        <w:t>Filed by Silver Spike Acquisition Corp.</w:t>
      </w:r>
    </w:p>
    <w:p>
      <w:pPr>
        <w:jc w:val="right"/>
        <w:spacing w:after="0" w:line="225" w:lineRule="auto"/>
        <w:rPr>
          <w:sz w:val="20"/>
          <w:szCs w:val="20"/>
          <w:color w:val="auto"/>
        </w:rPr>
      </w:pPr>
      <w:r>
        <w:rPr>
          <w:rFonts w:ascii="Arial" w:cs="Arial" w:eastAsia="Arial" w:hAnsi="Arial"/>
          <w:sz w:val="20"/>
          <w:szCs w:val="20"/>
          <w:color w:val="auto"/>
        </w:rPr>
        <w:t>pursuant to Rule 425 under the Securities Act of 1933</w:t>
      </w:r>
    </w:p>
    <w:p>
      <w:pPr>
        <w:jc w:val="right"/>
        <w:spacing w:after="0" w:line="225" w:lineRule="auto"/>
        <w:rPr>
          <w:sz w:val="20"/>
          <w:szCs w:val="20"/>
          <w:color w:val="auto"/>
        </w:rPr>
      </w:pPr>
      <w:r>
        <w:rPr>
          <w:rFonts w:ascii="Arial" w:cs="Arial" w:eastAsia="Arial" w:hAnsi="Arial"/>
          <w:sz w:val="20"/>
          <w:szCs w:val="20"/>
          <w:color w:val="auto"/>
        </w:rPr>
        <w:t>and deemed filed pursuant to Rule 14a-12</w:t>
      </w:r>
    </w:p>
    <w:p>
      <w:pPr>
        <w:jc w:val="right"/>
        <w:spacing w:after="0" w:line="226" w:lineRule="auto"/>
        <w:rPr>
          <w:sz w:val="20"/>
          <w:szCs w:val="20"/>
          <w:color w:val="auto"/>
        </w:rPr>
      </w:pPr>
      <w:r>
        <w:rPr>
          <w:rFonts w:ascii="Arial" w:cs="Arial" w:eastAsia="Arial" w:hAnsi="Arial"/>
          <w:sz w:val="20"/>
          <w:szCs w:val="20"/>
          <w:color w:val="auto"/>
        </w:rPr>
        <w:t>under the Securities Exchange Act of 1934</w:t>
      </w:r>
    </w:p>
    <w:p>
      <w:pPr>
        <w:jc w:val="right"/>
        <w:spacing w:after="0" w:line="225" w:lineRule="auto"/>
        <w:rPr>
          <w:sz w:val="20"/>
          <w:szCs w:val="20"/>
          <w:color w:val="auto"/>
        </w:rPr>
      </w:pPr>
      <w:r>
        <w:rPr>
          <w:rFonts w:ascii="Arial" w:cs="Arial" w:eastAsia="Arial" w:hAnsi="Arial"/>
          <w:sz w:val="20"/>
          <w:szCs w:val="20"/>
          <w:color w:val="auto"/>
        </w:rPr>
        <w:t>Subject Company: Silver Spike Acquisition Corp.</w:t>
      </w:r>
    </w:p>
    <w:p>
      <w:pPr>
        <w:jc w:val="right"/>
        <w:spacing w:after="0" w:line="226" w:lineRule="auto"/>
        <w:rPr>
          <w:sz w:val="20"/>
          <w:szCs w:val="20"/>
          <w:color w:val="auto"/>
        </w:rPr>
      </w:pPr>
      <w:r>
        <w:rPr>
          <w:rFonts w:ascii="Arial" w:cs="Arial" w:eastAsia="Arial" w:hAnsi="Arial"/>
          <w:sz w:val="20"/>
          <w:szCs w:val="20"/>
          <w:color w:val="auto"/>
        </w:rPr>
        <w:t>Commission File No. 001-39021</w:t>
      </w:r>
    </w:p>
    <w:p>
      <w:pPr>
        <w:jc w:val="right"/>
        <w:spacing w:after="0"/>
        <w:rPr>
          <w:sz w:val="20"/>
          <w:szCs w:val="20"/>
          <w:color w:val="auto"/>
        </w:rPr>
      </w:pPr>
      <w:r>
        <w:rPr>
          <w:rFonts w:ascii="Arial" w:cs="Arial" w:eastAsia="Arial" w:hAnsi="Arial"/>
          <w:sz w:val="20"/>
          <w:szCs w:val="20"/>
          <w:color w:val="auto"/>
        </w:rPr>
        <w:t>Date: December 10, 2020</w:t>
      </w:r>
    </w:p>
    <w:p>
      <w:pPr>
        <w:spacing w:after="0" w:line="188" w:lineRule="exact"/>
        <w:rPr>
          <w:sz w:val="24"/>
          <w:szCs w:val="24"/>
          <w:color w:val="auto"/>
        </w:rPr>
      </w:pPr>
    </w:p>
    <w:p>
      <w:pPr>
        <w:spacing w:after="0"/>
        <w:rPr>
          <w:sz w:val="20"/>
          <w:szCs w:val="20"/>
          <w:color w:val="auto"/>
        </w:rPr>
      </w:pPr>
      <w:r>
        <w:rPr>
          <w:rFonts w:ascii="Arial" w:cs="Arial" w:eastAsia="Arial" w:hAnsi="Arial"/>
          <w:sz w:val="20"/>
          <w:szCs w:val="20"/>
          <w:color w:val="auto"/>
        </w:rPr>
        <w:t>The following is a transcript of an interview Chris Beals, the Chief Executive Officer of WM Holding Company, LLC, gave to</w:t>
      </w:r>
    </w:p>
    <w:p>
      <w:pPr>
        <w:spacing w:after="0"/>
        <w:rPr>
          <w:sz w:val="20"/>
          <w:szCs w:val="20"/>
          <w:color w:val="auto"/>
        </w:rPr>
      </w:pPr>
      <w:r>
        <w:rPr>
          <w:rFonts w:ascii="Arial" w:cs="Arial" w:eastAsia="Arial" w:hAnsi="Arial"/>
          <w:sz w:val="20"/>
          <w:szCs w:val="20"/>
          <w:color w:val="auto"/>
        </w:rPr>
        <w:t>Cheddar TV:</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PRESENTATION</w:t>
      </w:r>
    </w:p>
    <w:p>
      <w:pPr>
        <w:spacing w:after="0" w:line="20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Nora Ali</w:t>
      </w:r>
    </w:p>
    <w:p>
      <w:pPr>
        <w:spacing w:after="0" w:line="10" w:lineRule="exact"/>
        <w:rPr>
          <w:sz w:val="24"/>
          <w:szCs w:val="24"/>
          <w:color w:val="auto"/>
        </w:rPr>
      </w:pPr>
    </w:p>
    <w:p>
      <w:pPr>
        <w:jc w:val="both"/>
        <w:spacing w:after="0" w:line="232" w:lineRule="auto"/>
        <w:rPr>
          <w:sz w:val="20"/>
          <w:szCs w:val="20"/>
          <w:color w:val="auto"/>
        </w:rPr>
      </w:pPr>
      <w:r>
        <w:rPr>
          <w:rFonts w:ascii="Arial" w:cs="Arial" w:eastAsia="Arial" w:hAnsi="Arial"/>
          <w:sz w:val="20"/>
          <w:szCs w:val="20"/>
          <w:color w:val="auto"/>
        </w:rPr>
        <w:t>Meanwhile, cannabis review site Weedmaps is getting ready for its Wall Street close-up, announcing today it has agreed to go public via a special-purpose acquisition company. The deal values its parent company, WM Holding Company, at about $1.5 billion, and comes amid growing interest in new policies surrounding cannabis in the U.S.</w:t>
      </w:r>
    </w:p>
    <w:p>
      <w:pPr>
        <w:spacing w:after="0" w:line="197" w:lineRule="exact"/>
        <w:rPr>
          <w:sz w:val="24"/>
          <w:szCs w:val="24"/>
          <w:color w:val="auto"/>
        </w:rPr>
      </w:pPr>
    </w:p>
    <w:p>
      <w:pPr>
        <w:spacing w:after="0"/>
        <w:rPr>
          <w:sz w:val="20"/>
          <w:szCs w:val="20"/>
          <w:color w:val="auto"/>
        </w:rPr>
      </w:pPr>
      <w:r>
        <w:rPr>
          <w:rFonts w:ascii="Arial" w:cs="Arial" w:eastAsia="Arial" w:hAnsi="Arial"/>
          <w:sz w:val="20"/>
          <w:szCs w:val="20"/>
          <w:color w:val="auto"/>
        </w:rPr>
        <w:t>Joining us now for more on the story is Cheddar's cannabis reporter, Chloe Aiello. Chloe, over to you.</w:t>
      </w:r>
    </w:p>
    <w:p>
      <w:pPr>
        <w:spacing w:after="0" w:line="178"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4"/>
          <w:szCs w:val="24"/>
          <w:color w:val="auto"/>
        </w:rPr>
      </w:pPr>
    </w:p>
    <w:p>
      <w:pPr>
        <w:jc w:val="both"/>
        <w:spacing w:after="0" w:line="232" w:lineRule="auto"/>
        <w:rPr>
          <w:sz w:val="20"/>
          <w:szCs w:val="20"/>
          <w:color w:val="auto"/>
        </w:rPr>
      </w:pPr>
      <w:r>
        <w:rPr>
          <w:rFonts w:ascii="Arial" w:cs="Arial" w:eastAsia="Arial" w:hAnsi="Arial"/>
          <w:sz w:val="20"/>
          <w:szCs w:val="20"/>
          <w:color w:val="auto"/>
        </w:rPr>
        <w:t>Hey, Nora. Well, I'm joined now by Chris Beals. He's the CEO of WM Holdings. Chris, thank you so much for joining us today. Tell us, so we know SPACs are growing in popularity and not just in cannabis. So why have you chosen this buzzy route to the public market?</w:t>
      </w:r>
    </w:p>
    <w:p>
      <w:pPr>
        <w:spacing w:after="0" w:line="17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4"/>
          <w:szCs w:val="24"/>
          <w:color w:val="auto"/>
        </w:rPr>
      </w:pPr>
    </w:p>
    <w:p>
      <w:pPr>
        <w:jc w:val="both"/>
        <w:spacing w:after="0" w:line="230" w:lineRule="auto"/>
        <w:rPr>
          <w:sz w:val="20"/>
          <w:szCs w:val="20"/>
          <w:color w:val="auto"/>
        </w:rPr>
      </w:pPr>
      <w:r>
        <w:rPr>
          <w:rFonts w:ascii="Arial" w:cs="Arial" w:eastAsia="Arial" w:hAnsi="Arial"/>
          <w:sz w:val="20"/>
          <w:szCs w:val="20"/>
          <w:color w:val="auto"/>
        </w:rPr>
        <w:t>Yeah, I think for us, given the fact that we've driven a 40% CAGR over the last five years, we've always been profitable. We're on track to hit $160 million in revenue. You know, I think we had options that were before us. But the reality is we're a tech and SaaS provider. We provide this business-in-a-box software in an incredibly complex industry. The regulations are complex in cannabis, the end market dynamics are complex.</w:t>
      </w:r>
    </w:p>
    <w:p>
      <w:pPr>
        <w:spacing w:after="0" w:line="198" w:lineRule="exact"/>
        <w:rPr>
          <w:sz w:val="24"/>
          <w:szCs w:val="24"/>
          <w:color w:val="auto"/>
        </w:rPr>
      </w:pPr>
    </w:p>
    <w:p>
      <w:pPr>
        <w:jc w:val="both"/>
        <w:spacing w:after="0" w:line="229" w:lineRule="auto"/>
        <w:rPr>
          <w:sz w:val="20"/>
          <w:szCs w:val="20"/>
          <w:color w:val="auto"/>
        </w:rPr>
      </w:pPr>
      <w:r>
        <w:rPr>
          <w:rFonts w:ascii="Arial" w:cs="Arial" w:eastAsia="Arial" w:hAnsi="Arial"/>
          <w:sz w:val="20"/>
          <w:szCs w:val="20"/>
          <w:color w:val="auto"/>
        </w:rPr>
        <w:t>And one of the advantages that I don't know is always talked about that much about the SPAC process is it affords you to have a more extended conversation with potential investors and, frankly, to curate investors who are in on the story a little more tightly. And that was something that was important to us because I think, one, what we're building and where we're going is complex. But two, I think given the fact that we are still emerging from some of the stigma that permeates around cannabis, I think it was really important to us to make sure that we had a bellwether investor base in on this story and supportive of where we were going.</w:t>
      </w:r>
    </w:p>
    <w:p>
      <w:pPr>
        <w:spacing w:after="0" w:line="171"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4"/>
          <w:szCs w:val="24"/>
          <w:color w:val="auto"/>
        </w:rPr>
      </w:pPr>
    </w:p>
    <w:p>
      <w:pPr>
        <w:jc w:val="both"/>
        <w:spacing w:after="0" w:line="236" w:lineRule="auto"/>
        <w:rPr>
          <w:sz w:val="20"/>
          <w:szCs w:val="20"/>
          <w:color w:val="auto"/>
        </w:rPr>
      </w:pPr>
      <w:r>
        <w:rPr>
          <w:rFonts w:ascii="Arial" w:cs="Arial" w:eastAsia="Arial" w:hAnsi="Arial"/>
          <w:sz w:val="20"/>
          <w:szCs w:val="20"/>
          <w:color w:val="auto"/>
        </w:rPr>
        <w:t>And it's been a very tumultuous 12 to 18 months on the markets for cannabis companies. Now you did mention you are not plant touching, so how do you think that positions you to weather future volatility in the markets?</w:t>
      </w:r>
    </w:p>
    <w:p>
      <w:pPr>
        <w:spacing w:after="0" w:line="172"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4"/>
          <w:szCs w:val="24"/>
          <w:color w:val="auto"/>
        </w:rPr>
      </w:pPr>
    </w:p>
    <w:p>
      <w:pPr>
        <w:jc w:val="both"/>
        <w:spacing w:after="0" w:line="232" w:lineRule="auto"/>
        <w:rPr>
          <w:sz w:val="20"/>
          <w:szCs w:val="20"/>
          <w:color w:val="auto"/>
        </w:rPr>
      </w:pPr>
      <w:r>
        <w:rPr>
          <w:rFonts w:ascii="Arial" w:cs="Arial" w:eastAsia="Arial" w:hAnsi="Arial"/>
          <w:sz w:val="20"/>
          <w:szCs w:val="20"/>
          <w:color w:val="auto"/>
        </w:rPr>
        <w:t>Yeah. You know, for us when you think about sort of where we go and how we are structured, I mean on the marketplace side we have over 10 million users. Over 90% of our users are monthly cannabis consumers, over 70% are daily users. And frankly, we're not just providing a</w:t>
      </w:r>
    </w:p>
    <w:p>
      <w:pPr>
        <w:spacing w:after="0" w:line="30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ind w:left="11100"/>
        <w:spacing w:after="0"/>
        <w:rPr>
          <w:sz w:val="20"/>
          <w:szCs w:val="20"/>
          <w:color w:val="auto"/>
        </w:rPr>
      </w:pPr>
      <w:r>
        <w:rPr>
          <w:rFonts w:ascii="Arial" w:cs="Arial" w:eastAsia="Arial" w:hAnsi="Arial"/>
          <w:sz w:val="18"/>
          <w:szCs w:val="18"/>
          <w:color w:val="auto"/>
        </w:rPr>
        <w:t>1</w:t>
      </w:r>
    </w:p>
    <w:p>
      <w:pPr>
        <w:spacing w:after="0" w:line="10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marketplace for them to find cannabis. We've done a bunch of work providing the actual data. We ingest most--data from most of the third-party POSs, the major ones. We have our own POS solution. And so we've actually built that marketplace and built the data that goes within it that enables it to be transactable. And we see that with almost a 15% conversion rate.</w:t>
      </w:r>
    </w:p>
    <w:p>
      <w:pPr>
        <w:spacing w:after="0" w:line="197"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You know, so I think part of where we get our shielding from volatility is just we provide a critical service there. Similarly, on the WM business SaaS solution set, building compliance by design into that, it's the same thing. I think it's filling a really critical need, and that shields us. You know, I think as you noted and you know all too well, I think the last few years for cannabis have been marked by I think much slower growth at a macro level than a lot of people thought would exist. And so this 40% CAGR we've driven has been in the face of, frankly, the larger cannabis market not growing extremely quickly.</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But that being said, I think there's a lot of reason for excitement coming out of this November election. I think this was by far the most momentous election we've ever seen for cannabis legalization. Six ballot initiatives, five states, all overwhelmingly passing. And a number of these states that are open but don't have enough retail licenses have a number of local ballot initiatives where we're going to see--or we would expect to see an increase in the number of licenses in these states that have opened, but have not truly opened in terms of having retail availability.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Certainly. And you mentioned the election. Also, we just got news that the U.S. House of Representatives voted in favor of the MORE Act. Did any of these decisions factor into your decision to go public, and why was now the right time?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Yeah. You know, this is something we've been thinking about and looking at for quite some time. I think, look, the MORE Act is definitely symbolic of what we see as this acceleration going forward. But in terms of what drove our decision here, as we have scaled out this business in a box, as we built the logistics and driver tracking and dispatch solutions, the POS solution, we have an e-commerce Shopify type embed, the power compliant orders for retailer sites; we've increasingly been able to get to market faster and faster. That's a good thing. In fact, that's a great thing, but it does put resource pressure on us that we can build so much more. And so we've always been hungry for resources there.</w:t>
      </w:r>
    </w:p>
    <w:p>
      <w:pPr>
        <w:spacing w:after="0" w:line="19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But I think you hit on something really critical which is that with this election, with these new states coming online, we want to make sure that we have the dry powder and capital to aggressively attack those markets and make sure that we aren't just getting adoption of single pieces of the platform, but frankly as much of the platform as rapidly adopted as possible. Of course, while we're talking about the U.S., there's a ton of international expansion we're seeing as well.</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Now, earlier this year we did learn that a federal grand jury subpoena had been served to Weedmaps' parent company. It's reportedly concerning Weedmaps' former practice of listing illicit cannabis dispensaries on its platform. Now, it's been several months since we've heard much about that. What can you tell us about the status of that investigation?</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 w:name="page3"/>
    <w:bookmarkEnd w:id="2"/>
    <w:p>
      <w:pPr>
        <w:ind w:left="11100"/>
        <w:spacing w:after="0"/>
        <w:rPr>
          <w:sz w:val="20"/>
          <w:szCs w:val="20"/>
          <w:color w:val="auto"/>
        </w:rPr>
      </w:pPr>
      <w:r>
        <w:rPr>
          <w:rFonts w:ascii="Arial" w:cs="Arial" w:eastAsia="Arial" w:hAnsi="Arial"/>
          <w:sz w:val="18"/>
          <w:szCs w:val="18"/>
          <w:color w:val="auto"/>
        </w:rPr>
        <w:t>2</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Yeah. Well, we don't comment on specific legal matters, as you can imagine, as sort of the largest technology company serving this highly regulated space. We do get inquiries from time to time, but that being said since I came in as CEO almost two years ago, we've really invested heavily in sort of compliance in a number of ways. One, building compliance by design directly into the software, so enabling these businesses to frankly cost-effectively meet the requirements that are pushed on them to be able to operate. Things like reporting inventory to the state, that sort of thing.</w:t>
      </w:r>
    </w:p>
    <w:p>
      <w:pPr>
        <w:spacing w:after="0" w:line="199"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But also we did something really notable, and that's something I'm very proud of, which is to my knowledge I think we're one of the only marketplaces that has an enhanced verification process for all businesses who want to be on the site. And that's something that I think is notable in the face of others like Google or Facebook who have, for instance, just relied on Section 230 and not had a verification process for businesses on the site.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Now, we know Weedmaps is on track to deliver $160 million in revenue. What does that tell you about the opportunities that there are currently in the cannabis industry?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Chris Beals</w:t>
      </w:r>
    </w:p>
    <w:p>
      <w:pPr>
        <w:spacing w:after="0" w:line="10"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Yeah. You know, the cannabis industry itself, I think there's a lot of room for growth within the current footprint where we currently sit. You know, we're offering this business-in-a-box bundle for $500. That's far less than it would cost to try and obtain the individual pieces on their own. Or often there aren't analog pieces out there. But separately, you know, I think what we are seeing across the marketplace side is at this point, we're delivering far cheaper sort of demand generation, $0.50 cost per click, almost a 15% conversion rate.</w:t>
      </w:r>
    </w:p>
    <w:p>
      <w:pPr>
        <w:spacing w:after="0" w:line="199"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And with COVID, one of the things that we've seen is consumers potentially being willing to transact more online, but definitely needing more data. And that's why we've invested so heavily in sort of data normalization and machine learning to try and match as rich of a set of brand data, crowdsourcing, user effect, smell, taste data into that, to try and make what is frankly a really complex essentially pharmaceutical good somewhat approachable to a user base, whether they be new to cannabis or they be this less than 10% of the population that consume monthly.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Chloe Aiello</w:t>
      </w:r>
    </w:p>
    <w:p>
      <w:pPr>
        <w:spacing w:after="0" w:line="1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Chris, thank you so much for sharing your insights with us at this exciting time for Weedmaps. That is Chris Beals; he's the CEO of WM holdings. Nora?</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Nora Ali</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All right, great stuff. That's Cheddar cannabis reporter Chloe Aiello. Great interview there, Chloe.</w:t>
      </w:r>
    </w:p>
    <w:p>
      <w:pPr>
        <w:spacing w:after="0" w:line="202"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interview is provided for informational purposes only and has been prepared to assist interested parties in making their own evaluation with respect to a potential business combination (the “proposed business combination”) between WM Holding Company, LLC (“WMH”) and Silver Spike Acquisition Corp. (“Silver Spike”) and related transactions and for no other purpose.</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 w:name="page4"/>
    <w:bookmarkEnd w:id="3"/>
    <w:p>
      <w:pPr>
        <w:ind w:left="11100"/>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 Looking Statements</w:t>
      </w:r>
    </w:p>
    <w:p>
      <w:pPr>
        <w:spacing w:after="0" w:line="226"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This interview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WM's go-to-market strategy, and expectations related to the terms and timing of the transaction. These statements are based on various assumptions, whether or not identified in this interview, and on the current expectations of WM’s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 future global, regional or local economic and market conditions affecting the cannabis industry; the development, effects and enforcement of laws and regulations, including with respect to the cannabis industry; WM’s ability to successfully capitalize on new and existing cannabis markets, including its ability to successfully monetize its solutions in those markets; WM’s ability to manage future growth; WM’s ability to develop new products and solutions, bring them to market in a timely manner, and make enhancements to its platform and WM’s ability to maintain and grow its two sided digital network, including its ability to acquire and retain paying customers; the effects of competition on WM’s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2019 and Quarterly Report on Form 10-Q for the quarter ended September 30, 2020,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WM’s expectations, plans or forecasts of future events and views as of the date of this presentation. Silver Spike and WMH anticipate that subsequent events and developments will cause Silver Spike’s and WMH’s assessments to change. However, while Silver Spike and WMH may elect to update these forward-looking statements at some point in the future, Silver Spike and WMH specifically</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 w:name="page5"/>
    <w:bookmarkEnd w:id="4"/>
    <w:p>
      <w:pPr>
        <w:ind w:left="11100"/>
        <w:spacing w:after="0"/>
        <w:rPr>
          <w:sz w:val="20"/>
          <w:szCs w:val="20"/>
          <w:color w:val="auto"/>
        </w:rPr>
      </w:pPr>
      <w:r>
        <w:rPr>
          <w:rFonts w:ascii="Arial" w:cs="Arial" w:eastAsia="Arial" w:hAnsi="Arial"/>
          <w:sz w:val="18"/>
          <w:szCs w:val="18"/>
          <w:color w:val="auto"/>
        </w:rPr>
        <w:t>4</w:t>
      </w:r>
    </w:p>
    <w:p>
      <w:pPr>
        <w:spacing w:after="0" w:line="101"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disclaim any obligation to do so. These forward-looking statements should not be relied upon as representing Silver Spike’s and WM’s assessments as of any date subsequent to the date of this interview. Accordingly, undue reliance should not be placed upon the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About the Proposed Business Combination and Where To Find It</w:t>
      </w:r>
    </w:p>
    <w:p>
      <w:pPr>
        <w:spacing w:after="0" w:line="226"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In connection with the proposed extension of the date by which Silver Spike must consummate an initial business combination, Silver Spike filed with the SEC a proxy statement, dated December 10, 2020 (the “Extension Proxy Statement”).</w:t>
      </w:r>
    </w:p>
    <w:p>
      <w:pPr>
        <w:spacing w:after="0" w:line="196" w:lineRule="exact"/>
        <w:rPr>
          <w:sz w:val="20"/>
          <w:szCs w:val="20"/>
          <w:color w:val="auto"/>
        </w:rPr>
      </w:pPr>
    </w:p>
    <w:p>
      <w:pPr>
        <w:jc w:val="both"/>
        <w:spacing w:after="0" w:line="226" w:lineRule="auto"/>
        <w:rPr>
          <w:sz w:val="20"/>
          <w:szCs w:val="20"/>
          <w:color w:val="auto"/>
        </w:rPr>
      </w:pPr>
      <w:r>
        <w:rPr>
          <w:rFonts w:ascii="Arial" w:cs="Arial" w:eastAsia="Arial" w:hAnsi="Arial"/>
          <w:sz w:val="20"/>
          <w:szCs w:val="20"/>
          <w:color w:val="auto"/>
        </w:rPr>
        <w:t>The proposed business combination will be submitted to shareholders of Silver Spike for their consideration. Silver Spike intends to file a registration statement on Form S-4 (the “Registration Statement”) with the SEC which will include preliminary and definitive proxy statements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After the Registration Statement has been filed and declared effective, Silver Spike will mail a definitive proxy statement and other relevant documents to its shareholders as of the record date established for voting on the proposed business combination. Silver Spike's shareholders and other interested persons are advised to read, once available, the Extension Proxy Statement, the preliminary proxy statement / prospectus and any amendments thereto and, once available, the definitive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preliminary or definitive Extension Proxy Statement or proxy statement, once available, as well as other documents filed with the SEC regarding the proposed business combination and other documents filed with the SEC by Silver Spike, without charge, at the SEC's website located at www.sec.gov or by directing a request to 660 Madison Ave Suite 1600, New York, NY 10065 or notices@silverspikecap.com.</w:t>
      </w:r>
    </w:p>
    <w:p>
      <w:pPr>
        <w:spacing w:after="0" w:line="207"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the Solicitation</w:t>
      </w:r>
    </w:p>
    <w:p>
      <w:pPr>
        <w:spacing w:after="0" w:line="22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will be set forth in Silver Spike’s proxy statement / prospectus when it is filed with the SEC. You can find more information about Silver Spike’s directors and executive officers in Silver Spike’s final prospectus dated August 7, 2019 and filed with the SEC</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 w:name="page6"/>
    <w:bookmarkEnd w:id="5"/>
    <w:p>
      <w:pPr>
        <w:ind w:left="11100"/>
        <w:spacing w:after="0"/>
        <w:rPr>
          <w:sz w:val="20"/>
          <w:szCs w:val="20"/>
          <w:color w:val="auto"/>
        </w:rPr>
      </w:pPr>
      <w:r>
        <w:rPr>
          <w:rFonts w:ascii="Arial" w:cs="Arial" w:eastAsia="Arial" w:hAnsi="Arial"/>
          <w:sz w:val="18"/>
          <w:szCs w:val="18"/>
          <w:color w:val="auto"/>
        </w:rPr>
        <w:t>5</w:t>
      </w:r>
    </w:p>
    <w:p>
      <w:pPr>
        <w:spacing w:after="0" w:line="10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on August 9, 2019. Additional information regarding the participants in Silver Spike’s Extension Proxy Statement and also will be included in the proxy solicitation and a description of their direct and indirect interests will be included in the proxy statement / prospectus when it becomes available. Shareholders,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26"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This interview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Weedmaps_Weedmaps with Cheddar TV</w:t>
      </w:r>
    </w:p>
    <w:p>
      <w:pPr>
        <w:jc w:val="right"/>
        <w:spacing w:after="0"/>
        <w:rPr>
          <w:sz w:val="20"/>
          <w:szCs w:val="20"/>
          <w:color w:val="auto"/>
        </w:rPr>
      </w:pPr>
      <w:r>
        <w:rPr>
          <w:rFonts w:ascii="Arial" w:cs="Arial" w:eastAsia="Arial" w:hAnsi="Arial"/>
          <w:sz w:val="18"/>
          <w:szCs w:val="18"/>
          <w:color w:val="auto"/>
        </w:rPr>
        <w:t>Thursday, December 10, 2020 - 4:30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2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2020-12-11T06:10:45Z</dcterms:created>
  <dcterms:modified xsi:type="dcterms:W3CDTF">2020-12-11T06:10:45Z</dcterms:modified>
</cp:coreProperties>
</file>