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6"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December 4,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6</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43180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WM Technology,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43180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7372</w:t>
            </w:r>
          </w:p>
        </w:tc>
        <w:tc>
          <w:tcPr>
            <w:tcW w:w="33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196"/>
        </w:trPr>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220" w:type="dxa"/>
            <w:vAlign w:val="bottom"/>
          </w:tcPr>
          <w:p>
            <w:pPr>
              <w:spacing w:after="0"/>
              <w:rPr>
                <w:sz w:val="17"/>
                <w:szCs w:val="17"/>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Classification Code No.)</w:t>
            </w: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4" w:lineRule="exact"/>
        <w:rPr>
          <w:sz w:val="24"/>
          <w:szCs w:val="24"/>
          <w:color w:val="auto"/>
        </w:rPr>
      </w:pPr>
    </w:p>
    <w:p>
      <w:pPr>
        <w:ind w:left="4600" w:hanging="199"/>
        <w:spacing w:after="0"/>
        <w:tabs>
          <w:tab w:leader="none" w:pos="460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Discovery</w:t>
      </w:r>
    </w:p>
    <w:p>
      <w:pPr>
        <w:spacing w:after="0" w:line="28" w:lineRule="exact"/>
        <w:rPr>
          <w:rFonts w:ascii="Times New Roman" w:cs="Times New Roman" w:eastAsia="Times New Roman" w:hAnsi="Times New Roman"/>
          <w:sz w:val="16"/>
          <w:szCs w:val="16"/>
          <w:b w:val="1"/>
          <w:bCs w:val="1"/>
          <w:color w:val="auto"/>
        </w:rPr>
      </w:pPr>
    </w:p>
    <w:p>
      <w:pPr>
        <w:ind w:left="40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Irvine, California 92618</w:t>
      </w:r>
    </w:p>
    <w:p>
      <w:pPr>
        <w:spacing w:after="0" w:line="18" w:lineRule="exact"/>
        <w:rPr>
          <w:rFonts w:ascii="Times New Roman" w:cs="Times New Roman" w:eastAsia="Times New Roman" w:hAnsi="Times New Roman"/>
          <w:sz w:val="16"/>
          <w:szCs w:val="16"/>
          <w:b w:val="1"/>
          <w:bCs w:val="1"/>
          <w:color w:val="auto"/>
        </w:rPr>
      </w:pPr>
    </w:p>
    <w:p>
      <w:pPr>
        <w:ind w:left="41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Tel: (844) 933-3627</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600" w:hanging="199"/>
        <w:spacing w:after="0"/>
        <w:tabs>
          <w:tab w:leader="none" w:pos="46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Discovery</w:t>
      </w:r>
    </w:p>
    <w:p>
      <w:pPr>
        <w:spacing w:after="0" w:line="28" w:lineRule="exact"/>
        <w:rPr>
          <w:rFonts w:ascii="Times New Roman" w:cs="Times New Roman" w:eastAsia="Times New Roman" w:hAnsi="Times New Roman"/>
          <w:sz w:val="16"/>
          <w:szCs w:val="16"/>
          <w:b w:val="1"/>
          <w:bCs w:val="1"/>
          <w:color w:val="auto"/>
        </w:rPr>
      </w:pPr>
    </w:p>
    <w:p>
      <w:pPr>
        <w:ind w:left="4200" w:right="4040" w:hanging="192"/>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Irvine, California 92618 Tel: (844) 933-3627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23495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66040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Dave Peinsipp</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Kristin VanderPas</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Peter Byrne</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Cooley LLP</w:t>
      </w:r>
    </w:p>
    <w:p>
      <w:pPr>
        <w:jc w:val="center"/>
        <w:ind w:right="40"/>
        <w:spacing w:after="0" w:line="218" w:lineRule="auto"/>
        <w:rPr>
          <w:sz w:val="20"/>
          <w:szCs w:val="20"/>
          <w:color w:val="auto"/>
        </w:rPr>
      </w:pPr>
      <w:r>
        <w:rPr>
          <w:rFonts w:ascii="Times New Roman" w:cs="Times New Roman" w:eastAsia="Times New Roman" w:hAnsi="Times New Roman"/>
          <w:sz w:val="16"/>
          <w:szCs w:val="16"/>
          <w:b w:val="1"/>
          <w:bCs w:val="1"/>
          <w:color w:val="auto"/>
        </w:rPr>
        <w:t>3 Embarcadero Center,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0" w:lineRule="exact"/>
        <w:rPr>
          <w:sz w:val="24"/>
          <w:szCs w:val="24"/>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0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4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184785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313690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535"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on July 8, 2021, which was declared effective on July 20,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“Form S-1 Registration Statement”).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Post-Effective Amendment No. 4 to the Form S-3 Registration Statement on Form S-1 was filed by the Company on July 29, 2024 to convert the Form S-3 Registration Statement into a registration statement on Form S-1 (“Post-Effective Amendment No. 4”). Post-Effective Amendment No. 5 (“Post-Effective Amendment No. 5”) was filed by the Company on September 3, 2024 to include our unaudited condensed consolidated financial statements as of and for the three and six months ended June 30, 2024.</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This Post-Effective Amendment No. 6 (“Post-Effective Amendment No. 6”) is being filed to include our unaudited condensed consolidated financial statements as of and for the three and nine months ended September 30, 2024.</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Form S-3 Registration Statement and the prospectus contained therein. No additional securities are being registered under this Post-Effective Amendment No. 6. All applicable registration fees were paid at the time of the original filing of the Form S-1 Registration Statement.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May 24, 2024, the Company filed its Annual Report on Form 10-K for the fiscal year ended December 31, 2023, as amended on August 30, 2024 (the “Annual Report on Form 10-K”) and its Quarterly Report on Form 10-Q for the quarter ended March 31, 2024 (the “Q1 Quarterly Report on Form 10-Q”), on August 8, 2024, the Company filed its Quarterly Report on Form 10-Q for the quarter ended June 30, 2024 (the “Q2 Quarterly Report on Form 10-Q” and on November 12, 2024, the Company filed its Quarterly Report on Form 10-Q for the quarter ended September 30, 2024 (the “Q3 Quarterly Report on Form 10-Q” and together with the Q1 Quarterly Report and Q2 Quarterly Report on Form 10-Q, the “Quarterly Reports on Form 10-Q”). Interested parties should refer to such Annual Report on Form 10-K and the Quarterly Reports on Form 10-Q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362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 — DATED 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242570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Up to 110,898,382 Shares of Class A Common Stock</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Up to 105,014,011 Shares of Class A Common Stock</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Up to 7,000,000 Warrants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191" w:lineRule="exact"/>
        <w:rPr>
          <w:sz w:val="20"/>
          <w:szCs w:val="20"/>
          <w:color w:val="auto"/>
        </w:rPr>
      </w:pPr>
    </w:p>
    <w:p>
      <w:pPr>
        <w:jc w:val="both"/>
        <w:ind w:left="400" w:right="419"/>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w:t>
      </w:r>
    </w:p>
    <w:p>
      <w:pPr>
        <w:spacing w:after="0" w:line="3" w:lineRule="exact"/>
        <w:rPr>
          <w:sz w:val="20"/>
          <w:szCs w:val="20"/>
          <w:color w:val="auto"/>
        </w:rPr>
      </w:pPr>
    </w:p>
    <w:p>
      <w:pPr>
        <w:ind w:left="740" w:hanging="340"/>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 and</w:t>
      </w:r>
    </w:p>
    <w:p>
      <w:pPr>
        <w:spacing w:after="0" w:line="9" w:lineRule="exact"/>
        <w:rPr>
          <w:rFonts w:ascii="Times New Roman" w:cs="Times New Roman" w:eastAsia="Times New Roman" w:hAnsi="Times New Roman"/>
          <w:sz w:val="18"/>
          <w:szCs w:val="18"/>
          <w:color w:val="auto"/>
        </w:rPr>
      </w:pPr>
    </w:p>
    <w:p>
      <w:pPr>
        <w:jc w:val="both"/>
        <w:ind w:left="400" w:right="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79"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November 29, 2024, the closing price of our Class A Common Stock was $1.19 and the closing price for our Public Warrants was $0.0401.</w:t>
      </w:r>
    </w:p>
    <w:p>
      <w:pPr>
        <w:spacing w:after="0" w:line="68"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ii</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5"/>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iii</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tcBorders>
              <w:bottom w:val="single" w:sz="8" w:color="CCEEFF"/>
            </w:tcBorders>
            <w:gridSpan w:val="13"/>
            <w:shd w:val="clear" w:color="auto" w:fill="CCEEFF"/>
          </w:tcPr>
          <w:p>
            <w:pPr>
              <w:spacing w:after="0"/>
              <w:rPr>
                <w:sz w:val="19"/>
                <w:szCs w:val="19"/>
                <w:color w:val="auto"/>
              </w:rPr>
            </w:pPr>
          </w:p>
        </w:tc>
        <w:tc>
          <w:tcPr>
            <w:tcW w:w="180" w:type="dxa"/>
            <w:vAlign w:val="bottom"/>
            <w:tcBorders>
              <w:bottom w:val="single" w:sz="8" w:color="CCEEFF"/>
            </w:tcBorders>
            <w:gridSpan w:val="4"/>
            <w:shd w:val="clear" w:color="auto" w:fill="CCEEFF"/>
          </w:tcPr>
          <w:p>
            <w:pPr>
              <w:spacing w:after="0"/>
              <w:rPr>
                <w:sz w:val="19"/>
                <w:szCs w:val="19"/>
                <w:color w:val="auto"/>
              </w:rPr>
            </w:pPr>
          </w:p>
        </w:tc>
        <w:tc>
          <w:tcPr>
            <w:tcW w:w="10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MARKET INFORMATION FOR COMMON STOCK AND DIVIDEND POLICY</w:t>
            </w:r>
          </w:p>
        </w:tc>
        <w:tc>
          <w:tcPr>
            <w:tcW w:w="2120" w:type="dxa"/>
            <w:vAlign w:val="bottom"/>
            <w:gridSpan w:val="3"/>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tcBorders>
              <w:bottom w:val="single" w:sz="8" w:color="0000EE"/>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11"/>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109</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7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gridSpan w:val="2"/>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114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6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SECURITYHOLDERS</w:t>
            </w:r>
          </w:p>
        </w:tc>
        <w:tc>
          <w:tcPr>
            <w:tcW w:w="1400" w:type="dxa"/>
            <w:vAlign w:val="bottom"/>
            <w:gridSpan w:val="2"/>
          </w:tcPr>
          <w:p>
            <w:pPr>
              <w:spacing w:after="0"/>
              <w:rPr>
                <w:sz w:val="16"/>
                <w:szCs w:val="16"/>
                <w:color w:val="auto"/>
              </w:rPr>
            </w:pP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116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123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131</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136</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080" w:type="dxa"/>
            <w:vAlign w:val="bottom"/>
            <w:gridSpan w:val="14"/>
          </w:tcPr>
          <w:p>
            <w:pPr>
              <w:spacing w:after="0"/>
              <w:rPr>
                <w:sz w:val="16"/>
                <w:szCs w:val="16"/>
                <w:color w:val="auto"/>
              </w:rPr>
            </w:pP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138</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138</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138</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6"/>
                <w:szCs w:val="16"/>
                <w:color w:val="auto"/>
              </w:rPr>
            </w:pPr>
          </w:p>
        </w:tc>
        <w:tc>
          <w:tcPr>
            <w:tcW w:w="28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F-1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II-1</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shd w:val="clear" w:color="auto" w:fill="CCEEFF"/>
          </w:tcPr>
          <w:p>
            <w:pPr>
              <w:spacing w:after="0"/>
              <w:rPr>
                <w:sz w:val="16"/>
                <w:szCs w:val="16"/>
                <w:color w:val="auto"/>
              </w:rPr>
            </w:pP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II-7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550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5509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33" w:lineRule="exact"/>
        <w:rPr>
          <w:sz w:val="20"/>
          <w:szCs w:val="20"/>
          <w:color w:val="auto"/>
        </w:rPr>
      </w:pPr>
    </w:p>
    <w:p>
      <w:pPr>
        <w:ind w:left="1480" w:right="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Issuance of Class A Common Stock 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63" w:lineRule="exact"/>
        <w:rPr>
          <w:sz w:val="20"/>
          <w:szCs w:val="20"/>
          <w:color w:val="auto"/>
        </w:rPr>
      </w:pPr>
    </w:p>
    <w:p>
      <w:pPr>
        <w:ind w:left="148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1280"/>
        <w:spacing w:after="0" w:line="282" w:lineRule="auto"/>
        <w:rPr>
          <w:sz w:val="20"/>
          <w:szCs w:val="20"/>
          <w:color w:val="auto"/>
        </w:rPr>
      </w:pPr>
      <w:r>
        <w:rPr>
          <w:rFonts w:ascii="Times New Roman" w:cs="Times New Roman" w:eastAsia="Times New Roman" w:hAnsi="Times New Roman"/>
          <w:sz w:val="18"/>
          <w:szCs w:val="18"/>
          <w:color w:val="auto"/>
        </w:rPr>
        <w:t>WM Technology, Inc. (f/k/a Silver Spike Acquisition Corp.).</w:t>
      </w:r>
    </w:p>
    <w:p>
      <w:pPr>
        <w:spacing w:after="0" w:line="270"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spacing w:after="0" w:line="25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97,730,177 shares (as of November 29, 2024)</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187,395,243 shares (based on total shares outstanding as of November 29, 2024)</w:t>
      </w:r>
    </w:p>
    <w:p>
      <w:pPr>
        <w:spacing w:after="0" w:line="90" w:lineRule="exact"/>
        <w:rPr>
          <w:sz w:val="20"/>
          <w:szCs w:val="20"/>
          <w:color w:val="auto"/>
        </w:rPr>
      </w:pPr>
    </w:p>
    <w:p>
      <w:pPr>
        <w:sectPr>
          <w:pgSz w:w="11900" w:h="16838" w:orient="portrait"/>
          <w:cols w:equalWidth="0" w:num="2">
            <w:col w:w="5460" w:space="260"/>
            <w:col w:w="5300"/>
          </w:cols>
          <w:pgMar w:left="440" w:top="263"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Exercise Price of Warrants</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Resale of Class A Common Stock and Warrants Shares of Class A Common Stock Offered by the Selling Securityholders</w:t>
      </w:r>
    </w:p>
    <w:p>
      <w:pPr>
        <w:spacing w:after="0" w:line="20" w:lineRule="exact"/>
        <w:rPr>
          <w:sz w:val="20"/>
          <w:szCs w:val="20"/>
          <w:color w:val="auto"/>
        </w:rPr>
      </w:pPr>
      <w:r>
        <w:rPr>
          <w:sz w:val="20"/>
          <w:szCs w:val="20"/>
          <w:color w:val="auto"/>
        </w:rPr>
        <w:br w:type="column"/>
      </w:r>
    </w:p>
    <w:p>
      <w:pPr>
        <w:jc w:val="both"/>
        <w:ind w:right="1300"/>
        <w:spacing w:after="0" w:line="282" w:lineRule="auto"/>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81" w:lineRule="exact"/>
        <w:rPr>
          <w:sz w:val="20"/>
          <w:szCs w:val="20"/>
          <w:color w:val="auto"/>
        </w:rPr>
      </w:pPr>
    </w:p>
    <w:p>
      <w:pPr>
        <w:jc w:val="both"/>
        <w:ind w:right="130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See the section entitled “Use of Proceeds.”</w:t>
      </w:r>
    </w:p>
    <w:p>
      <w:pPr>
        <w:spacing w:after="0" w:line="200" w:lineRule="exact"/>
        <w:rPr>
          <w:sz w:val="20"/>
          <w:szCs w:val="20"/>
          <w:color w:val="auto"/>
        </w:rPr>
      </w:pPr>
    </w:p>
    <w:p>
      <w:pPr>
        <w:spacing w:after="0" w:line="311" w:lineRule="exact"/>
        <w:rPr>
          <w:sz w:val="20"/>
          <w:szCs w:val="20"/>
          <w:color w:val="auto"/>
        </w:rPr>
      </w:pPr>
    </w:p>
    <w:p>
      <w:pPr>
        <w:jc w:val="both"/>
        <w:ind w:right="1300"/>
        <w:spacing w:after="0" w:line="257" w:lineRule="auto"/>
        <w:rPr>
          <w:sz w:val="20"/>
          <w:szCs w:val="20"/>
          <w:color w:val="auto"/>
        </w:rPr>
      </w:pPr>
      <w:r>
        <w:rPr>
          <w:rFonts w:ascii="Times New Roman" w:cs="Times New Roman" w:eastAsia="Times New Roman" w:hAnsi="Times New Roman"/>
          <w:sz w:val="18"/>
          <w:szCs w:val="18"/>
          <w:color w:val="auto"/>
        </w:rPr>
        <w:t>Up to (i) 105,014,011 shares of Class A Common Stock, consisting of (i) 38,750,000 issued and outstanding shares of Class A Common Stock,</w:t>
      </w:r>
    </w:p>
    <w:p>
      <w:pPr>
        <w:spacing w:after="0" w:line="1" w:lineRule="exact"/>
        <w:rPr>
          <w:sz w:val="20"/>
          <w:szCs w:val="20"/>
          <w:color w:val="auto"/>
        </w:rPr>
      </w:pPr>
    </w:p>
    <w:p>
      <w:pPr>
        <w:jc w:val="both"/>
        <w:ind w:right="1280"/>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59,264,011 shares of Class A Common Stock issuable upon exchange of such Selling Securityholder’s Paired Interests or Class P Units and</w:t>
      </w:r>
    </w:p>
    <w:p>
      <w:pPr>
        <w:spacing w:after="0" w:line="1" w:lineRule="exact"/>
        <w:rPr>
          <w:rFonts w:ascii="Times New Roman" w:cs="Times New Roman" w:eastAsia="Times New Roman" w:hAnsi="Times New Roman"/>
          <w:sz w:val="18"/>
          <w:szCs w:val="18"/>
          <w:color w:val="auto"/>
        </w:rPr>
      </w:pPr>
    </w:p>
    <w:p>
      <w:pPr>
        <w:jc w:val="both"/>
        <w:ind w:right="1300"/>
        <w:spacing w:after="0" w:line="255" w:lineRule="auto"/>
        <w:tabs>
          <w:tab w:leader="none" w:pos="3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w:t>
      </w:r>
    </w:p>
    <w:p>
      <w:pPr>
        <w:spacing w:after="0" w:line="114" w:lineRule="exact"/>
        <w:rPr>
          <w:sz w:val="20"/>
          <w:szCs w:val="20"/>
          <w:color w:val="auto"/>
        </w:rPr>
      </w:pPr>
    </w:p>
    <w:p>
      <w:pPr>
        <w:sectPr>
          <w:pgSz w:w="11900" w:h="16838" w:orient="portrait"/>
          <w:cols w:equalWidth="0" w:num="2">
            <w:col w:w="5220" w:space="500"/>
            <w:col w:w="530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Warrants Offered by the Selling Securityholders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7,000,000 Private Placement Warrants.</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Warrants are redeemable in certain circumstances.</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See the section entitled “Description of Securities—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Warrants” for further discussion.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currently traded on Nasdaq under the symbols “MAPS”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“MAPSW,” respectively.</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The settlement was approved by the SEC, and the administrative cease-and-desist order was entered in September 2024. In addition, on October 17, 2024, a putative shareholder class action complaint, captioned Seret Ishak v. WM Technology, Inc. et al.,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the Company’s monthly active users (“MAUs”) metric. In addition, on November 8, 2024, a shareholder derivative action, captioned DeGennaro v. Francis, et. al,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w:t>
      </w:r>
    </w:p>
    <w:p>
      <w:pPr>
        <w:spacing w:after="0" w:line="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31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30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w:t>
      </w:r>
    </w:p>
    <w:p>
      <w:pPr>
        <w:spacing w:after="0" w:line="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01" w:lineRule="exact"/>
        <w:rPr>
          <w:sz w:val="20"/>
          <w:szCs w:val="20"/>
          <w:color w:val="auto"/>
        </w:rPr>
      </w:pPr>
    </w:p>
    <w:p>
      <w:pPr>
        <w:ind w:left="460" w:right="299" w:hanging="168"/>
        <w:spacing w:after="0" w:line="195" w:lineRule="auto"/>
        <w:tabs>
          <w:tab w:leader="none" w:pos="46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audited consolidated financial statements included in this prospectus for additional information.</w:t>
      </w:r>
    </w:p>
    <w:p>
      <w:pPr>
        <w:spacing w:after="0" w:line="33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33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 Francis, our Chief Executive Officer and Principal Executive Officer, and Brian Camire, our General Counsel.</w:t>
      </w:r>
    </w:p>
    <w:p>
      <w:pPr>
        <w:spacing w:after="0" w:line="3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from July 2023 through November 2024, we had an interim Chief Financial Officer, which, as noted in our Notification of Late Filing on Form 12b-25 with the SEC,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176"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9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9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0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regulations may restrict or prohibit altogether the provision, sale, or supply of our products to certain governments, persons, entities, countries, and territories, including those that are the target of comprehensive sanctions or an embargo.</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15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34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71" w:lineRule="auto"/>
        <w:rPr>
          <w:sz w:val="20"/>
          <w:szCs w:val="20"/>
          <w:color w:val="auto"/>
        </w:rPr>
      </w:pPr>
      <w:r>
        <w:rPr>
          <w:rFonts w:ascii="Times New Roman" w:cs="Times New Roman" w:eastAsia="Times New Roman" w:hAnsi="Times New Roman"/>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 The lack of successful completion of our remediation efforts related to this material weakness identified for the year ended December 31, 2022 is reflected in the first bullet of our 2023 material weaknesses discussed above.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18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discussed in Note 2 to our audited consolidated financial statements included in this prospectus,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35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audited consolidated financial statements included in this prospectus.</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9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30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November 29, 2024,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In addition, the enforceability of similar exclusive forum provisions in other companies’ certificates of incorporation has been challenged in legal proceedings, and it is possible that, in connection with one or more actions 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32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31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370"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339" w:lineRule="exact"/>
        <w:rPr>
          <w:sz w:val="20"/>
          <w:szCs w:val="20"/>
          <w:color w:val="auto"/>
        </w:rPr>
      </w:pPr>
    </w:p>
    <w:p>
      <w:pPr>
        <w:jc w:val="both"/>
        <w:ind w:left="300" w:right="29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(“Nasdaq”), and as a result our Class A Common Stock may be delisted. Delisting could adversely affect the liquidity of our Class A Common Stock and the market price of our Class A Common Stock could decrease.</w:t>
      </w:r>
    </w:p>
    <w:p>
      <w:pPr>
        <w:spacing w:after="0" w:line="2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October 9, 2024, we received a letter from the Listing Qualifications Department of The Nasdaq Stock Market LLC (“Nasdaq”) notifying us that, for the last 30 consecutive trading days, the closing bid price for our Class A Common Stock was below $1.00 per share, which is the minimum closing bid price required for continued listing on the Nasdaq Global Select Market pursuant to Nasdaq Listing Rule 5450(a)(1) (the “Notice”). In accordance with Nasdaq Listing Rule 5810(c)(3)(A), we are provided a compliance period of 180 calendar days from the date of the Notice, or until April 7, 2025, to regain compliance with the minimum closing bid price requirement. If at any time during the 180 calendar day grace period, the closing bid price of our Class A Common Stock is at least $1.00 per share for a minimum of ten consecutive business days (unless the Nasdaq staff exercises its discretion to extend this ten business day period pursuant to Nasdaq Listing Rule 5810(c)(3)(H)), Nasdaq will provide us written confirmation of compliance, and the matter will be closed.</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do not regain compliance during the compliance period, we may be provided a second 180 calendar day period to regain compliance if we apply to transfer the listing of our Class A Common Stock to the Nasdaq Capital Market. To qualify, we must meet the continued listing requirement for market value of publicly-held shares and all other initial listing standards for the Nasdaq Capital Market (with the exception of the minimum bid price requirement), based on our most recent public filings and market information and notify Nasdaq of our intent to cure the deficiency by effecting a reverse stock split, if necessary. If we do not regain compliance within the allotted compliance periods, including any extensions that may be granted by Nasdaq, our Class A Common Stock will be subject to delisting. We would have the right to appeal a determination to delist our Class A Common Stock, and our Class A Common Stock would remain listed on the Nasdaq Global Select Market until the completion of the appeal process.</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minimum bid price requirement during the 180-day compliance period, secure a second 180-day period to regain compliance, or maintain compliance with the other Nasdaq listing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minimum closing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9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November 29, 2024, there were 97,730,177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November 29, 2024, there were 112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$46.6 million as compared to $46.7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5,100, as compared to 5,414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$3,043, as compared to $2,874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$5.3 million as compared to net loss of $2.5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$11.3 million as compared to $10.7 million in the prior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5,100 average monthly paying clients during the three months ended September 30, 2024 on the supply-side of our marketplace. These paying clients include retailers, brands and other client types (such as doctors). Further, these clients, who can choose to purchase multiple listings solutions for each business, had purchased approximately 8,300 listing pages as of September 30,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September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the three and nine months ended September 30, 2024 compared with the same period in 2023 and for the year ended December 31, 2023 compared to our financial performance for the years ended December 31, 2022 and 2021. For a detailed discussion of our results of operations, see “Results of Operations for the Three and Nine Months Ended September 30,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2024 and 2023</w:t>
      </w:r>
    </w:p>
    <w:p>
      <w:pPr>
        <w:spacing w:after="0" w:line="236" w:lineRule="exact"/>
        <w:rPr>
          <w:sz w:val="20"/>
          <w:szCs w:val="20"/>
          <w:color w:val="auto"/>
        </w:rPr>
      </w:pPr>
    </w:p>
    <w:tbl>
      <w:tblPr>
        <w:tblLayout w:type="fixed"/>
        <w:tblInd w:w="3940" w:type="dxa"/>
        <w:tblCellMar>
          <w:top w:w="0" w:type="dxa"/>
          <w:left w:w="0" w:type="dxa"/>
          <w:bottom w:w="0" w:type="dxa"/>
          <w:right w:w="0" w:type="dxa"/>
        </w:tblCellMar>
      </w:tblPr>
      <w:tr>
        <w:trPr>
          <w:trHeight w:val="190"/>
        </w:trPr>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14605</wp:posOffset>
            </wp:positionV>
            <wp:extent cx="30346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$46,552</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$46,687</w:t>
            </w: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$136,844</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$141,526</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5,318​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(2,512)​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​8,471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(4,498)​</w:t>
            </w:r>
          </w:p>
        </w:tc>
      </w:tr>
      <w:tr>
        <w:trPr>
          <w:trHeight w:val="288"/>
        </w:trPr>
        <w:tc>
          <w:tcPr>
            <w:tcW w:w="344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8,576​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17,853​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4,896​</w:t>
            </w:r>
          </w:p>
        </w:tc>
      </w:tr>
      <w:tr>
        <w:trPr>
          <w:trHeight w:val="283"/>
        </w:trPr>
        <w:tc>
          <w:tcPr>
            <w:tcW w:w="3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$​11,312</w:t>
            </w: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$10,671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31,001​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28,028​</w:t>
            </w:r>
          </w:p>
        </w:tc>
      </w:tr>
      <w:tr>
        <w:trPr>
          <w:trHeight w:val="21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85"/>
        </w:trPr>
        <w:tc>
          <w:tcPr>
            <w:tcW w:w="344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client</w:t>
            </w:r>
            <w:r>
              <w:rPr>
                <w:rFonts w:ascii="Times New Roman" w:cs="Times New Roman" w:eastAsia="Times New Roman" w:hAnsi="Times New Roman"/>
                <w:sz w:val="29"/>
                <w:szCs w:val="29"/>
                <w:color w:val="auto"/>
                <w:vertAlign w:val="superscript"/>
              </w:rPr>
              <w:t>(1)(3)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3,043​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2,874​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2,831​</w:t>
            </w:r>
          </w:p>
        </w:tc>
      </w:tr>
      <w:tr>
        <w:trPr>
          <w:trHeight w:val="39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58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5,100</w:t>
            </w:r>
          </w:p>
        </w:tc>
        <w:tc>
          <w:tcPr>
            <w:tcW w:w="44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5,414</w:t>
            </w:r>
          </w:p>
        </w:tc>
        <w:tc>
          <w:tcPr>
            <w:tcW w:w="40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5,027</w:t>
            </w:r>
          </w:p>
        </w:tc>
        <w:tc>
          <w:tcPr>
            <w:tcW w:w="400" w:type="dxa"/>
            <w:vAlign w:val="bottom"/>
          </w:tcPr>
          <w:p>
            <w:pPr>
              <w:spacing w:after="0"/>
              <w:rPr>
                <w:sz w:val="24"/>
                <w:szCs w:val="2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640" w:right="299" w:hanging="348"/>
        <w:spacing w:after="0" w:line="236"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54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38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23"/>
        </w:trPr>
        <w:tc>
          <w:tcPr>
            <w:tcW w:w="4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8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$187,993</w:t>
            </w:r>
          </w:p>
        </w:tc>
        <w:tc>
          <w:tcPr>
            <w:tcW w:w="148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$215,531</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$193,146</w:t>
            </w: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7"/>
              </w:rPr>
              <w:t>(82,651)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$152,218</w:t>
            </w:r>
          </w:p>
        </w:tc>
      </w:tr>
      <w:tr>
        <w:trPr>
          <w:trHeight w:val="288"/>
        </w:trPr>
        <w:tc>
          <w:tcPr>
            <w:tcW w:w="454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48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$107,924</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$156,042</w:t>
            </w:r>
          </w:p>
        </w:tc>
      </w:tr>
      <w:tr>
        <w:trPr>
          <w:trHeight w:val="283"/>
        </w:trPr>
        <w:tc>
          <w:tcPr>
            <w:tcW w:w="45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36,907</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(9,633)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31,698</w:t>
            </w:r>
          </w:p>
        </w:tc>
      </w:tr>
      <w:tr>
        <w:trPr>
          <w:trHeight w:val="283"/>
        </w:trPr>
        <w:tc>
          <w:tcPr>
            <w:tcW w:w="45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Average monthly net revenue per paying client</w:t>
            </w:r>
            <w:r>
              <w:rPr>
                <w:rFonts w:ascii="Times New Roman" w:cs="Times New Roman" w:eastAsia="Times New Roman" w:hAnsi="Times New Roman"/>
                <w:sz w:val="29"/>
                <w:szCs w:val="29"/>
                <w:color w:val="auto"/>
                <w:vertAlign w:val="superscript"/>
              </w:rPr>
              <w:t>(2)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2,891</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3,291</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3,711</w:t>
            </w:r>
          </w:p>
        </w:tc>
      </w:tr>
      <w:tr>
        <w:trPr>
          <w:trHeight w:val="39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5,457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100965</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jc w:val="both"/>
        <w:ind w:left="640" w:right="29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$5.3 million compared with a net loss for the three months ended September 30, 2023 of $2.5 million. The change in net income was primarily due to a decrease in total costs and expenses of $10.9 million, change in fair value of warrant liability of $1.0 million, and change in tax receivable agreement (“TRA”) liability of $0.5 million, partially offset by a decrease in revenue of $0.1 million and a decrease in other income (expense) of $3.5 million.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nine months ended September 30, 2024 was $8.5 million compared with a net loss for the nine months ended September 30, 2023 of $4.5 million. The increase in net income was primarily due to a decrease in total costs and expenses of $20.8 million, and change in fair value of warrant liability of $1.0 million, partially offset by a decrease in revenue of $4.7 million, change in tax receivable agreement (“TRA”) liability of $0.8 million and a decrease in other income (expense) of $3.2 million.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allocation of investment capacity. Accordingly, we believe that EBITDA and Adjusted EBITDA provide useful information to investors and others in understanding and evaluating our operating results in the same manner as our management.</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and Nine Months Ended September 30,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0" w:type="dxa"/>
            <w:vAlign w:val="bottom"/>
            <w:gridSpan w:val="21"/>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  Nine Months Ended September 30,</w:t>
            </w: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191"/>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11"/>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1300" w:type="dxa"/>
            <w:vAlign w:val="bottom"/>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5,318</w:t>
            </w:r>
          </w:p>
        </w:tc>
        <w:tc>
          <w:tcPr>
            <w:tcW w:w="12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(2,512)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$ 8,471</w:t>
            </w:r>
          </w:p>
        </w:tc>
        <w:tc>
          <w:tcPr>
            <w:tcW w:w="320" w:type="dxa"/>
            <w:vAlign w:val="bottom"/>
            <w:tcBorders>
              <w:left w:val="single" w:sz="8" w:color="CCEEFF"/>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7"/>
              </w:rPr>
              <w:t>$ (4,498)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320" w:type="dxa"/>
            <w:vAlign w:val="bottom"/>
            <w:tcBorders>
              <w:left w:val="single" w:sz="8" w:color="CCEEFF"/>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32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320" w:type="dxa"/>
            <w:vAlign w:val="bottom"/>
            <w:tcBorders>
              <w:left w:val="single" w:sz="8" w:color="CCEEFF"/>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5"/>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1300" w:type="dxa"/>
            <w:vAlign w:val="bottom"/>
          </w:tcPr>
          <w:p>
            <w:pPr>
              <w:spacing w:after="0"/>
              <w:rPr>
                <w:sz w:val="17"/>
                <w:szCs w:val="17"/>
                <w:color w:val="auto"/>
              </w:rPr>
            </w:pPr>
          </w:p>
        </w:tc>
        <w:tc>
          <w:tcPr>
            <w:tcW w:w="3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Discharge of a holdback obligation related to 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1"/>
        </w:trPr>
        <w:tc>
          <w:tcPr>
            <w:tcW w:w="1300" w:type="dxa"/>
            <w:vAlign w:val="bottom"/>
          </w:tcPr>
          <w:p>
            <w:pPr>
              <w:spacing w:after="0"/>
              <w:rPr>
                <w:sz w:val="20"/>
                <w:szCs w:val="20"/>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acquisition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1300" w:type="dxa"/>
            <w:vAlign w:val="bottom"/>
          </w:tcPr>
          <w:p>
            <w:pPr>
              <w:spacing w:after="0"/>
              <w:rPr>
                <w:sz w:val="20"/>
                <w:szCs w:val="20"/>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20" w:type="dxa"/>
            <w:vAlign w:val="bottom"/>
            <w:tcBorders>
              <w:left w:val="single" w:sz="8" w:color="CCEEFF"/>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11,312</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10,671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31,001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28,028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
        </w:trPr>
        <w:tc>
          <w:tcPr>
            <w:tcW w:w="13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93"/>
        </w:trPr>
        <w:tc>
          <w:tcPr>
            <w:tcW w:w="130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2023, 2022 and 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3"/>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191"/>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1300" w:type="dxa"/>
            <w:vAlign w:val="bottom"/>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$(15,727)</w:t>
            </w: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(82,651)</w:t>
            </w:r>
          </w:p>
        </w:tc>
        <w:tc>
          <w:tcPr>
            <w:tcW w:w="240" w:type="dxa"/>
            <w:vAlign w:val="bottom"/>
            <w:tcBorders>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$ 152,218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spacing w:after="0"/>
              <w:rPr>
                <w:sz w:val="19"/>
                <w:szCs w:val="19"/>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spacing w:after="0"/>
              <w:rPr>
                <w:sz w:val="21"/>
                <w:szCs w:val="21"/>
                <w:color w:val="auto"/>
              </w:rPr>
            </w:pPr>
          </w:p>
        </w:tc>
        <w:tc>
          <w:tcPr>
            <w:tcW w:w="74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(3,534)</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107,924</w:t>
            </w: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130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1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432"/>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20" w:type="dxa"/>
            <w:vAlign w:val="bottom"/>
            <w:gridSpan w:val="3"/>
          </w:tcPr>
          <w:p>
            <w:pPr>
              <w:jc w:val="right"/>
              <w:ind w:right="251"/>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7" w:name="page58"/>
    <w:bookmarkEnd w:id="57"/>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07"/>
        </w:trPr>
        <w:tc>
          <w:tcPr>
            <w:tcW w:w="154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96"/>
        </w:trPr>
        <w:tc>
          <w:tcPr>
            <w:tcW w:w="15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5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3,089</w:t>
            </w:r>
          </w:p>
        </w:tc>
        <w:tc>
          <w:tcPr>
            <w:tcW w:w="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22"/>
                <w:szCs w:val="22"/>
                <w:color w:val="auto"/>
              </w:rPr>
            </w:pPr>
          </w:p>
        </w:tc>
      </w:tr>
      <w:tr>
        <w:trPr>
          <w:trHeight w:val="229"/>
        </w:trPr>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Pr>
          <w:p>
            <w:pPr>
              <w:spacing w:after="0"/>
              <w:rPr>
                <w:sz w:val="19"/>
                <w:szCs w:val="19"/>
                <w:color w:val="auto"/>
              </w:rPr>
            </w:pPr>
          </w:p>
        </w:tc>
      </w:tr>
      <w:tr>
        <w:trPr>
          <w:trHeight w:val="229"/>
        </w:trPr>
        <w:tc>
          <w:tcPr>
            <w:tcW w:w="5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r>
      <w:tr>
        <w:trPr>
          <w:trHeight w:val="230"/>
        </w:trPr>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5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36,907</w:t>
            </w:r>
          </w:p>
        </w:tc>
        <w:tc>
          <w:tcPr>
            <w:tcW w:w="20" w:type="dxa"/>
            <w:vAlign w:val="bottom"/>
            <w:tcBorders>
              <w:top w:val="single" w:sz="8" w:color="CCEEFF"/>
              <w:bottom w:val="single" w:sz="8" w:color="auto"/>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(9,633</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31,698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for both the three and nine months ended September 30, 2024, was due to sunset of certain products, which had lower average monthly spending clients, in the fourth quarter of 2023.</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640" w:type="dxa"/>
            <w:vAlign w:val="bottom"/>
          </w:tcPr>
          <w:p>
            <w:pPr>
              <w:spacing w:after="0"/>
              <w:rPr>
                <w:sz w:val="16"/>
                <w:szCs w:val="16"/>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Average monthly net revenues per paying client</w:t>
            </w:r>
          </w:p>
        </w:tc>
        <w:tc>
          <w:tcPr>
            <w:tcW w:w="10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$3,043</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$2,874</w:t>
            </w:r>
          </w:p>
        </w:tc>
        <w:tc>
          <w:tcPr>
            <w:tcW w:w="12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$3,025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$2,831</w:t>
            </w:r>
          </w:p>
        </w:tc>
      </w:tr>
      <w:tr>
        <w:trPr>
          <w:trHeight w:val="54"/>
        </w:trPr>
        <w:tc>
          <w:tcPr>
            <w:tcW w:w="36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revenue per paying client was $2,891 for the year ended December 31, 2023 compared with $3,291 for the year ended December 31, 2022. The decline in our average monthly net revenue per paying client for the year ended December 31, 2023, as compared to the prior year, was due to spend declines in established markets. We expected these pressures given the continued liquidity challenges that clients are facing.</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Average monthly net revenues per paying clients for the three months ended September 30, 2024 decreased 6% to 5,100 average monthly paying clients from 5,414 average monthly paying clients in the same period in 2023. Average monthly paying clients for the nine months ended September 30, 2024 decreased 10% to 5,027 average monthly paying clients from 5,555 average monthly paying clients in the same period in 2023. The decrease in average monthly paying clients compared to the same periods in 2023 was primarily due to the removal of paying clients from our platform who have become delinquent, the impact on client count related to the sunset of certain products in December 2023, as well as expected client churn due to continued industry challenges, such as price deflation and ongoing consolidation.</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800" w:type="dxa"/>
            <w:vAlign w:val="bottom"/>
          </w:tcPr>
          <w:p>
            <w:pPr>
              <w:spacing w:after="0"/>
              <w:rPr>
                <w:sz w:val="16"/>
                <w:szCs w:val="16"/>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5,100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5,414</w:t>
            </w:r>
          </w:p>
        </w:tc>
        <w:tc>
          <w:tcPr>
            <w:tcW w:w="11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5,027</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5,555</w:t>
            </w:r>
          </w:p>
        </w:tc>
      </w:tr>
      <w:tr>
        <w:trPr>
          <w:trHeight w:val="54"/>
        </w:trPr>
        <w:tc>
          <w:tcPr>
            <w:tcW w:w="38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unaudited condensed consolidated financial statements included in this prospectus for further information.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2024 and 2023</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8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2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54"/>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73"/>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10"/>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r>
      <w:tr>
        <w:trPr>
          <w:trHeight w:val="244"/>
        </w:trPr>
        <w:tc>
          <w:tcPr>
            <w:tcW w:w="3820" w:type="dxa"/>
            <w:vAlign w:val="bottom"/>
          </w:tcPr>
          <w:p>
            <w:pPr>
              <w:spacing w:after="0"/>
              <w:rPr>
                <w:sz w:val="21"/>
                <w:szCs w:val="21"/>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gridSpan w:val="3"/>
          </w:tcPr>
          <w:p>
            <w:pPr>
              <w:jc w:val="right"/>
              <w:ind w:right="20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gridSpan w:val="3"/>
          </w:tcPr>
          <w:p>
            <w:pPr>
              <w:jc w:val="right"/>
              <w:ind w:right="1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186"/>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320" w:type="dxa"/>
            <w:vAlign w:val="bottom"/>
            <w:tcBorders>
              <w:left w:val="single" w:sz="8" w:color="CCEEFF"/>
            </w:tcBorders>
            <w:shd w:val="clear" w:color="auto" w:fill="CCEEFF"/>
          </w:tcPr>
          <w:p>
            <w:pPr>
              <w:spacing w:after="0"/>
              <w:rPr>
                <w:sz w:val="23"/>
                <w:szCs w:val="23"/>
                <w:color w:val="auto"/>
              </w:rPr>
            </w:pPr>
          </w:p>
        </w:tc>
        <w:tc>
          <w:tcPr>
            <w:tcW w:w="10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$136,844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240" w:type="dxa"/>
            <w:vAlign w:val="bottom"/>
            <w:shd w:val="clear" w:color="auto" w:fill="CCEEFF"/>
          </w:tcPr>
          <w:p>
            <w:pPr>
              <w:spacing w:after="0"/>
              <w:rPr>
                <w:sz w:val="23"/>
                <w:szCs w:val="23"/>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48"/>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40" w:type="dxa"/>
            <w:vAlign w:val="bottom"/>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40" w:type="dxa"/>
            <w:vAlign w:val="bottom"/>
          </w:tcPr>
          <w:p>
            <w:pPr>
              <w:spacing w:after="0"/>
              <w:rPr>
                <w:sz w:val="20"/>
                <w:szCs w:val="20"/>
                <w:color w:val="auto"/>
              </w:rPr>
            </w:pPr>
          </w:p>
        </w:tc>
      </w:tr>
      <w:tr>
        <w:trPr>
          <w:trHeight w:val="24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40" w:type="dxa"/>
            <w:vAlign w:val="bottom"/>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40" w:type="dxa"/>
            <w:vAlign w:val="bottom"/>
          </w:tcPr>
          <w:p>
            <w:pPr>
              <w:spacing w:after="0"/>
              <w:rPr>
                <w:sz w:val="20"/>
                <w:szCs w:val="20"/>
                <w:color w:val="auto"/>
              </w:rPr>
            </w:pPr>
          </w:p>
        </w:tc>
      </w:tr>
      <w:tr>
        <w:trPr>
          <w:trHeight w:val="24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40" w:type="dxa"/>
            <w:vAlign w:val="bottom"/>
            <w:shd w:val="clear" w:color="auto" w:fill="CCEEFF"/>
          </w:tcPr>
          <w:p>
            <w:pPr>
              <w:spacing w:after="0"/>
              <w:rPr>
                <w:sz w:val="21"/>
                <w:szCs w:val="21"/>
                <w:color w:val="auto"/>
              </w:rPr>
            </w:pPr>
          </w:p>
        </w:tc>
      </w:tr>
      <w:tr>
        <w:trPr>
          <w:trHeight w:val="25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tcPr>
          <w:p>
            <w:pPr>
              <w:spacing w:after="0"/>
              <w:rPr>
                <w:sz w:val="21"/>
                <w:szCs w:val="21"/>
                <w:color w:val="auto"/>
              </w:rPr>
            </w:pPr>
          </w:p>
        </w:tc>
      </w:tr>
      <w:tr>
        <w:trPr>
          <w:trHeight w:val="263"/>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spacing w:after="0"/>
              <w:rPr>
                <w:sz w:val="22"/>
                <w:szCs w:val="22"/>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320" w:type="dxa"/>
            <w:vAlign w:val="bottom"/>
            <w:tcBorders>
              <w:left w:val="single" w:sz="8" w:color="CCEEFF"/>
            </w:tcBorders>
            <w:shd w:val="clear" w:color="auto" w:fill="CCEEFF"/>
          </w:tcPr>
          <w:p>
            <w:pPr>
              <w:spacing w:after="0"/>
              <w:rPr>
                <w:sz w:val="22"/>
                <w:szCs w:val="22"/>
                <w:color w:val="auto"/>
              </w:rPr>
            </w:pPr>
          </w:p>
        </w:tc>
        <w:tc>
          <w:tcPr>
            <w:tcW w:w="260" w:type="dxa"/>
            <w:vAlign w:val="bottom"/>
            <w:gridSpan w:val="2"/>
            <w:shd w:val="clear" w:color="auto" w:fill="CCEEFF"/>
          </w:tcPr>
          <w:p>
            <w:pPr>
              <w:spacing w:after="0"/>
              <w:rPr>
                <w:sz w:val="22"/>
                <w:szCs w:val="22"/>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240" w:type="dxa"/>
            <w:vAlign w:val="bottom"/>
            <w:shd w:val="clear" w:color="auto" w:fill="CCEEFF"/>
          </w:tcPr>
          <w:p>
            <w:pPr>
              <w:spacing w:after="0"/>
              <w:rPr>
                <w:sz w:val="22"/>
                <w:szCs w:val="22"/>
                <w:color w:val="auto"/>
              </w:rPr>
            </w:pPr>
          </w:p>
        </w:tc>
      </w:tr>
      <w:tr>
        <w:trPr>
          <w:trHeight w:val="34"/>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6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00" w:type="dxa"/>
            <w:vAlign w:val="bottom"/>
          </w:tcPr>
          <w:p>
            <w:pPr>
              <w:spacing w:after="0"/>
              <w:rPr>
                <w:sz w:val="22"/>
                <w:szCs w:val="22"/>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60" w:type="dxa"/>
            <w:vAlign w:val="bottom"/>
          </w:tcPr>
          <w:p>
            <w:pPr>
              <w:spacing w:after="0"/>
              <w:rPr>
                <w:sz w:val="22"/>
                <w:szCs w:val="22"/>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(5,913)</w:t>
            </w: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20"/>
                <w:szCs w:val="20"/>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(780)</w:t>
            </w:r>
          </w:p>
        </w:tc>
      </w:tr>
      <w:tr>
        <w:trPr>
          <w:trHeight w:val="24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40" w:type="dxa"/>
            <w:vAlign w:val="bottom"/>
          </w:tcPr>
          <w:p>
            <w:pPr>
              <w:spacing w:after="0"/>
              <w:rPr>
                <w:sz w:val="20"/>
                <w:szCs w:val="20"/>
                <w:color w:val="auto"/>
              </w:rPr>
            </w:pPr>
          </w:p>
        </w:tc>
      </w:tr>
      <w:tr>
        <w:trPr>
          <w:trHeight w:val="31"/>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2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8,543</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(4,498)</w:t>
            </w:r>
          </w:p>
        </w:tc>
      </w:tr>
      <w:tr>
        <w:trPr>
          <w:trHeight w:val="25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r>
      <w:tr>
        <w:trPr>
          <w:trHeight w:val="27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0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8,471</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(4,498)</w:t>
            </w:r>
          </w:p>
        </w:tc>
      </w:tr>
      <w:tr>
        <w:trPr>
          <w:trHeight w:val="21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8"/>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0" w:type="dxa"/>
            <w:vAlign w:val="bottom"/>
          </w:tcPr>
          <w:p>
            <w:pPr>
              <w:spacing w:after="0"/>
              <w:rPr>
                <w:sz w:val="21"/>
                <w:szCs w:val="21"/>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(1,711)</w:t>
            </w:r>
          </w:p>
        </w:tc>
      </w:tr>
      <w:tr>
        <w:trPr>
          <w:trHeight w:val="24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180" w:type="dxa"/>
            <w:vAlign w:val="bottom"/>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55"/>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Inc.</w:t>
            </w:r>
          </w:p>
        </w:tc>
        <w:tc>
          <w:tcPr>
            <w:tcW w:w="1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$ 3,332</w:t>
            </w:r>
          </w:p>
        </w:tc>
        <w:tc>
          <w:tcPr>
            <w:tcW w:w="2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(1,538)</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60" w:type="dxa"/>
            <w:vAlign w:val="bottom"/>
            <w:shd w:val="clear" w:color="auto" w:fill="CCEEFF"/>
          </w:tcPr>
          <w:p>
            <w:pPr>
              <w:spacing w:after="0"/>
              <w:rPr>
                <w:sz w:val="22"/>
                <w:szCs w:val="22"/>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(2,787)</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tbl>
      <w:tblPr>
        <w:tblLayout w:type="fixed"/>
        <w:tblInd w:w="300" w:type="dxa"/>
        <w:tblCellMar>
          <w:top w:w="0" w:type="dxa"/>
          <w:left w:w="0" w:type="dxa"/>
          <w:bottom w:w="0" w:type="dxa"/>
          <w:right w:w="0" w:type="dxa"/>
        </w:tblCellMar>
      </w:tblPr>
      <w:tr>
        <w:trPr>
          <w:trHeight w:val="16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4"/>
                <w:szCs w:val="24"/>
                <w:color w:val="auto"/>
              </w:rPr>
            </w:pPr>
          </w:p>
        </w:tc>
        <w:tc>
          <w:tcPr>
            <w:tcW w:w="224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54"/>
        </w:trPr>
        <w:tc>
          <w:tcPr>
            <w:tcW w:w="1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3"/>
                <w:szCs w:val="13"/>
                <w:color w:val="auto"/>
              </w:rPr>
            </w:pPr>
          </w:p>
        </w:tc>
      </w:tr>
      <w:tr>
        <w:trPr>
          <w:trHeight w:val="244"/>
        </w:trPr>
        <w:tc>
          <w:tcPr>
            <w:tcW w:w="1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gridSpan w:val="3"/>
          </w:tcPr>
          <w:p>
            <w:pPr>
              <w:jc w:val="right"/>
              <w:ind w:right="28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5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bottom w:val="single" w:sz="8" w:color="auto"/>
            </w:tcBorders>
            <w:gridSpan w:val="3"/>
          </w:tcPr>
          <w:p>
            <w:pPr>
              <w:jc w:val="right"/>
              <w:ind w:right="2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r>
      <w:tr>
        <w:trPr>
          <w:trHeight w:val="23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5"/>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48"/>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r>
      <w:tr>
        <w:trPr>
          <w:trHeight w:val="24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r>
      <w:tr>
        <w:trPr>
          <w:trHeight w:val="22"/>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7"/>
        </w:trPr>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44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15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r>
      <w:tr>
        <w:trPr>
          <w:trHeight w:val="257"/>
        </w:trPr>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39"/>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r>
      <w:tr>
        <w:trPr>
          <w:trHeight w:val="22"/>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79"/>
              </w:rPr>
              <w:t>     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     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2"/>
              </w:rPr>
              <w:t>     0%</w:t>
            </w:r>
          </w:p>
        </w:tc>
      </w:tr>
      <w:tr>
        <w:trPr>
          <w:trHeight w:val="22"/>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r>
      <w:tr>
        <w:trPr>
          <w:trHeight w:val="211"/>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32"/>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2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55"/>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Inc.</w:t>
            </w:r>
          </w:p>
        </w:tc>
        <w:tc>
          <w:tcPr>
            <w:tcW w:w="2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40" w:right="29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54"/>
        </w:trPr>
        <w:tc>
          <w:tcPr>
            <w:tcW w:w="5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2"/>
          </w:tcPr>
          <w:p>
            <w:pPr>
              <w:jc w:val="center"/>
              <w:ind w:left="2"/>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44"/>
        </w:trPr>
        <w:tc>
          <w:tcPr>
            <w:tcW w:w="5100" w:type="dxa"/>
            <w:vAlign w:val="bottom"/>
          </w:tcPr>
          <w:p>
            <w:pPr>
              <w:spacing w:after="0"/>
              <w:rPr>
                <w:sz w:val="21"/>
                <w:szCs w:val="21"/>
                <w:color w:val="auto"/>
              </w:rPr>
            </w:pPr>
          </w:p>
        </w:tc>
        <w:tc>
          <w:tcPr>
            <w:tcW w:w="9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5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$46,552</w:t>
            </w:r>
          </w:p>
        </w:tc>
        <w:tc>
          <w:tcPr>
            <w:tcW w:w="128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8"/>
                <w:szCs w:val="18"/>
                <w:color w:val="auto"/>
              </w:rPr>
              <w:t>$46,687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54"/>
        </w:trPr>
        <w:tc>
          <w:tcPr>
            <w:tcW w:w="5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$0.1 million or less than 0.1% for the three months ended September 30, 2024 compared to the same period in 2023. The decrease was primarily due to a decrease in net revenues from our Featured Listing and WM Deal products of $2.7 million driven by our clients continuing to face constrained marketing budgets, the ongoing consolidation of our industry, partially offset by an increase in net revenues from our Weedmaps for Business and other SaaS solutions of $2.7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3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54"/>
        </w:trPr>
        <w:tc>
          <w:tcPr>
            <w:tcW w:w="12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44"/>
        </w:trPr>
        <w:tc>
          <w:tcPr>
            <w:tcW w:w="1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gridSpan w:val="4"/>
          </w:tcPr>
          <w:p>
            <w:pPr>
              <w:ind w:left="20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$ 2,182</w:t>
            </w:r>
          </w:p>
        </w:tc>
        <w:tc>
          <w:tcPr>
            <w:tcW w:w="18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$ 3,015</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(833)</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3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8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8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162"/>
        </w:trPr>
        <w:tc>
          <w:tcPr>
            <w:tcW w:w="1280" w:type="dxa"/>
            <w:vAlign w:val="bottom"/>
            <w:tcBorders>
              <w:top w:val="single" w:sz="8" w:color="CCEEFF"/>
              <w:bottom w:val="single" w:sz="8" w:color="auto"/>
            </w:tcBorders>
          </w:tcPr>
          <w:p>
            <w:pPr>
              <w:spacing w:after="0"/>
              <w:rPr>
                <w:sz w:val="14"/>
                <w:szCs w:val="14"/>
                <w:color w:val="auto"/>
              </w:rPr>
            </w:pPr>
          </w:p>
        </w:tc>
        <w:tc>
          <w:tcPr>
            <w:tcW w:w="34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bl>
    <w:p>
      <w:pPr>
        <w:spacing w:after="0" w:line="31" w:lineRule="exact"/>
        <w:rPr>
          <w:sz w:val="20"/>
          <w:szCs w:val="20"/>
          <w:color w:val="auto"/>
        </w:rPr>
      </w:pPr>
    </w:p>
    <w:p>
      <w:pPr>
        <w:jc w:val="both"/>
        <w:ind w:left="640" w:right="31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$0.6 million for cost of revenues associated with multi-channel marketing and cloud communication platforms, primarily due to the sunset in December 2023 of WM CRM, WM Screens and WM AdSuite and a decrease of $0.2 million in server costs.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$0.4 million, decrease in advertising expense of $1.2 million and a decrease in event expense of $0.3 million. The decrease in personnel-related costs was primarily driven by lower headcount resulting in decreases in salaries and wages of $0.4 million, stock-based compensation expense of $0.2 million and payroll tax expense of $0.1 million, partially offset by increases in bonus and commission expense of $0.3 million.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$0.6 million and an increase in personnel-related costs of $1.1 million. The increase in personnel-related costs was primarily due to increases in salaries and bonus expense of $1.1 million driven by lower capitalized software development costs compared to the same period in 2023, resulting in an increase in net salaries and wages expense.</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salaries and wages of $0.2 million, stock-based compensation expense of $0.5 million, employee benefits of $0.2 million, rent expense of $0.5 million due to gain from lease modification, professional legal and audit services of $0.4 million, facilities expense of $0.8 million, software expense of $0.3 million, and insurance expense of $0.3 million, partially offset by increases in bonus expense of $0.5 million, outside service expense of $0.2 million, office expense of $0.5 million and provision for credit losses of $0.1 million, payroll tax of $0.1 million and severance of $0.1 million.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3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70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$ 585</w:t>
            </w:r>
          </w:p>
        </w:tc>
        <w:tc>
          <w:tcPr>
            <w:tcW w:w="12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(460)</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$ 1,045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(548)</w:t>
            </w: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694%</w:t>
            </w: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(3,467)</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4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$ 135</w:t>
            </w: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$3,036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bl>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a decrease in TRA liability of $0.5 million and a decrease in other income of $3.5 million, primarily due to a non-cash gain recorded in September 2023 of $3.7 million associated with the discharge of a holdback obligation related to a prior acquisition.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2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300" w:type="dxa"/>
            <w:vAlign w:val="bottom"/>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5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$21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54"/>
        </w:trPr>
        <w:tc>
          <w:tcPr>
            <w:tcW w:w="4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gridSpan w:val="2"/>
          </w:tcPr>
          <w:p>
            <w:pPr>
              <w:jc w:val="center"/>
              <w:ind w:left="79"/>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44"/>
        </w:trPr>
        <w:tc>
          <w:tcPr>
            <w:tcW w:w="4760" w:type="dxa"/>
            <w:vAlign w:val="bottom"/>
          </w:tcPr>
          <w:p>
            <w:pPr>
              <w:spacing w:after="0"/>
              <w:rPr>
                <w:sz w:val="21"/>
                <w:szCs w:val="21"/>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1"/>
                <w:szCs w:val="21"/>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4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$136,844</w:t>
            </w:r>
          </w:p>
        </w:tc>
        <w:tc>
          <w:tcPr>
            <w:tcW w:w="130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color w:val="auto"/>
                <w:w w:val="97"/>
              </w:rPr>
              <w:t>$141,526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w:t>
            </w:r>
          </w:p>
        </w:tc>
      </w:tr>
      <w:tr>
        <w:trPr>
          <w:trHeight w:val="54"/>
        </w:trPr>
        <w:tc>
          <w:tcPr>
            <w:tcW w:w="47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$4.7 million, or 3%, for the nine months ended September 30, 2024 compared to the same period in 2023. The decrease was primarily due to a decrease in net revenues from our Featured Listing and WM Deal products of $11.0 million driven by our clients continuing to face constrained marketing budgets, the ongoing consolidation of our industry, partially offset by an increase in net revenues from our Weedmaps for Business and other SaaS solutions of $6.4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nine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2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54"/>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3"/>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44"/>
        </w:trPr>
        <w:tc>
          <w:tcPr>
            <w:tcW w:w="4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bottom w:val="single" w:sz="8" w:color="auto"/>
            </w:tcBorders>
            <w:gridSpan w:val="4"/>
          </w:tcPr>
          <w:p>
            <w:pPr>
              <w:ind w:left="1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1"/>
                <w:szCs w:val="21"/>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1"/>
                <w:szCs w:val="21"/>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4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0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(3,019)</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473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9,641</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224</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7"/>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$126,648</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4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$2.3 million for cost of revenues associated with multi-channel marketing and cloud communication platforms primarily due to the sunset in December 2023 of WM CRM, WM Screens and WM AdSuite and a decrease of $0.7 million in server costs.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$5.6 million, a decrease in outside services of $0.4 million and a decrease in advertising expense of $0.7 million, partially offset by an increase in event expense of $0.2 million and an increase in print and products expense of $0.7 million. The decrease in personnel-related costs was primarily driven by lower headcount resulting in decreases in salaries and wages of $2.5 million, bonus expense of $1.8 million, payroll taxes of $0.3 million and $1.0 million in stock-based compensation expense.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due to an increase in outside service expense of $1.8 million and an increase in travel and entertainment expense of $0.1 million partially offset by a decrease in personnel-related costs of $1.4 million. The decrease in personnel-related costs was primarily due to decreases in salaries and wages of $1.0 million, driven by a decline in headcount, partially offset by lower capitalized software development costs compared to the same period in 2023 and stock-based compensation expense of $0.4 million.</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$3.0 million, a decrease in facilities expense of $1.7 million, a decrease in insurance expense of $1.4 million, a decrease in rent expense of $0.8 million, a decrease in software expense of $0.9 million and a decrease in provision for credit losses of $0.1 million, partially offset by $1.5 million charge recorded in the second quarter of 2024 related to potential settlement of an SEC matter, increases in professional legal and audit services of $0.5 million, an increase in office expense of $0.5 million, an increase in promotional expense of $0.2 million and an increase in outside service expense of $0.9 million.</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personnel-related costs was primarily driven by lower headcount resulting into a decrease in salaries and wages of $1.2 million, a decrease in severance costs of $0.5 million, a decrease in stock-based compensation expense of $1.8 million, a decrease in employee benefit expense of $0.4 million, partially offset by an increase in bonus expense of $0.8 million and an increase in payroll tax expense of $0.1 million. See Note 4, “Commitments and Contingencies” to our unaudited condensed consolidated financial statements included in this prospectus for additional information related to the potential settlement of an SEC matter.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18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23"/>
                <w:szCs w:val="23"/>
                <w:color w:val="auto"/>
              </w:rPr>
            </w:pP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(780)</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(1,486)</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1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2,884</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31"/>
        </w:trPr>
        <w:tc>
          <w:tcPr>
            <w:tcW w:w="4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$(1,653)</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144"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partially offset by an increase in TRA liability of $0.8 million and a decrease in other expense of $3.2 million, primarily due to a non-cash gain recorded in September 2023 of $3.7 million associated with the discharge of a holdback obligation related to a prior acquisition.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r>
      <w:tr>
        <w:trPr>
          <w:trHeight w:val="25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146050</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recorded $72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10th and the Wednesday before Thanksgiving (“Green Wednesday”). Likewise, our clients will typically increase their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80" w:type="dxa"/>
            <w:vAlign w:val="bottom"/>
            <w:gridSpan w:val="3"/>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$45,043</w:t>
            </w:r>
          </w:p>
        </w:tc>
        <w:tc>
          <w:tcPr>
            <w:tcW w:w="15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$34,350</w:t>
            </w:r>
          </w:p>
        </w:tc>
        <w:tc>
          <w:tcPr>
            <w:tcW w:w="1300" w:type="dxa"/>
            <w:vAlign w:val="bottom"/>
          </w:tcPr>
          <w:p>
            <w:pPr>
              <w:spacing w:after="0"/>
              <w:rPr>
                <w:sz w:val="23"/>
                <w:szCs w:val="23"/>
                <w:color w:val="auto"/>
              </w:rPr>
            </w:pPr>
          </w:p>
        </w:tc>
      </w:tr>
      <w:tr>
        <w:trPr>
          <w:trHeight w:val="239"/>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​7,907</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$11,158</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$31,577</w:t>
            </w:r>
          </w:p>
        </w:tc>
        <w:tc>
          <w:tcPr>
            <w:tcW w:w="15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$17,771</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September 30, 2024 and December 31, 2023, we had cash of $45.0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September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18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180" w:type="dxa"/>
            <w:vAlign w:val="bottom"/>
          </w:tcPr>
          <w:p>
            <w:pPr>
              <w:spacing w:after="0"/>
              <w:rPr>
                <w:sz w:val="16"/>
                <w:szCs w:val="16"/>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7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$27,275</w:t>
            </w: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$12,410</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​(9,499)</w:t>
            </w:r>
          </w:p>
        </w:tc>
        <w:tc>
          <w:tcPr>
            <w:tcW w:w="14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​(8,870)</w:t>
            </w:r>
          </w:p>
        </w:tc>
      </w:tr>
      <w:tr>
        <w:trPr>
          <w:trHeight w:val="23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​(7,083)</w:t>
            </w: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(4,402)</w:t>
            </w:r>
          </w:p>
        </w:tc>
      </w:tr>
      <w:tr>
        <w:trPr>
          <w:trHeight w:val="54"/>
        </w:trPr>
        <w:tc>
          <w:tcPr>
            <w:tcW w:w="61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r>
    </w:tbl>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$27.3 million, which resulted from a net income of $8.5 million, together with net cash outflows of $2.2 million from changes in operating assets and liabilities, and non-cash items of $21.0 million, consisting of depreciation and amortization of $9.6 million, change in TRA liability of $1.5 million, amortization of right-of-use lease assets of $3.3 million, stock-based compensation of $7.2 million, partially offset by change in fair value of warrant liability of $0.2 million, gain on lease termination of $0.1 million and provision (recovery) for credit losses of $0.3 million. Net cash outflows from changes in operating assets and liabilities was primarily due to an increase in prepaid expenses and other current assets of $0.4 million, a decrease in accounts payable and accrued expenses of $1.2 million, a decrease in deferred revenue of $0.2 million and a decrease in operating lease liabilities of $5.0 million, partially offset by a decrease in accounts receivable of $3.5 million and a decrease in other assets of $1.0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$12.4 million, which resulted from net loss of $4.5 million, together with net cash outflows of $12.5 million from changes in operating assets and liabilities, and non-cash items of $29.4 million, consisting of depreciation and amortization of $9.4 million, fair value of warrant liability of $0.8 million, change in TRA liability of $0.7 million, amortization of right-of-use lease assets of $3.7 million, asset impairment charges of $8.4 million and stock-based compensation of $10.4 million, partially offset by gain from the discharge of a holdback obligation related to a prior acquisition of $3.7 million and provision (recovery) for credit losses of $0.2 million. Net cash outflows from changes in operating assets and liabilities were primarily due to a decrease in accounts payables and accrued expenses of $15.4 million, a decrease in operating lease liabilities of $4.7 million and a decrease in deferred revenue of $0.2 million, partially offset by a decrease in accounts receivables of $5.3 million and a decrease in prepaid expenses and other current assets of $2.4 million. The changes in operating assets and liabilities are mostly due to fluctuations in timing of cash receipts and payments.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$9.5 million, which resulted from $9.5 million cash paid for capital expenditures which includes purchases of property and equipment, including certain capitalized software development cost.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$8.9 million, which resulted from $8.9 million cash paid for capital expenditures which includes purchases of property and equipment, including certain capitalized software development cost.</w:t>
      </w: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2024 was $7.1 million, which primarily consists of $7.3 million in distributions payments to members of WMH LLC, $0.1 million in TRA payments and $0.3 million in proceeds from collection of related party note receivable.</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2023 was $4.4 million, which primarily consists of $1.5 million in repayments of insurance premium financing and $3.2 million in distributions payments to members of WMH LLC and $0.3 million in proceeds from collection of related party note receivable.</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6"/>
                <w:szCs w:val="16"/>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2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80" w:type="dxa"/>
            <w:vAlign w:val="bottom"/>
            <w:tcBorders>
              <w:left w:val="single" w:sz="8" w:color="CCEEFF"/>
            </w:tcBorders>
            <w:shd w:val="clear" w:color="auto" w:fill="CCEEFF"/>
          </w:tcPr>
          <w:p>
            <w:pPr>
              <w:spacing w:after="0"/>
              <w:rPr>
                <w:sz w:val="23"/>
                <w:szCs w:val="23"/>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$ 215,531</w:t>
            </w:r>
          </w:p>
        </w:tc>
        <w:tc>
          <w:tcPr>
            <w:tcW w:w="80" w:type="dxa"/>
            <w:vAlign w:val="bottom"/>
            <w:tcBorders>
              <w:lef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r>
      <w:tr>
        <w:trPr>
          <w:trHeight w:val="248"/>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Borders>
              <w:lef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r>
      <w:tr>
        <w:trPr>
          <w:trHeight w:val="24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Borders>
              <w:lef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r>
      <w:tr>
        <w:trPr>
          <w:trHeight w:val="24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lef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31"/>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tcBorders>
              <w:left w:val="single" w:sz="8" w:color="CCEEFF"/>
            </w:tcBorders>
            <w:shd w:val="clear" w:color="auto" w:fill="CCEEFF"/>
          </w:tcPr>
          <w:p>
            <w:pPr>
              <w:spacing w:after="0"/>
              <w:rPr>
                <w:sz w:val="22"/>
                <w:szCs w:val="22"/>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285,153</w:t>
            </w:r>
          </w:p>
        </w:tc>
        <w:tc>
          <w:tcPr>
            <w:tcW w:w="80" w:type="dxa"/>
            <w:vAlign w:val="bottom"/>
            <w:tcBorders>
              <w:lef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34"/>
        </w:trPr>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r>
      <w:tr>
        <w:trPr>
          <w:trHeight w:val="26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(18,457)</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(69,622)</w:t>
            </w:r>
          </w:p>
        </w:tc>
        <w:tc>
          <w:tcPr>
            <w:tcW w:w="20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24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31"/>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(15,634)</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80" w:type="dxa"/>
            <w:vAlign w:val="bottom"/>
            <w:tcBorders>
              <w:lef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r>
      <w:tr>
        <w:trPr>
          <w:trHeight w:val="31"/>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(15,727)</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(82,651)</w:t>
            </w: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34"/>
        </w:trPr>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r>
      <w:tr>
        <w:trPr>
          <w:trHeight w:val="26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(9,898)</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4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3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net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40" w:type="dxa"/>
            <w:vAlign w:val="bottom"/>
          </w:tcPr>
          <w:p>
            <w:pPr>
              <w:spacing w:after="0"/>
              <w:rPr>
                <w:sz w:val="16"/>
                <w:szCs w:val="16"/>
                <w:color w:val="auto"/>
              </w:rPr>
            </w:pP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0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8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(2,880)</w:t>
            </w:r>
          </w:p>
        </w:tc>
        <w:tc>
          <w:tcPr>
            <w:tcW w:w="2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(35,551)</w:t>
            </w:r>
          </w:p>
        </w:tc>
        <w:tc>
          <w:tcPr>
            <w:tcW w:w="2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4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(14,519)</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(46,474)</w:t>
            </w:r>
          </w:p>
        </w:tc>
        <w:tc>
          <w:tcPr>
            <w:tcW w:w="2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4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31"/>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6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$206,450</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$285,153</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$(78,703)</w:t>
            </w:r>
          </w:p>
        </w:tc>
        <w:tc>
          <w:tcPr>
            <w:tcW w:w="2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audited consolidated financial statements included in this prospectus for additional information.</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4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(23,865)</w:t>
            </w:r>
          </w:p>
        </w:tc>
        <w:tc>
          <w:tcPr>
            <w:tcW w:w="80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(143,608)</w:t>
            </w:r>
          </w:p>
        </w:tc>
        <w:tc>
          <w:tcPr>
            <w:tcW w:w="80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color w:val="auto"/>
                <w:w w:val="99"/>
              </w:rPr>
              <w:t>(101)%</w:t>
            </w: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800" w:type="dxa"/>
            <w:vAlign w:val="bottom"/>
            <w:tcBorders>
              <w:left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(254)%</w:t>
            </w:r>
          </w:p>
        </w:tc>
      </w:tr>
      <w:tr>
        <w:trPr>
          <w:trHeight w:val="31"/>
        </w:trPr>
        <w:tc>
          <w:tcPr>
            <w:tcW w:w="4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6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10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$166,048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$(163,225)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r>
      <w:tr>
        <w:trPr>
          <w:trHeight w:val="25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$179,077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4"/>
        </w:trPr>
        <w:tc>
          <w:tcPr>
            <w:tcW w:w="5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audited consolidated financial statements included in this prospectus.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00" w:type="dxa"/>
            <w:vAlign w:val="bottom"/>
            <w:gridSpan w:val="3"/>
          </w:tcPr>
          <w:p>
            <w:pPr>
              <w:jc w:val="center"/>
              <w:ind w:left="3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500" w:type="dxa"/>
            <w:vAlign w:val="bottom"/>
            <w:gridSpan w:val="3"/>
            <w:shd w:val="clear" w:color="auto" w:fill="CCEEFF"/>
          </w:tcPr>
          <w:p>
            <w:pPr>
              <w:jc w:val="center"/>
              <w:ind w:left="3835"/>
              <w:spacing w:after="0"/>
              <w:rPr>
                <w:sz w:val="20"/>
                <w:szCs w:val="20"/>
                <w:color w:val="auto"/>
              </w:rPr>
            </w:pPr>
            <w:r>
              <w:rPr>
                <w:rFonts w:ascii="Times New Roman" w:cs="Times New Roman" w:eastAsia="Times New Roman" w:hAnsi="Times New Roman"/>
                <w:sz w:val="18"/>
                <w:szCs w:val="18"/>
                <w:color w:val="auto"/>
                <w:w w:val="99"/>
              </w:rPr>
              <w:t>$34,350</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$28,583</w:t>
            </w:r>
          </w:p>
        </w:tc>
        <w:tc>
          <w:tcPr>
            <w:tcW w:w="1300" w:type="dxa"/>
            <w:vAlign w:val="bottom"/>
          </w:tcPr>
          <w:p>
            <w:pPr>
              <w:spacing w:after="0"/>
              <w:rPr>
                <w:sz w:val="23"/>
                <w:szCs w:val="23"/>
                <w:color w:val="auto"/>
              </w:rPr>
            </w:pPr>
          </w:p>
        </w:tc>
      </w:tr>
      <w:tr>
        <w:trPr>
          <w:trHeight w:val="239"/>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500" w:type="dxa"/>
            <w:vAlign w:val="bottom"/>
            <w:gridSpan w:val="3"/>
          </w:tcPr>
          <w:p>
            <w:pPr>
              <w:jc w:val="center"/>
              <w:ind w:left="3815"/>
              <w:spacing w:after="0"/>
              <w:rPr>
                <w:sz w:val="20"/>
                <w:szCs w:val="20"/>
                <w:color w:val="auto"/>
              </w:rPr>
            </w:pPr>
            <w:r>
              <w:rPr>
                <w:rFonts w:ascii="Times New Roman" w:cs="Times New Roman" w:eastAsia="Times New Roman" w:hAnsi="Times New Roman"/>
                <w:sz w:val="18"/>
                <w:szCs w:val="18"/>
                <w:color w:val="auto"/>
                <w:w w:val="95"/>
              </w:rPr>
              <w:t>$11,158</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$17,438</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$17,771</w:t>
            </w:r>
          </w:p>
        </w:tc>
        <w:tc>
          <w:tcPr>
            <w:tcW w:w="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$ 8,660</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40" w:type="dxa"/>
            <w:vAlign w:val="bottom"/>
          </w:tcPr>
          <w:p>
            <w:pPr>
              <w:jc w:val="right"/>
              <w:ind w:right="2095"/>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5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$(11,621)</w:t>
            </w: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$(11,871)</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$(17,768)</w:t>
            </w:r>
          </w:p>
        </w:tc>
        <w:tc>
          <w:tcPr>
            <w:tcW w:w="16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(9,805)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r>
    </w:tbl>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audited consolidated financial statements included in this prospectus. We also have minimum outstanding purchase obligations of $7.1 million in 2024, $7.3 million in 2025 and $7.5 million in 2026, due under software license agreements, of which the majority relates to our three-year AWS Enterprise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audited consolidated financial statements included in this 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audited consolidated financial statements included in this prospectus.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See “Restatement of Previously Reported 2023 Quarterly Revenue and Credit Losses” of Note 2, “Summary of Significant Accounting Policies and Note 3, “Revenue from Contracts with Customers,” to our unaudited condensed consolidated financial statements included in this prospectus for further discussion.</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audited consolidated financial statements included in this prospectus.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audited consolidated financial statements included in this prospectus.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audited consolidated financial statements included in this prospectus for additional information.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2023, in accordance with our annual assessment policy, we opted to bypass the qualitative assessment and performed a quantitative assessment to test goodwill for impairment. As part of our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 In conducting our quantitative assessment, we determined that the fair value of our goodwill substantially exceeded its carrying amount by approximately 18%, and as a result, no impairment existed as of the annual assessment date of December 31, 2023. If our forecasts of cash flows or other key inputs are negatively revised in the future, the estimated fair value of the reporting unit would be adversely impacted, potentially leading to an impairment in the future that could materially affect our operating results.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our audited consolidated financial statements included in this prospectus for additional information.</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In 2023, 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fair value of the Public Warrants is classified as Level 1 financial instruments and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audited consolidated financial statements included in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w:t>
      </w:r>
    </w:p>
    <w:p>
      <w:pPr>
        <w:jc w:val="both"/>
        <w:ind w:left="300" w:right="299"/>
        <w:spacing w:after="0" w:line="241" w:lineRule="auto"/>
        <w:rPr>
          <w:sz w:val="20"/>
          <w:szCs w:val="20"/>
          <w:color w:val="auto"/>
        </w:rPr>
      </w:pPr>
      <w:r>
        <w:rPr>
          <w:rFonts w:ascii="Times New Roman" w:cs="Times New Roman" w:eastAsia="Times New Roman" w:hAnsi="Times New Roman"/>
          <w:sz w:val="18"/>
          <w:szCs w:val="18"/>
          <w:color w:val="auto"/>
        </w:rPr>
        <w:t>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adult, aged 21 and 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837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8066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35"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$45.9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5,045 average monthly paying clients for the three months ended June 30, 2024,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91" w:lineRule="exact"/>
        <w:rPr>
          <w:sz w:val="20"/>
          <w:szCs w:val="20"/>
          <w:color w:val="auto"/>
        </w:rPr>
      </w:pPr>
    </w:p>
    <w:p>
      <w:pPr>
        <w:ind w:left="460" w:right="319" w:hanging="168"/>
        <w:spacing w:after="0" w:line="184" w:lineRule="auto"/>
        <w:tabs>
          <w:tab w:leader="none" w:pos="46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60" w:hanging="168"/>
        <w:spacing w:after="0" w:line="210" w:lineRule="auto"/>
        <w:tabs>
          <w:tab w:leader="none" w:pos="4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00" w:right="299" w:hanging="348"/>
        <w:spacing w:after="0" w:line="254"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Chief Executive Officer, Chairman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5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8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w:t>
      </w: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30, 2024, we hold a variety of trademark registrations in the United States, Canada, Japan, the European Union, the United Kingdom, Mexico and Australia.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September 30, 2024, we had 427 full-time employees and 16 temporary employees, including 182 in engineering, product and design, 177 in sales and marketing and 84 in general and administrative. Of these employees, 436 are located in the United States and 7 are located in Canada.</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unaudited condensed consolidated financial statements included in this prospectus are incorporated by reference.</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2:24-cv-08959, was filed in the U.S. District Court for the Central District of California, naming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former and current officers and/or directors of the Company and Silver Spike Acquisition Corp. (“Silver Spike”) as defendants. The lawsuit alleges that we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our securities between May 25, 2021, and September 24, 2024, inclusive, and seeks unspecified monetary damages on behalf of the putative class and an award of costs and expenses, including attorney’s fees.</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this early stage of the proceedings, we are unable to make any prediction regarding the outcome of the litigation.</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investigation with respect to the Company. Under the terms of the settlement, we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to pay a civil money penalty of $1.5 million. The settlement was approved by the SEC, and the administrative cease-and-desist order was entered in September 2024. We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 on November 8, 2024, a shareholder derivative action, captioned DeGennaro v. Francis, et. al, Case No. 8:24-cv-02454 was filed in the U.S. District Court for the Central District of California against certain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complaint seeks unspecified damages on behalf of the Company, disgorgement or restitution, corporate governance reforms, declaratory relief, and an award of costs and expenses to the derivative plaintiff, including attorneys’ fees.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Sections 14(a) and for contribution under Sections 10(b) and 21D of the Exchange Act as well as claims for breach of fiduciary duty, unjust enrichment, abuse of control, gross mismanagement and waste of corporate assets. The derivative complaint seeks unspecified damages on behalf of the Company, corporate governance reforms, and an award of costs and expenses to the derivative plaintiff, including attorneys' fees.</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November 29,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1"/>
                <w:szCs w:val="2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47"/>
        </w:trPr>
        <w:tc>
          <w:tcPr>
            <w:tcW w:w="2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1"/>
                <w:szCs w:val="21"/>
                <w:color w:val="auto"/>
              </w:rPr>
            </w:pPr>
          </w:p>
        </w:tc>
      </w:tr>
      <w:tr>
        <w:trPr>
          <w:trHeight w:val="24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4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47, was appointed as the Company’s Chief Executive Officer on November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Mr. Francis has served as a member of the Board since June 2021, and as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30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Chief Financial Officer since February 2024. Since February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Camire 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69,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60,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Glenn Ibbot</w:t>
      </w:r>
      <w:r>
        <w:rPr>
          <w:rFonts w:ascii="Times New Roman" w:cs="Times New Roman" w:eastAsia="Times New Roman" w:hAnsi="Times New Roman"/>
          <w:sz w:val="18"/>
          <w:szCs w:val="18"/>
          <w:color w:val="auto"/>
        </w:rPr>
        <w:t>. Mr. Ibbott, age 62, has served as a member of the Board since October 2024.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Ibbott has served as the founder of GK Financial Ventures, a financial consulting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director, and the transactions involving them described in the section entitled “Certain Relationships and Related Party Transactions” that occurred during any 12-month period within the last three fiscal years.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Board is currently chaired by Mr. Francis, the Company’s Chief Executive Officer. Ms. Freeman currently serves as our lead independent director.</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the Company’s Chief Executive Officer, principal executive officer and Board Chairman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Chief Executive Officer and Board Chairman. The lead independent director is empowered to, among other duties and responsibilities, approve agendas and meeting schedules for regular Board meetings, preside over Board meetings in the absence of the Chairman, preside over and establish the agendas for meetings of the independent directors, act as liaison between the Chairman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Chairman, for example, by facilitating the inclusion on meeting agendas of matters of concern to the independent directors.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40" w:type="dxa"/>
            <w:vAlign w:val="bottom"/>
          </w:tcPr>
          <w:p>
            <w:pPr>
              <w:spacing w:after="0"/>
              <w:rPr>
                <w:sz w:val="12"/>
                <w:szCs w:val="12"/>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2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X**</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68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8</w:t>
            </w:r>
          </w:p>
        </w:tc>
        <w:tc>
          <w:tcPr>
            <w:tcW w:w="11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w:t>
            </w:r>
          </w:p>
        </w:tc>
        <w:tc>
          <w:tcPr>
            <w:tcW w:w="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123190</wp:posOffset>
            </wp:positionV>
            <wp:extent cx="8229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us of her decision to resign as a member of our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7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Ibbott. The Board has determined that each of the members of the Audit Committee satisfy the independence requirements of Rule 5605(c)</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Messrs. Bay and Ibbott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Gordon and Ibbott.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 Freeman who serves as the Chairperson of the Nominating and Corporate Governance Committee, and Mr. Gordon. The Board has determined that each of the members of the Nominating and Corporate Governance Committee satisfies the independence requirements of Nasdaq. The Nominating and Corporate Governance Committee met three times during 2023.</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Messrs. Bay and Francis. Mr. Bay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88" w:lineRule="exact"/>
        <w:rPr>
          <w:sz w:val="20"/>
          <w:szCs w:val="20"/>
          <w:color w:val="auto"/>
        </w:rPr>
      </w:pPr>
    </w:p>
    <w:p>
      <w:pPr>
        <w:ind w:left="1000" w:hanging="348"/>
        <w:spacing w:after="0"/>
        <w:tabs>
          <w:tab w:leader="none" w:pos="1000" w:val="left"/>
        </w:tabs>
        <w:numPr>
          <w:ilvl w:val="1"/>
          <w:numId w:val="6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ind w:left="1000" w:hanging="348"/>
        <w:spacing w:after="0"/>
        <w:tabs>
          <w:tab w:leader="none" w:pos="1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191" w:lineRule="exact"/>
        <w:rPr>
          <w:rFonts w:ascii="Times New Roman" w:cs="Times New Roman" w:eastAsia="Times New Roman" w:hAnsi="Times New Roman"/>
          <w:sz w:val="36"/>
          <w:szCs w:val="36"/>
          <w:color w:val="auto"/>
          <w:vertAlign w:val="superscript"/>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 Executive Employment Arrangements” below.</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1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3" w:lineRule="exact"/>
        <w:rPr>
          <w:sz w:val="20"/>
          <w:szCs w:val="20"/>
          <w:color w:val="auto"/>
        </w:rPr>
      </w:pPr>
    </w:p>
    <w:p>
      <w:pPr>
        <w:ind w:left="580" w:right="40" w:hanging="288"/>
        <w:spacing w:after="0" w:line="255"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80" w:hanging="288"/>
        <w:spacing w:after="0" w:line="254"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Retain an Independent Compensation Consultant.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5" w:lineRule="exact"/>
        <w:rPr>
          <w:rFonts w:ascii="Times New Roman" w:cs="Times New Roman" w:eastAsia="Times New Roman" w:hAnsi="Times New Roman"/>
          <w:sz w:val="18"/>
          <w:szCs w:val="18"/>
          <w:color w:val="auto"/>
        </w:rPr>
      </w:pPr>
    </w:p>
    <w:p>
      <w:pPr>
        <w:ind w:left="580" w:right="20" w:hanging="288"/>
        <w:spacing w:after="0" w:line="255"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3" w:lineRule="exact"/>
        <w:rPr>
          <w:rFonts w:ascii="Times New Roman" w:cs="Times New Roman" w:eastAsia="Times New Roman" w:hAnsi="Times New Roman"/>
          <w:sz w:val="18"/>
          <w:szCs w:val="18"/>
          <w:color w:val="auto"/>
        </w:rPr>
      </w:pPr>
    </w:p>
    <w:p>
      <w:pPr>
        <w:ind w:left="580" w:right="20" w:hanging="288"/>
        <w:spacing w:after="0" w:line="255"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80" w:hanging="288"/>
        <w:spacing w:after="0" w:line="256"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3" w:lineRule="exact"/>
        <w:rPr>
          <w:rFonts w:ascii="Times New Roman" w:cs="Times New Roman" w:eastAsia="Times New Roman" w:hAnsi="Times New Roman"/>
          <w:sz w:val="18"/>
          <w:szCs w:val="18"/>
          <w:color w:val="auto"/>
        </w:rPr>
      </w:pPr>
    </w:p>
    <w:p>
      <w:pPr>
        <w:ind w:left="580" w:hanging="288"/>
        <w:spacing w:after="0" w:line="258"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26149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3" w:lineRule="exact"/>
        <w:rPr>
          <w:sz w:val="20"/>
          <w:szCs w:val="20"/>
          <w:color w:val="auto"/>
        </w:rPr>
      </w:pPr>
    </w:p>
    <w:p>
      <w:pPr>
        <w:ind w:left="302" w:right="379" w:hanging="302"/>
        <w:spacing w:after="0" w:line="253" w:lineRule="auto"/>
        <w:tabs>
          <w:tab w:leader="none" w:pos="30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5" w:lineRule="exact"/>
        <w:rPr>
          <w:rFonts w:ascii="Times New Roman" w:cs="Times New Roman" w:eastAsia="Times New Roman" w:hAnsi="Times New Roman"/>
          <w:sz w:val="18"/>
          <w:szCs w:val="18"/>
          <w:color w:val="auto"/>
        </w:rPr>
      </w:pPr>
    </w:p>
    <w:p>
      <w:pPr>
        <w:ind w:left="302" w:right="299" w:hanging="302"/>
        <w:spacing w:after="0" w:line="254" w:lineRule="auto"/>
        <w:tabs>
          <w:tab w:leader="none" w:pos="30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w:t>
      </w:r>
    </w:p>
    <w:p>
      <w:pPr>
        <w:spacing w:after="0" w:line="1"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401(k) plan.</w:t>
      </w:r>
    </w:p>
    <w:p>
      <w:pPr>
        <w:spacing w:after="0" w:line="15" w:lineRule="exact"/>
        <w:rPr>
          <w:rFonts w:ascii="Times New Roman" w:cs="Times New Roman" w:eastAsia="Times New Roman" w:hAnsi="Times New Roman"/>
          <w:sz w:val="18"/>
          <w:szCs w:val="18"/>
          <w:color w:val="auto"/>
        </w:rPr>
      </w:pPr>
    </w:p>
    <w:p>
      <w:pPr>
        <w:ind w:left="302" w:right="339" w:hanging="302"/>
        <w:spacing w:after="0" w:line="258" w:lineRule="auto"/>
        <w:tabs>
          <w:tab w:leader="none" w:pos="30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Tax Payments on Change-in-Control Arrangements. </w:t>
      </w:r>
      <w:r>
        <w:rPr>
          <w:rFonts w:ascii="Times New Roman" w:cs="Times New Roman" w:eastAsia="Times New Roman" w:hAnsi="Times New Roman"/>
          <w:sz w:val="18"/>
          <w:szCs w:val="18"/>
          <w:color w:val="auto"/>
        </w:rPr>
        <w:t>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10" w:lineRule="exact"/>
        <w:rPr>
          <w:rFonts w:ascii="Times New Roman" w:cs="Times New Roman" w:eastAsia="Times New Roman" w:hAnsi="Times New Roman"/>
          <w:sz w:val="18"/>
          <w:szCs w:val="18"/>
          <w:color w:val="auto"/>
        </w:rPr>
      </w:pPr>
    </w:p>
    <w:p>
      <w:pPr>
        <w:ind w:left="302" w:right="299" w:hanging="302"/>
        <w:spacing w:after="0" w:line="270" w:lineRule="auto"/>
        <w:tabs>
          <w:tab w:leader="none" w:pos="30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Hedging or Pledging of our Securities. </w:t>
      </w:r>
      <w:r>
        <w:rPr>
          <w:rFonts w:ascii="Times New Roman" w:cs="Times New Roman" w:eastAsia="Times New Roman" w:hAnsi="Times New Roman"/>
          <w:sz w:val="17"/>
          <w:szCs w:val="17"/>
          <w:color w:val="auto"/>
        </w:rPr>
        <w:t>As part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403" w:lineRule="exact"/>
        <w:rPr>
          <w:sz w:val="20"/>
          <w:szCs w:val="20"/>
          <w:color w:val="auto"/>
        </w:rPr>
      </w:pPr>
    </w:p>
    <w:p>
      <w:pPr>
        <w:sectPr>
          <w:pgSz w:w="11900" w:h="16838" w:orient="portrait"/>
          <w:cols w:equalWidth="0" w:num="2">
            <w:col w:w="4380" w:space="218"/>
            <w:col w:w="4421"/>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18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53" w:lineRule="exact"/>
        <w:rPr>
          <w:sz w:val="20"/>
          <w:szCs w:val="20"/>
          <w:color w:val="auto"/>
        </w:rPr>
      </w:pPr>
    </w:p>
    <w:p>
      <w:pPr>
        <w:ind w:left="580" w:right="4659" w:hanging="288"/>
        <w:spacing w:after="0" w:line="252" w:lineRule="auto"/>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8" w:lineRule="exact"/>
        <w:rPr>
          <w:rFonts w:ascii="Times New Roman" w:cs="Times New Roman" w:eastAsia="Times New Roman" w:hAnsi="Times New Roman"/>
          <w:sz w:val="18"/>
          <w:szCs w:val="18"/>
          <w:color w:val="auto"/>
        </w:rPr>
      </w:pPr>
    </w:p>
    <w:p>
      <w:pPr>
        <w:ind w:left="580" w:right="4659" w:hanging="288"/>
        <w:spacing w:after="0" w:line="256" w:lineRule="auto"/>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3" w:lineRule="exact"/>
        <w:rPr>
          <w:rFonts w:ascii="Times New Roman" w:cs="Times New Roman" w:eastAsia="Times New Roman" w:hAnsi="Times New Roman"/>
          <w:sz w:val="18"/>
          <w:szCs w:val="18"/>
          <w:color w:val="auto"/>
        </w:rPr>
      </w:pPr>
    </w:p>
    <w:p>
      <w:pPr>
        <w:ind w:left="580" w:right="4859" w:hanging="288"/>
        <w:spacing w:after="0" w:line="260" w:lineRule="auto"/>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We require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with respect to our executive officers pursuant to the terms of our clawback policy.</w:t>
      </w:r>
    </w:p>
    <w:p>
      <w:pPr>
        <w:spacing w:after="0" w:line="2" w:lineRule="exact"/>
        <w:rPr>
          <w:rFonts w:ascii="Times New Roman" w:cs="Times New Roman" w:eastAsia="Times New Roman" w:hAnsi="Times New Roman"/>
          <w:sz w:val="18"/>
          <w:szCs w:val="18"/>
          <w:color w:val="auto"/>
        </w:rPr>
      </w:pPr>
    </w:p>
    <w:p>
      <w:pPr>
        <w:ind w:left="580" w:right="4639" w:hanging="288"/>
        <w:spacing w:after="0" w:line="267" w:lineRule="auto"/>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00" w:type="dxa"/>
            <w:vAlign w:val="bottom"/>
          </w:tcPr>
          <w:p>
            <w:pPr>
              <w:spacing w:after="0"/>
              <w:rPr>
                <w:sz w:val="13"/>
                <w:szCs w:val="13"/>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00" w:type="dxa"/>
            <w:vAlign w:val="bottom"/>
          </w:tcPr>
          <w:p>
            <w:pPr>
              <w:spacing w:after="0"/>
              <w:rPr>
                <w:sz w:val="13"/>
                <w:szCs w:val="13"/>
                <w:color w:val="auto"/>
              </w:rPr>
            </w:pPr>
          </w:p>
        </w:tc>
        <w:tc>
          <w:tcPr>
            <w:tcW w:w="26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0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Fixed</w:t>
            </w: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spacing w:after="0"/>
        <w:tabs>
          <w:tab w:leader="none" w:pos="1560" w:val="left"/>
          <w:tab w:leader="none" w:pos="2640" w:val="left"/>
        </w:tabs>
        <w:rPr>
          <w:sz w:val="20"/>
          <w:szCs w:val="20"/>
          <w:color w:val="auto"/>
        </w:rPr>
      </w:pPr>
      <w:r>
        <w:rPr>
          <w:rFonts w:ascii="Times New Roman" w:cs="Times New Roman" w:eastAsia="Times New Roman" w:hAnsi="Times New Roman"/>
          <w:sz w:val="18"/>
          <w:szCs w:val="18"/>
          <w:color w:val="auto"/>
        </w:rPr>
        <w:t>Cash Bonuses</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tabs>
          <w:tab w:leader="none" w:pos="1560" w:val="left"/>
          <w:tab w:leader="none" w:pos="2640" w:val="left"/>
        </w:tabs>
        <w:rPr>
          <w:sz w:val="20"/>
          <w:szCs w:val="20"/>
          <w:color w:val="auto"/>
        </w:rPr>
      </w:pPr>
      <w:r>
        <w:rPr>
          <w:rFonts w:ascii="Times New Roman" w:cs="Times New Roman" w:eastAsia="Times New Roman" w:hAnsi="Times New Roman"/>
          <w:sz w:val="18"/>
          <w:szCs w:val="18"/>
          <w:color w:val="auto"/>
        </w:rPr>
        <w:t>Long Term</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Equity awards in the form of RSU</w:t>
      </w:r>
    </w:p>
    <w:p>
      <w:pPr>
        <w:spacing w:after="0" w:line="27" w:lineRule="exact"/>
        <w:rPr>
          <w:sz w:val="20"/>
          <w:szCs w:val="20"/>
          <w:color w:val="auto"/>
        </w:rPr>
      </w:pPr>
    </w:p>
    <w:p>
      <w:pPr>
        <w:ind w:left="300"/>
        <w:spacing w:after="0"/>
        <w:tabs>
          <w:tab w:leader="none" w:pos="2640" w:val="left"/>
        </w:tabs>
        <w:rPr>
          <w:sz w:val="20"/>
          <w:szCs w:val="20"/>
          <w:color w:val="auto"/>
        </w:rPr>
      </w:pPr>
      <w:r>
        <w:rPr>
          <w:rFonts w:ascii="Times New Roman" w:cs="Times New Roman" w:eastAsia="Times New Roman" w:hAnsi="Times New Roman"/>
          <w:sz w:val="18"/>
          <w:szCs w:val="18"/>
          <w:color w:val="auto"/>
        </w:rPr>
        <w:t>Incentive</w:t>
      </w:r>
      <w:r>
        <w:rPr>
          <w:sz w:val="20"/>
          <w:szCs w:val="20"/>
          <w:color w:val="auto"/>
        </w:rPr>
        <w:tab/>
      </w:r>
      <w:r>
        <w:rPr>
          <w:rFonts w:ascii="Times New Roman" w:cs="Times New Roman" w:eastAsia="Times New Roman" w:hAnsi="Times New Roman"/>
          <w:sz w:val="18"/>
          <w:szCs w:val="18"/>
          <w:color w:val="auto"/>
        </w:rPr>
        <w:t>awards that may be settled for</w:t>
      </w:r>
    </w:p>
    <w:p>
      <w:pPr>
        <w:spacing w:after="0" w:line="9" w:lineRule="exact"/>
        <w:rPr>
          <w:sz w:val="20"/>
          <w:szCs w:val="20"/>
          <w:color w:val="auto"/>
        </w:rPr>
      </w:pPr>
    </w:p>
    <w:p>
      <w:pPr>
        <w:ind w:left="300"/>
        <w:spacing w:after="0"/>
        <w:tabs>
          <w:tab w:leader="none" w:pos="2640" w:val="left"/>
        </w:tabs>
        <w:rPr>
          <w:sz w:val="20"/>
          <w:szCs w:val="20"/>
          <w:color w:val="auto"/>
        </w:rPr>
      </w:pPr>
      <w:r>
        <w:rPr>
          <w:rFonts w:ascii="Times New Roman" w:cs="Times New Roman" w:eastAsia="Times New Roman" w:hAnsi="Times New Roman"/>
          <w:sz w:val="18"/>
          <w:szCs w:val="18"/>
          <w:color w:val="auto"/>
        </w:rPr>
        <w:t>Compensation</w:t>
      </w:r>
      <w:r>
        <w:rPr>
          <w:sz w:val="20"/>
          <w:szCs w:val="20"/>
          <w:color w:val="auto"/>
        </w:rPr>
        <w:tab/>
      </w:r>
      <w:r>
        <w:rPr>
          <w:rFonts w:ascii="Times New Roman" w:cs="Times New Roman" w:eastAsia="Times New Roman" w:hAnsi="Times New Roman"/>
          <w:sz w:val="18"/>
          <w:szCs w:val="18"/>
          <w:color w:val="auto"/>
        </w:rPr>
        <w:t>shares of our Class A Common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Stock and PRSU awards that may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be earned and settled for shares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our Class A Common Stock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057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5" w:lineRule="exact"/>
        <w:rPr>
          <w:sz w:val="20"/>
          <w:szCs w:val="20"/>
          <w:color w:val="auto"/>
        </w:rPr>
      </w:pPr>
    </w:p>
    <w:p>
      <w:pPr>
        <w:ind w:right="379"/>
        <w:spacing w:after="0" w:line="256" w:lineRule="auto"/>
        <w:rPr>
          <w:sz w:val="20"/>
          <w:szCs w:val="20"/>
          <w:color w:val="auto"/>
        </w:rPr>
      </w:pPr>
      <w:r>
        <w:rPr>
          <w:rFonts w:ascii="Times New Roman" w:cs="Times New Roman" w:eastAsia="Times New Roman" w:hAnsi="Times New Roman"/>
          <w:sz w:val="18"/>
          <w:szCs w:val="18"/>
          <w:color w:val="auto"/>
        </w:rPr>
        <w:t>Designed to attract and retain executives by providing a competitive fixed amount of cash compensation based on the executive’s role, prior experience, and expected contributions to the Company</w:t>
      </w:r>
    </w:p>
    <w:p>
      <w:pPr>
        <w:spacing w:after="0" w:line="3"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Designed to motivate our executives to achieve business objectives tied to specific Company metrics and which are aligned to our annual priorities, with the payout opportunity based on Company and individual performance</w:t>
      </w:r>
    </w:p>
    <w:p>
      <w:pPr>
        <w:spacing w:after="0" w:line="3"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Designed to align the interests of our executives and our stockholders while helping to attract and retain talented leaders by paying for performance</w:t>
      </w:r>
    </w:p>
    <w:p>
      <w:pPr>
        <w:spacing w:after="0" w:line="557" w:lineRule="exact"/>
        <w:rPr>
          <w:sz w:val="20"/>
          <w:szCs w:val="20"/>
          <w:color w:val="auto"/>
        </w:rPr>
      </w:pPr>
    </w:p>
    <w:p>
      <w:pPr>
        <w:sectPr>
          <w:pgSz w:w="11900" w:h="16838" w:orient="portrait"/>
          <w:cols w:equalWidth="0" w:num="2">
            <w:col w:w="5260" w:space="220"/>
            <w:col w:w="3539"/>
          </w:cols>
          <w:pgMar w:left="1440" w:top="263" w:right="1440" w:bottom="1440" w:gutter="0" w:footer="0" w:header="0"/>
          <w:type w:val="continuous"/>
        </w:sect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1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30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74"/>
        </w:trPr>
        <w:tc>
          <w:tcPr>
            <w:tcW w:w="712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3"/>
                <w:szCs w:val="13"/>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Cash Bonus Opportunity (as</w:t>
            </w:r>
          </w:p>
        </w:tc>
        <w:tc>
          <w:tcPr>
            <w:tcW w:w="16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 percentage of base salary)</w:t>
            </w:r>
          </w:p>
        </w:tc>
        <w:tc>
          <w:tcPr>
            <w:tcW w:w="160" w:type="dxa"/>
            <w:vAlign w:val="bottom"/>
          </w:tcPr>
          <w:p>
            <w:pPr>
              <w:spacing w:after="0"/>
              <w:rPr>
                <w:sz w:val="16"/>
                <w:szCs w:val="16"/>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Opportunity ($)</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1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262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74"/>
        </w:trPr>
        <w:tc>
          <w:tcPr>
            <w:tcW w:w="410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2620" w:type="dxa"/>
            <w:vAlign w:val="bottom"/>
            <w:gridSpan w:val="2"/>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0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15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9"/>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290"/>
        </w:trPr>
        <w:tc>
          <w:tcPr>
            <w:tcW w:w="34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640" w:type="dxa"/>
            <w:vAlign w:val="bottom"/>
            <w:gridSpan w:val="3"/>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640" w:type="dxa"/>
            <w:vAlign w:val="bottom"/>
            <w:gridSpan w:val="3"/>
          </w:tcPr>
          <w:p>
            <w:pPr>
              <w:jc w:val="right"/>
              <w:ind w:right="339"/>
              <w:spacing w:after="0"/>
              <w:rPr>
                <w:sz w:val="20"/>
                <w:szCs w:val="20"/>
                <w:color w:val="auto"/>
              </w:rPr>
            </w:pPr>
            <w:r>
              <w:rPr>
                <w:rFonts w:ascii="Times New Roman" w:cs="Times New Roman" w:eastAsia="Times New Roman" w:hAnsi="Times New Roman"/>
                <w:sz w:val="18"/>
                <w:szCs w:val="18"/>
                <w:color w:val="auto"/>
              </w:rPr>
              <w:t>$181,425</w:t>
            </w:r>
          </w:p>
        </w:tc>
        <w:tc>
          <w:tcPr>
            <w:tcW w:w="170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4"/>
        </w:trPr>
        <w:tc>
          <w:tcPr>
            <w:tcW w:w="344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640" w:type="dxa"/>
            <w:vAlign w:val="bottom"/>
            <w:gridSpan w:val="3"/>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640" w:type="dxa"/>
            <w:vAlign w:val="bottom"/>
            <w:gridSpan w:val="3"/>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$188,062</w:t>
            </w:r>
          </w:p>
        </w:tc>
        <w:tc>
          <w:tcPr>
            <w:tcW w:w="170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 -term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90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9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692,968</w:t>
            </w:r>
          </w:p>
        </w:tc>
        <w:tc>
          <w:tcPr>
            <w:tcW w:w="106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9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655,468</w:t>
            </w:r>
          </w:p>
        </w:tc>
        <w:tc>
          <w:tcPr>
            <w:tcW w:w="10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88" w:lineRule="exact"/>
        <w:rPr>
          <w:sz w:val="20"/>
          <w:szCs w:val="20"/>
          <w:color w:val="auto"/>
        </w:rPr>
      </w:pPr>
    </w:p>
    <w:p>
      <w:pPr>
        <w:ind w:left="1000" w:hanging="348"/>
        <w:spacing w:after="0"/>
        <w:tabs>
          <w:tab w:leader="none" w:pos="1000" w:val="left"/>
        </w:tabs>
        <w:numPr>
          <w:ilvl w:val="1"/>
          <w:numId w:val="7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ind w:left="1000" w:hanging="348"/>
        <w:spacing w:after="0"/>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7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191" w:lineRule="exact"/>
        <w:rPr>
          <w:rFonts w:ascii="Times New Roman" w:cs="Times New Roman" w:eastAsia="Times New Roman" w:hAnsi="Times New Roman"/>
          <w:sz w:val="36"/>
          <w:szCs w:val="36"/>
          <w:color w:val="auto"/>
          <w:vertAlign w:val="superscript"/>
        </w:rPr>
      </w:pP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tbl>
      <w:tblPr>
        <w:tblLayout w:type="fixed"/>
        <w:tblInd w:w="300" w:type="dxa"/>
        <w:tblCellMar>
          <w:top w:w="0" w:type="dxa"/>
          <w:left w:w="0" w:type="dxa"/>
          <w:bottom w:w="0" w:type="dxa"/>
          <w:right w:w="0" w:type="dxa"/>
        </w:tblCellMar>
      </w:tblPr>
      <w:tr>
        <w:trPr>
          <w:trHeight w:val="161"/>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20" w:type="dxa"/>
            <w:vAlign w:val="bottom"/>
            <w:gridSpan w:val="2"/>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59"/>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388,384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82,607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1,170,991</w:t>
            </w:r>
          </w:p>
        </w:tc>
        <w:tc>
          <w:tcPr>
            <w:tcW w:w="0" w:type="dxa"/>
            <w:vAlign w:val="bottom"/>
          </w:tcPr>
          <w:p>
            <w:pPr>
              <w:spacing w:after="0"/>
              <w:rPr>
                <w:sz w:val="1"/>
                <w:szCs w:val="1"/>
                <w:color w:val="auto"/>
              </w:rPr>
            </w:pPr>
          </w:p>
        </w:tc>
      </w:tr>
      <w:tr>
        <w:trPr>
          <w:trHeight w:val="243"/>
        </w:trPr>
        <w:tc>
          <w:tcPr>
            <w:tcW w:w="162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69,701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1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18"/>
                <w:szCs w:val="18"/>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18"/>
                <w:szCs w:val="18"/>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12,111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1,468,754</w:t>
            </w:r>
          </w:p>
        </w:tc>
        <w:tc>
          <w:tcPr>
            <w:tcW w:w="0" w:type="dxa"/>
            <w:vAlign w:val="bottom"/>
          </w:tcPr>
          <w:p>
            <w:pPr>
              <w:spacing w:after="0"/>
              <w:rPr>
                <w:sz w:val="1"/>
                <w:szCs w:val="1"/>
                <w:color w:val="auto"/>
              </w:rPr>
            </w:pPr>
          </w:p>
        </w:tc>
      </w:tr>
      <w:tr>
        <w:trPr>
          <w:trHeight w:val="216"/>
        </w:trPr>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13,384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41"/>
        </w:trPr>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24,658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1,719,217</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Chief Technology</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10,504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-33655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2"/>
                <w:szCs w:val="12"/>
                <w:color w:val="auto"/>
              </w:rPr>
            </w:pP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gridSpan w:val="2"/>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0" w:type="dxa"/>
            <w:vAlign w:val="bottom"/>
          </w:tcPr>
          <w:p>
            <w:pPr>
              <w:spacing w:after="0"/>
              <w:rPr>
                <w:sz w:val="1"/>
                <w:szCs w:val="1"/>
                <w:color w:val="auto"/>
              </w:rPr>
            </w:pPr>
          </w:p>
        </w:tc>
      </w:tr>
      <w:tr>
        <w:trPr>
          <w:trHeight w:val="209"/>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Brian</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42,207</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600,846 432,789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920" w:type="dxa"/>
            <w:vAlign w:val="bottom"/>
            <w:tcBorders>
              <w:bottom w:val="single" w:sz="8" w:color="CCEEFF"/>
            </w:tcBorders>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61,976</w:t>
            </w: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11/12/2019</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18"/>
                <w:szCs w:val="18"/>
                <w:color w:val="auto"/>
              </w:rPr>
            </w:pPr>
          </w:p>
        </w:tc>
        <w:tc>
          <w:tcPr>
            <w:tcW w:w="86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635,221 457,550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25,609</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8"/>
                <w:szCs w:val="18"/>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920" w:type="dxa"/>
            <w:vAlign w:val="bottom"/>
            <w:gridSpan w:val="2"/>
          </w:tcPr>
          <w:p>
            <w:pPr>
              <w:jc w:val="right"/>
              <w:ind w:right="147"/>
              <w:spacing w:after="0"/>
              <w:rPr>
                <w:sz w:val="20"/>
                <w:szCs w:val="20"/>
                <w:color w:val="auto"/>
              </w:rPr>
            </w:pPr>
            <w:r>
              <w:rPr>
                <w:rFonts w:ascii="Times New Roman" w:cs="Times New Roman" w:eastAsia="Times New Roman" w:hAnsi="Times New Roman"/>
                <w:sz w:val="16"/>
                <w:szCs w:val="16"/>
                <w:color w:val="auto"/>
              </w:rPr>
              <w:t>15,495</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12/10/2019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Mr. Francis previously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(the “Prior Employment Agreement”). Mr. Francis also is eligible to participate in the employee benefit plans generally available to our employees and maintained by us.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Mr. Francis' appointment as the Company's Chief Executive Officer, the Company entered into a new offer of continued employment with Mr. Francis (the “Employment Agreement”), dated November 7, 2024, which amends and supersedes the Prior Employment Agreement. Under the Employment Agreement, Mr. Francis is entitled to receive an annual base salary of $750,000. In addition, Mr. Francis is eligible to receive an annual target bonus equal to 100% of his annual salary. The Employment Agreement also provides that Mr. Francis will receive</w:t>
      </w:r>
    </w:p>
    <w:p>
      <w:pPr>
        <w:spacing w:after="0" w:line="3" w:lineRule="exact"/>
        <w:rPr>
          <w:sz w:val="20"/>
          <w:szCs w:val="20"/>
          <w:color w:val="auto"/>
        </w:rPr>
      </w:pPr>
    </w:p>
    <w:p>
      <w:pPr>
        <w:jc w:val="both"/>
        <w:ind w:left="300" w:right="299" w:hanging="8"/>
        <w:spacing w:after="0" w:line="251" w:lineRule="auto"/>
        <w:tabs>
          <w:tab w:leader="none" w:pos="5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vesting restricted stock units under the Company’s 2021 Stock Incentive Plan (the “Plan”) with a grant date fair value of $3,995,000.00 (“Service RSUs”) and (iv) performance-based vesting restricted stock units under the Plan with a grant date fair value of $3,995,000.00 (“Performance RSUs”). The Service RSUs will vest quarterly in substantially equal installments over a three-year period, subject to Mr. Francis’ continuous service with the Company. The Performance RSUs will vest upon the achievement of certain stock performance milestones. Under the Employment Agreement, Mr. Francis is eligible to receive the benefits applicable to “Eligible Employees” as described in the Company’s Severance and Change in Control Plan previously adopted by the Audit Committee of the Board (the “Audit Committee”), and other benefits on the same basis as those benefits are made available to other similarly situated employees of the Company. In addition, Mr. Francis is eligible for a reimbursement of the annual membership fee for a concierge medical plan selected by Mr. Francis, subject to a net after-tax maximum yearly amount of $24,000.</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August 7, 2024, Mr. Grazier and the Company entered into a Separation and Release Agreement (the “Separation Agreement”), providing for the terms of Mr. Grazier’s separation from employment with the Company. Under the Separation Agreement, Mr. Grazier remained employed with the Company on an “at-will” basis with the title of Special Advisor, assisting the Company in the transition of the Chief Technology Officer role through October 31, 2024. In addition, under the Separation Agreement, the Company agreed to provide Mr. Grazier with the following separation payments and benefits in lieu of any payments or benefits he may otherwise have been entitled to under the terms of his employment agreement: an amount equal to the equivalent of nine months base salary plus 75% of his 2024 target bonus, less any applicable taxes, deductions and withholdings; nine months of paid COBRA premiums (which cease in the event of new coverage with a subsequent employer); and vesting acceleration of 66,086 restricted stock units. The Separation Agreement contains a release of claims, subject to customary exceptions.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2"/>
                <w:szCs w:val="12"/>
                <w:color w:val="auto"/>
              </w:rPr>
            </w:pPr>
          </w:p>
        </w:tc>
        <w:tc>
          <w:tcPr>
            <w:tcW w:w="26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(2)(3)</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318,750</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159,375</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24,151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225"/>
        </w:trPr>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during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CIC period</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425,000</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212,500</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32,202</w:t>
            </w:r>
          </w:p>
        </w:tc>
        <w:tc>
          <w:tcPr>
            <w:tcW w:w="9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504,301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1,174,003</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307,500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153,750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220"/>
        </w:trPr>
        <w:tc>
          <w:tcPr>
            <w:tcW w:w="1740" w:type="dxa"/>
            <w:vAlign w:val="bottom"/>
          </w:tcPr>
          <w:p>
            <w:pPr>
              <w:spacing w:after="0"/>
              <w:rPr>
                <w:sz w:val="19"/>
                <w:szCs w:val="19"/>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Involuntary Termination during</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CIC period</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205,000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22,454</w:t>
            </w: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474,996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 which was amended and restated on November 7, 2024.</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our Annual Report on Form 10-K for fiscal year 2023 (“2023 10-K”), we restated our financial statements for each of the first three quarters of fiscal year 2023 in the 2023 10-K (“Restatement”).</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Restatement would not result in the recoupment of any compensation because the variable incentive compensation for the Company’s executive officers is calculated and paid based on year-end financial results, including year-end Revenue and year-end Adjusted EBITDA targets, which are not finalized until the Company’s year-end financial close processes and audit have been completed. For fiscal 2023, the Company based its determination of variable incentive compensation for its executive officers based on the Company’s 2023 year-end financial results for Revenue and Adjusted EBITDA. The variable component of the Company’s executive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compensation program consists of cash-based bonus opportunities and long-term incentive compensation, including in the form of performance-based restricted stock units (“PRSUs”). Cash-based bonus opportunities for 2023 were delivered through a short-term incentive plan (“STIP”) and achievement of bonus amounts under the STIP were based on the Company’s 2023 year-end Revenue and 2023 year-end Adjusted EBITDA. PRSUs that were outstanding during fiscal 2023 had performance goals based on 2023 year-end Revenue and 2023 year-end Adjusted EBITDA. Accordingly, the Company’s determination of whether any performance goals were achieved with respect to the STIP or outstanding PRSUs took place at the end of fiscal 2023, after taking into account any adjustments to the first three quarters of 2023 that resulted from the Restatement.</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Accordingly, the Restatement did not impact the Company’s executive compensation payments because the variable portion of the Company’s executive compensation payments was calculated and finalized based on financial results provided in the Company’s year-end financial statements. As a result, the Company’s Compensation Committee determined that there were no payments required to be pursued under the Company’s Incentive Compensation Recoupment Policy.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720" w:type="dxa"/>
            <w:vAlign w:val="bottom"/>
            <w:vMerge w:val="continue"/>
          </w:tcPr>
          <w:p>
            <w:pPr>
              <w:spacing w:after="0"/>
              <w:rPr>
                <w:sz w:val="16"/>
                <w:szCs w:val="16"/>
                <w:color w:val="auto"/>
              </w:rPr>
            </w:pPr>
          </w:p>
        </w:tc>
        <w:tc>
          <w:tcPr>
            <w:tcW w:w="7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720" w:type="dxa"/>
            <w:vAlign w:val="bottom"/>
            <w:shd w:val="clear" w:color="auto" w:fill="CCEEFF"/>
          </w:tcPr>
          <w:p>
            <w:pPr>
              <w:ind w:left="180"/>
              <w:spacing w:after="0" w:line="291" w:lineRule="exact"/>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83"/>
        </w:trPr>
        <w:tc>
          <w:tcPr>
            <w:tcW w:w="772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84"/>
        </w:trPr>
        <w:tc>
          <w:tcPr>
            <w:tcW w:w="772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83"/>
        </w:trPr>
        <w:tc>
          <w:tcPr>
            <w:tcW w:w="772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720" w:type="dxa"/>
            <w:vAlign w:val="bottom"/>
          </w:tcPr>
          <w:p>
            <w:pPr>
              <w:ind w:left="360"/>
              <w:spacing w:after="0" w:line="284" w:lineRule="exact"/>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83"/>
        </w:trPr>
        <w:tc>
          <w:tcPr>
            <w:tcW w:w="772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83"/>
        </w:trPr>
        <w:tc>
          <w:tcPr>
            <w:tcW w:w="7720" w:type="dxa"/>
            <w:vAlign w:val="bottom"/>
          </w:tcPr>
          <w:p>
            <w:pPr>
              <w:ind w:left="360"/>
              <w:spacing w:after="0" w:line="284" w:lineRule="exact"/>
              <w:rPr>
                <w:sz w:val="20"/>
                <w:szCs w:val="20"/>
                <w:color w:val="auto"/>
              </w:rPr>
            </w:pPr>
            <w:r>
              <w:rPr>
                <w:rFonts w:ascii="Times New Roman" w:cs="Times New Roman" w:eastAsia="Times New Roman" w:hAnsi="Times New Roman"/>
                <w:sz w:val="18"/>
                <w:szCs w:val="18"/>
                <w:color w:val="auto"/>
              </w:rPr>
              <w:t>Compensation Committee Chairperson</w:t>
            </w:r>
            <w:r>
              <w:rPr>
                <w:rFonts w:ascii="Times New Roman" w:cs="Times New Roman" w:eastAsia="Times New Roman" w:hAnsi="Times New Roman"/>
                <w:sz w:val="29"/>
                <w:szCs w:val="29"/>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84"/>
        </w:trPr>
        <w:tc>
          <w:tcPr>
            <w:tcW w:w="772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83"/>
        </w:trPr>
        <w:tc>
          <w:tcPr>
            <w:tcW w:w="7720" w:type="dxa"/>
            <w:vAlign w:val="bottom"/>
          </w:tcPr>
          <w:p>
            <w:pPr>
              <w:ind w:left="360"/>
              <w:spacing w:after="0" w:line="284" w:lineRule="exact"/>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83"/>
        </w:trPr>
        <w:tc>
          <w:tcPr>
            <w:tcW w:w="772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84"/>
        </w:trPr>
        <w:tc>
          <w:tcPr>
            <w:tcW w:w="7720" w:type="dxa"/>
            <w:vAlign w:val="bottom"/>
          </w:tcPr>
          <w:p>
            <w:pPr>
              <w:ind w:left="360"/>
              <w:spacing w:after="0" w:line="284" w:lineRule="exact"/>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83"/>
        </w:trPr>
        <w:tc>
          <w:tcPr>
            <w:tcW w:w="772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Technology Committee member(other than Chairperson)</w:t>
            </w:r>
            <w:r>
              <w:rPr>
                <w:rFonts w:ascii="Times New Roman" w:cs="Times New Roman" w:eastAsia="Times New Roman" w:hAnsi="Times New Roman"/>
                <w:sz w:val="29"/>
                <w:szCs w:val="29"/>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83"/>
        </w:trPr>
        <w:tc>
          <w:tcPr>
            <w:tcW w:w="7720" w:type="dxa"/>
            <w:vAlign w:val="bottom"/>
          </w:tcPr>
          <w:p>
            <w:pPr>
              <w:ind w:left="360"/>
              <w:spacing w:after="0" w:line="284" w:lineRule="exact"/>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84"/>
        </w:trPr>
        <w:tc>
          <w:tcPr>
            <w:tcW w:w="772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394"/>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58420</wp:posOffset>
            </wp:positionV>
            <wp:extent cx="8229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7" w:lineRule="exact"/>
        <w:rPr>
          <w:sz w:val="20"/>
          <w:szCs w:val="20"/>
          <w:color w:val="auto"/>
        </w:rPr>
      </w:pPr>
    </w:p>
    <w:p>
      <w:pPr>
        <w:ind w:left="640" w:right="319" w:hanging="348"/>
        <w:spacing w:after="0" w:line="261"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 -Employee Director’s service occurred.</w:t>
      </w:r>
    </w:p>
    <w:p>
      <w:pPr>
        <w:jc w:val="both"/>
        <w:ind w:left="640" w:right="299" w:hanging="348"/>
        <w:spacing w:after="0" w:line="241"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27"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21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ectPr>
          <w:pgSz w:w="11900" w:h="16838" w:orient="portrait"/>
          <w:cols w:equalWidth="0" w:num="1">
            <w:col w:w="9019"/>
          </w:cols>
          <w:pgMar w:left="1440" w:top="263" w:right="1440" w:bottom="1440" w:gutter="0" w:footer="0" w:header="0"/>
        </w:sect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02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2020" w:type="dxa"/>
            <w:vAlign w:val="bottom"/>
          </w:tcPr>
          <w:p>
            <w:pPr>
              <w:jc w:val="center"/>
              <w:ind w:left="988"/>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202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60" w:type="dxa"/>
            <w:vAlign w:val="bottom"/>
          </w:tcPr>
          <w:p>
            <w:pPr>
              <w:jc w:val="center"/>
              <w:ind w:left="53"/>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 w:type="dxa"/>
            <w:vAlign w:val="bottom"/>
            <w:vMerge w:val="continue"/>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vMerge w:val="continue"/>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420" w:space="180"/>
            <w:col w:w="441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2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35,297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700,661</w:t>
            </w: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516,614</w:t>
            </w:r>
          </w:p>
        </w:tc>
      </w:tr>
      <w:tr>
        <w:trPr>
          <w:trHeight w:val="288"/>
        </w:trPr>
        <w:tc>
          <w:tcPr>
            <w:tcW w:w="262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30,905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68,673</w:t>
            </w: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26,775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710,138</w:t>
            </w:r>
          </w:p>
        </w:tc>
      </w:tr>
      <w:tr>
        <w:trPr>
          <w:trHeight w:val="24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27,073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647,436</w:t>
            </w: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0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37,964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323,328</w:t>
            </w:r>
          </w:p>
        </w:tc>
      </w:tr>
      <w:tr>
        <w:trPr>
          <w:trHeight w:val="288"/>
        </w:trPr>
        <w:tc>
          <w:tcPr>
            <w:tcW w:w="262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33,684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68,684</w:t>
            </w:r>
          </w:p>
        </w:tc>
      </w:tr>
      <w:tr>
        <w:trPr>
          <w:trHeight w:val="39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36,550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ind w:left="640" w:right="299" w:hanging="348"/>
        <w:spacing w:after="0" w:line="261"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jc w:val="both"/>
        <w:ind w:left="640" w:right="299" w:hanging="348"/>
        <w:spacing w:after="0" w:line="233"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4" w:name="page115"/>
    <w:bookmarkEnd w:id="114"/>
    <w:tbl>
      <w:tblPr>
        <w:tblLayout w:type="fixed"/>
        <w:tblInd w:w="300" w:type="dxa"/>
        <w:tblCellMar>
          <w:top w:w="0" w:type="dxa"/>
          <w:left w:w="0" w:type="dxa"/>
          <w:bottom w:w="0" w:type="dxa"/>
          <w:right w:w="0" w:type="dxa"/>
        </w:tblCellMar>
      </w:tblPr>
      <w:tr>
        <w:trPr>
          <w:trHeight w:val="161"/>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Stock Awards</w:t>
            </w:r>
          </w:p>
        </w:tc>
        <w:tc>
          <w:tcPr>
            <w:tcW w:w="0" w:type="dxa"/>
            <w:vAlign w:val="bottom"/>
          </w:tcPr>
          <w:p>
            <w:pPr>
              <w:spacing w:after="0"/>
              <w:rPr>
                <w:sz w:val="1"/>
                <w:szCs w:val="1"/>
                <w:color w:val="auto"/>
              </w:rPr>
            </w:pPr>
          </w:p>
        </w:tc>
      </w:tr>
      <w:tr>
        <w:trPr>
          <w:trHeight w:val="14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90"/>
        </w:trPr>
        <w:tc>
          <w:tcPr>
            <w:tcW w:w="6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74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288"/>
        </w:trPr>
        <w:tc>
          <w:tcPr>
            <w:tcW w:w="66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74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47"/>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74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288"/>
        </w:trPr>
        <w:tc>
          <w:tcPr>
            <w:tcW w:w="66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(3)</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144145</wp:posOffset>
            </wp:positionV>
            <wp:extent cx="8229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2" w:lineRule="exact"/>
        <w:rPr>
          <w:sz w:val="20"/>
          <w:szCs w:val="20"/>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on August 9,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described in the section entitled “Business—Legal Proceedings.”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November 29,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153,216,538 shares of our Class A Common Stock and Class V Common Stock issued and outstanding as of November 29, 2024 and do not take into account the issuance of any shares of Class A Common Stock upon (i) the exercise of 19,499,973 Warrants to purchase an aggregate of 19,499,973 shares of Class A Common Stock or (ii) the exchange of 14,678,732 Class P Units for up to 14,678,732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3"/>
        </w:trPr>
        <w:tc>
          <w:tcPr>
            <w:tcW w:w="37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9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22,970,182</w:t>
            </w:r>
          </w:p>
        </w:tc>
        <w:tc>
          <w:tcPr>
            <w:tcW w:w="9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246,800</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00" w:type="dxa"/>
            <w:vAlign w:val="bottom"/>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b w:val="1"/>
                <w:bCs w:val="1"/>
                <w:color w:val="auto"/>
              </w:rPr>
              <w:t>Company as a Group (9 Individuals)</w:t>
            </w:r>
            <w:r>
              <w:rPr>
                <w:rFonts w:ascii="Times New Roman" w:cs="Times New Roman" w:eastAsia="Times New Roman" w:hAnsi="Times New Roman"/>
                <w:sz w:val="29"/>
                <w:szCs w:val="29"/>
                <w:b w:val="1"/>
                <w:bCs w:val="1"/>
                <w:color w:val="auto"/>
                <w:vertAlign w:val="superscript"/>
              </w:rPr>
              <w:t>(6)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11,184,041</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22,970,182</w:t>
            </w:r>
          </w:p>
        </w:tc>
        <w:tc>
          <w:tcPr>
            <w:tcW w:w="9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1"/>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70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(5)(7)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9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4"/>
        </w:trPr>
        <w:tc>
          <w:tcPr>
            <w:tcW w:w="37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83"/>
        </w:trPr>
        <w:tc>
          <w:tcPr>
            <w:tcW w:w="37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5,066,855</w:t>
            </w:r>
          </w:p>
        </w:tc>
        <w:tc>
          <w:tcPr>
            <w:tcW w:w="9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84"/>
        </w:trPr>
        <w:tc>
          <w:tcPr>
            <w:tcW w:w="37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5,134,088</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83"/>
        </w:trPr>
        <w:tc>
          <w:tcPr>
            <w:tcW w:w="37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9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9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29,318,217</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6"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11,184,041 shares held of record by our current executive officers and directors.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ind w:left="640" w:right="319" w:hanging="348"/>
        <w:spacing w:after="0" w:line="26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13G/A filed by The Vanguard Group on November 12, 2024, includes 5,066,855 shares of Class A Common stock. The business address of the reporting person is 100 Vanguard Blvd, Malvern, PA 19355.</w:t>
      </w:r>
    </w:p>
    <w:p>
      <w:pPr>
        <w:ind w:left="640" w:right="299" w:hanging="348"/>
        <w:spacing w:after="0" w:line="26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BlackRock, Inc. on November 8, 2024, includes 5,134,088 shares of Class A Common stock. The business address of the reporting person is 50 Hudson Yards, New York, NY 10001.</w:t>
      </w:r>
    </w:p>
    <w:p>
      <w:pPr>
        <w:ind w:left="640" w:right="299" w:hanging="348"/>
        <w:spacing w:after="0" w:line="26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tcPr>
          <w:p>
            <w:pPr>
              <w:spacing w:after="0" w:line="283" w:lineRule="exact"/>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4"/>
        </w:trPr>
        <w:tc>
          <w:tcPr>
            <w:tcW w:w="20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 Bisat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91,666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91,666</w:t>
            </w: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Anthony</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Aquila</w:t>
            </w:r>
            <w:r>
              <w:rPr>
                <w:rFonts w:ascii="Times New Roman" w:cs="Times New Roman" w:eastAsia="Times New Roman" w:hAnsi="Times New Roman"/>
                <w:sz w:val="26"/>
                <w:szCs w:val="26"/>
                <w:color w:val="auto"/>
                <w:vertAlign w:val="superscript"/>
              </w:rPr>
              <w:t>(12)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Monashee Investment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540" w:type="dxa"/>
            <w:vAlign w:val="bottom"/>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5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LP</w:t>
            </w:r>
            <w:r>
              <w:rPr>
                <w:rFonts w:ascii="Times New Roman" w:cs="Times New Roman" w:eastAsia="Times New Roman" w:hAnsi="Times New Roman"/>
                <w:sz w:val="13"/>
                <w:szCs w:val="13"/>
                <w:color w:val="auto"/>
              </w:rPr>
              <w:t>(25)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GS+A Global Special</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4" w:name="page125"/>
    <w:bookmarkEnd w:id="124"/>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369,756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369,756</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LP</w:t>
            </w:r>
            <w:r>
              <w:rPr>
                <w:rFonts w:ascii="Times New Roman" w:cs="Times New Roman" w:eastAsia="Times New Roman" w:hAnsi="Times New Roman"/>
                <w:sz w:val="13"/>
                <w:szCs w:val="13"/>
                <w:color w:val="auto"/>
              </w:rPr>
              <w:t>(39)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Paul A. Halpern Trust date</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July 24, 2000</w:t>
            </w:r>
            <w:r>
              <w:rPr>
                <w:rFonts w:ascii="Times New Roman" w:cs="Times New Roman" w:eastAsia="Times New Roman" w:hAnsi="Times New Roman"/>
                <w:sz w:val="26"/>
                <w:szCs w:val="26"/>
                <w:color w:val="auto"/>
                <w:vertAlign w:val="superscript"/>
              </w:rPr>
              <w:t>(41)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 UAD 10/11/12 as</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7,550</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540" w:type="dxa"/>
            <w:vAlign w:val="bottom"/>
          </w:tcPr>
          <w:p>
            <w:pPr>
              <w:ind w:left="160"/>
              <w:spacing w:after="0" w:line="283" w:lineRule="exact"/>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26"/>
                <w:szCs w:val="26"/>
                <w:color w:val="auto"/>
                <w:vertAlign w:val="superscript"/>
              </w:rPr>
              <w:t>(47)</w:t>
            </w:r>
          </w:p>
        </w:tc>
        <w:tc>
          <w:tcPr>
            <w:tcW w:w="5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Eiden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699,437</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297,000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297,000</w:t>
            </w:r>
          </w:p>
        </w:tc>
        <w:tc>
          <w:tcPr>
            <w:tcW w:w="8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Samantha Lewis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095" w:gutter="0" w:footer="0" w:header="0"/>
        </w:sectPr>
      </w:pPr>
    </w:p>
    <w:bookmarkStart w:id="125" w:name="page126"/>
    <w:bookmarkEnd w:id="125"/>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1,584,975</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3,468,682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6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29"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Julien Brenier or (4) Rupert Martin.</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November 29, 2024, there were (1) 97,730,177 shares of Class A Common Stock, (2) 55,486,361 shares of Class V Common Stock and no shares of preferred stock outstanding.</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5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12,499,973 Public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7,000,000 Private Placement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w:t>
      </w:r>
    </w:p>
    <w:p>
      <w:pPr>
        <w:spacing w:after="0" w:line="2" w:lineRule="exact"/>
        <w:rPr>
          <w:sz w:val="20"/>
          <w:szCs w:val="20"/>
          <w:color w:val="auto"/>
        </w:rPr>
      </w:pPr>
    </w:p>
    <w:p>
      <w:pPr>
        <w:jc w:val="both"/>
        <w:ind w:left="300" w:right="299"/>
        <w:spacing w:after="0" w:line="205" w:lineRule="auto"/>
        <w:rPr>
          <w:sz w:val="20"/>
          <w:szCs w:val="20"/>
          <w:color w:val="auto"/>
        </w:rPr>
      </w:pPr>
      <w:r>
        <w:rPr>
          <w:rFonts w:ascii="Times New Roman" w:cs="Times New Roman" w:eastAsia="Times New Roman" w:hAnsi="Times New Roman"/>
          <w:sz w:val="17"/>
          <w:szCs w:val="17"/>
          <w:color w:val="auto"/>
        </w:rPr>
        <w:t>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 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 Gain on Sale, Exchange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4" w:lineRule="exact"/>
        <w:rPr>
          <w:sz w:val="20"/>
          <w:szCs w:val="20"/>
          <w:color w:val="auto"/>
        </w:rPr>
      </w:pPr>
    </w:p>
    <w:p>
      <w:pPr>
        <w:ind w:left="1000" w:right="3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80" w:type="dxa"/>
            <w:vAlign w:val="bottom"/>
          </w:tcPr>
          <w:p>
            <w:pPr>
              <w:spacing w:after="0"/>
              <w:rPr>
                <w:sz w:val="16"/>
                <w:szCs w:val="16"/>
                <w:color w:val="auto"/>
              </w:rPr>
            </w:pPr>
          </w:p>
        </w:tc>
        <w:tc>
          <w:tcPr>
            <w:tcW w:w="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5"/>
              </w:rPr>
              <w:t>F-2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2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w:t>
            </w:r>
          </w:p>
        </w:tc>
        <w:tc>
          <w:tcPr>
            <w:tcW w:w="54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620" w:type="dxa"/>
            <w:vAlign w:val="bottom"/>
            <w:tcBorders>
              <w:bottom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Nine Months Ended September 30, 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8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F-4</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8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4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6"/>
                <w:szCs w:val="16"/>
                <w:color w:val="auto"/>
              </w:rPr>
            </w:pPr>
          </w:p>
        </w:tc>
        <w:tc>
          <w:tcPr>
            <w:tcW w:w="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5"/>
              </w:rPr>
              <w:t>F-7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1"/>
        </w:trPr>
        <w:tc>
          <w:tcPr>
            <w:tcW w:w="1300" w:type="dxa"/>
            <w:vAlign w:val="bottom"/>
          </w:tcPr>
          <w:p>
            <w:pPr>
              <w:spacing w:after="0"/>
              <w:rPr>
                <w:sz w:val="20"/>
                <w:szCs w:val="20"/>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7600" w:type="dxa"/>
            <w:vAlign w:val="bottom"/>
            <w:tcBorders>
              <w:bottom w:val="single" w:sz="8" w:color="0000EE"/>
            </w:tcBorders>
            <w:gridSpan w:val="1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F-30</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00" w:type="dxa"/>
            <w:vAlign w:val="bottom"/>
            <w:tcBorders>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3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F-33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3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5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Consolidated Statements of Equity</w:t>
            </w:r>
          </w:p>
        </w:tc>
        <w:tc>
          <w:tcPr>
            <w:tcW w:w="5560" w:type="dxa"/>
            <w:vAlign w:val="bottom"/>
            <w:gridSpan w:val="10"/>
            <w:shd w:val="clear" w:color="auto" w:fill="CCEEFF"/>
          </w:tcPr>
          <w:p>
            <w:pPr>
              <w:spacing w:after="0"/>
              <w:rPr>
                <w:sz w:val="16"/>
                <w:szCs w:val="16"/>
                <w:color w:val="auto"/>
              </w:rPr>
            </w:pPr>
          </w:p>
        </w:tc>
        <w:tc>
          <w:tcPr>
            <w:tcW w:w="36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F-39</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46" w:name="page147"/>
    <w:bookmarkEnd w:id="14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$ 45,043</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280" w:type="dxa"/>
            <w:vAlign w:val="bottom"/>
          </w:tcPr>
          <w:p>
            <w:pPr>
              <w:spacing w:after="0"/>
              <w:rPr>
                <w:sz w:val="22"/>
                <w:szCs w:val="22"/>
                <w:color w:val="auto"/>
              </w:rPr>
            </w:pPr>
          </w:p>
        </w:tc>
      </w:tr>
      <w:tr>
        <w:trPr>
          <w:trHeight w:val="250"/>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80" w:type="dxa"/>
            <w:vAlign w:val="bottom"/>
          </w:tcPr>
          <w:p>
            <w:pPr>
              <w:spacing w:after="0"/>
              <w:rPr>
                <w:sz w:val="20"/>
                <w:szCs w:val="20"/>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57"/>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80" w:type="dxa"/>
            <w:vAlign w:val="bottom"/>
          </w:tcPr>
          <w:p>
            <w:pPr>
              <w:spacing w:after="0"/>
              <w:rPr>
                <w:sz w:val="22"/>
                <w:szCs w:val="22"/>
                <w:color w:val="auto"/>
              </w:rPr>
            </w:pPr>
          </w:p>
        </w:tc>
      </w:tr>
      <w:tr>
        <w:trPr>
          <w:trHeight w:val="21"/>
        </w:trPr>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tcBorders>
              <w:lef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tcBorders>
              <w:left w:val="single" w:sz="8" w:color="CCEEFF"/>
            </w:tcBorders>
            <w:shd w:val="clear" w:color="auto" w:fill="CCEEFF"/>
          </w:tcPr>
          <w:p>
            <w:pPr>
              <w:spacing w:after="0"/>
              <w:rPr>
                <w:sz w:val="24"/>
                <w:szCs w:val="24"/>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$ 16,533</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r>
      <w:tr>
        <w:trPr>
          <w:trHeight w:val="31"/>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280" w:type="dxa"/>
            <w:vAlign w:val="bottom"/>
            <w:tcBorders>
              <w:left w:val="single" w:sz="8" w:color="CCEEFF"/>
            </w:tcBorders>
            <w:shd w:val="clear" w:color="auto" w:fill="CCEEFF"/>
          </w:tcPr>
          <w:p>
            <w:pPr>
              <w:spacing w:after="0"/>
              <w:rPr>
                <w:sz w:val="23"/>
                <w:szCs w:val="23"/>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280" w:type="dxa"/>
            <w:vAlign w:val="bottom"/>
            <w:tcBorders>
              <w:left w:val="single" w:sz="8" w:color="CCEEFF"/>
            </w:tcBorders>
            <w:shd w:val="clear" w:color="auto" w:fill="CCEEFF"/>
          </w:tcPr>
          <w:p>
            <w:pPr>
              <w:spacing w:after="0"/>
              <w:rPr>
                <w:sz w:val="23"/>
                <w:szCs w:val="23"/>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280" w:type="dxa"/>
            <w:vAlign w:val="bottom"/>
          </w:tcPr>
          <w:p>
            <w:pPr>
              <w:spacing w:after="0"/>
              <w:rPr>
                <w:sz w:val="22"/>
                <w:szCs w:val="22"/>
                <w:color w:val="auto"/>
              </w:rPr>
            </w:pPr>
          </w:p>
        </w:tc>
      </w:tr>
      <w:tr>
        <w:trPr>
          <w:trHeight w:val="250"/>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5"/>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48"/>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authorized; 97,376,026 shares issued and outstanding at September 30,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1"/>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2024 and 94,383,053 shares issued and outstanding at December 31, 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r>
      <w:tr>
        <w:trPr>
          <w:trHeight w:val="218"/>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September 30, 2024 and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48"/>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88,762</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280" w:type="dxa"/>
            <w:vAlign w:val="bottom"/>
          </w:tcPr>
          <w:p>
            <w:pPr>
              <w:spacing w:after="0"/>
              <w:rPr>
                <w:sz w:val="20"/>
                <w:szCs w:val="20"/>
                <w:color w:val="auto"/>
              </w:rPr>
            </w:pPr>
          </w:p>
        </w:tc>
      </w:tr>
      <w:tr>
        <w:trPr>
          <w:trHeight w:val="254"/>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w:t>
            </w:r>
          </w:p>
        </w:tc>
        <w:tc>
          <w:tcPr>
            <w:tcW w:w="280" w:type="dxa"/>
            <w:vAlign w:val="bottom"/>
            <w:tcBorders>
              <w:left w:val="single" w:sz="8" w:color="CCEEFF"/>
            </w:tcBorders>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(64,518)</w:t>
            </w:r>
          </w:p>
        </w:tc>
      </w:tr>
      <w:tr>
        <w:trPr>
          <w:trHeight w:val="263"/>
        </w:trPr>
        <w:tc>
          <w:tcPr>
            <w:tcW w:w="586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2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gridSpan w:val="2"/>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80" w:type="dxa"/>
            <w:vAlign w:val="bottom"/>
            <w:tcBorders>
              <w:top w:val="single" w:sz="8" w:color="CCEEFF"/>
            </w:tcBorders>
          </w:tcPr>
          <w:p>
            <w:pPr>
              <w:spacing w:after="0"/>
              <w:rPr>
                <w:sz w:val="22"/>
                <w:szCs w:val="22"/>
                <w:color w:val="auto"/>
              </w:rPr>
            </w:pPr>
          </w:p>
        </w:tc>
      </w:tr>
      <w:tr>
        <w:trPr>
          <w:trHeight w:val="245"/>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114,990</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280" w:type="dxa"/>
            <w:vAlign w:val="bottom"/>
          </w:tcPr>
          <w:p>
            <w:pPr>
              <w:spacing w:after="0"/>
              <w:rPr>
                <w:sz w:val="22"/>
                <w:szCs w:val="22"/>
                <w:color w:val="auto"/>
              </w:rPr>
            </w:pPr>
          </w:p>
        </w:tc>
      </w:tr>
      <w:tr>
        <w:trPr>
          <w:trHeight w:val="27"/>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84"/>
        </w:trPr>
        <w:tc>
          <w:tcPr>
            <w:tcW w:w="5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280" w:type="dxa"/>
            <w:vAlign w:val="bottom"/>
            <w:tcBorders>
              <w:lef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80" w:type="dxa"/>
            <w:vAlign w:val="bottom"/>
            <w:tcBorders>
              <w:left w:val="single" w:sz="8" w:color="CCEEFF"/>
            </w:tcBorders>
            <w:shd w:val="clear" w:color="auto" w:fill="CCEEFF"/>
          </w:tcPr>
          <w:p>
            <w:pPr>
              <w:spacing w:after="0"/>
              <w:rPr>
                <w:sz w:val="24"/>
                <w:szCs w:val="24"/>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54"/>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1"/>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91"/>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4"/>
        </w:trPr>
        <w:tc>
          <w:tcPr>
            <w:tcW w:w="3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ind w:left="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center"/>
              <w:ind w:right="8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46,552</w:t>
            </w:r>
          </w:p>
        </w:tc>
        <w:tc>
          <w:tcPr>
            <w:tcW w:w="4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8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8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80" w:type="dxa"/>
            <w:vAlign w:val="bottom"/>
            <w:tcBorders>
              <w:lef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34"/>
        </w:trPr>
        <w:tc>
          <w:tcPr>
            <w:tcW w:w="3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6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(5,913)</w:t>
            </w: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r>
      <w:tr>
        <w:trPr>
          <w:trHeight w:val="211"/>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0" w:type="dxa"/>
            <w:vAlign w:val="bottom"/>
          </w:tcPr>
          <w:p>
            <w:pPr>
              <w:spacing w:after="0"/>
              <w:rPr>
                <w:sz w:val="21"/>
                <w:szCs w:val="21"/>
                <w:color w:val="auto"/>
              </w:rPr>
            </w:pPr>
          </w:p>
        </w:tc>
      </w:tr>
      <w:tr>
        <w:trPr>
          <w:trHeight w:val="245"/>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75"/>
        </w:trPr>
        <w:tc>
          <w:tcPr>
            <w:tcW w:w="3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Technology, Inc.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4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left w:val="single" w:sz="8" w:color="CCEEFF"/>
            </w:tcBorders>
            <w:shd w:val="clear" w:color="auto" w:fill="CCEEFF"/>
          </w:tcPr>
          <w:p>
            <w:pPr>
              <w:spacing w:after="0"/>
              <w:rPr>
                <w:sz w:val="23"/>
                <w:szCs w:val="23"/>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tcBorders>
              <w:left w:val="single" w:sz="8" w:color="CCEEFF"/>
            </w:tcBorders>
            <w:shd w:val="clear" w:color="auto" w:fill="CCEEFF"/>
          </w:tcPr>
          <w:p>
            <w:pPr>
              <w:spacing w:after="0"/>
              <w:rPr>
                <w:sz w:val="23"/>
                <w:szCs w:val="23"/>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0" w:type="dxa"/>
            <w:vAlign w:val="bottom"/>
            <w:shd w:val="clear" w:color="auto" w:fill="CCEEFF"/>
          </w:tcPr>
          <w:p>
            <w:pPr>
              <w:spacing w:after="0"/>
              <w:rPr>
                <w:sz w:val="23"/>
                <w:szCs w:val="23"/>
                <w:color w:val="auto"/>
              </w:rPr>
            </w:pPr>
          </w:p>
        </w:tc>
      </w:tr>
      <w:tr>
        <w:trPr>
          <w:trHeight w:val="270"/>
        </w:trPr>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4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97,811,251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Borders>
              <w:lef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80" w:type="dxa"/>
            <w:vAlign w:val="bottom"/>
            <w:tcBorders>
              <w:left w:val="single" w:sz="8" w:color="CCEEFF"/>
            </w:tcBorders>
            <w:shd w:val="clear" w:color="auto" w:fill="CCEEFF"/>
          </w:tcPr>
          <w:p>
            <w:pPr>
              <w:spacing w:after="0"/>
              <w:rPr>
                <w:sz w:val="20"/>
                <w:szCs w:val="20"/>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54"/>
        </w:trPr>
        <w:tc>
          <w:tcPr>
            <w:tcW w:w="3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1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120" w:type="dxa"/>
            <w:vAlign w:val="bottom"/>
            <w:gridSpan w:val="4"/>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120" w:type="dxa"/>
            <w:vAlign w:val="bottom"/>
            <w:gridSpan w:val="4"/>
          </w:tcPr>
          <w:p>
            <w:pPr>
              <w:jc w:val="right"/>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112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7"/>
                <w:szCs w:val="7"/>
                <w:color w:val="auto"/>
              </w:rPr>
            </w:pPr>
          </w:p>
        </w:tc>
        <w:tc>
          <w:tcPr>
            <w:tcW w:w="11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6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3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3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6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94,383,053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$80,884</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$(64,518)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$16,380</w:t>
            </w:r>
          </w:p>
        </w:tc>
        <w:tc>
          <w:tcPr>
            <w:tcW w:w="2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$86,771</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$103,151</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2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3,175</w:t>
            </w:r>
          </w:p>
        </w:tc>
        <w:tc>
          <w:tcPr>
            <w:tcW w:w="0" w:type="dxa"/>
            <w:vAlign w:val="bottom"/>
          </w:tcPr>
          <w:p>
            <w:pPr>
              <w:spacing w:after="0"/>
              <w:rPr>
                <w:sz w:val="1"/>
                <w:szCs w:val="1"/>
                <w:color w:val="auto"/>
              </w:rPr>
            </w:pPr>
          </w:p>
        </w:tc>
      </w:tr>
      <w:tr>
        <w:trPr>
          <w:trHeight w:val="160"/>
        </w:trPr>
        <w:tc>
          <w:tcPr>
            <w:tcW w:w="1900" w:type="dxa"/>
            <w:vAlign w:val="bottom"/>
            <w:tcBorders>
              <w:right w:val="single" w:sz="8" w:color="CCEEFF"/>
            </w:tcBorders>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 stock</w:t>
            </w: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vesting of restricted</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units, net of</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shares withheld for</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628,941</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(1,455)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0" w:type="dxa"/>
            <w:vAlign w:val="bottom"/>
          </w:tcPr>
          <w:p>
            <w:pPr>
              <w:spacing w:after="0"/>
              <w:rPr>
                <w:sz w:val="1"/>
                <w:szCs w:val="1"/>
                <w:color w:val="auto"/>
              </w:rPr>
            </w:pPr>
          </w:p>
        </w:tc>
      </w:tr>
      <w:tr>
        <w:trPr>
          <w:trHeight w:val="160"/>
        </w:trPr>
        <w:tc>
          <w:tcPr>
            <w:tcW w:w="1900" w:type="dxa"/>
            <w:vAlign w:val="bottom"/>
            <w:tcBorders>
              <w:right w:val="single" w:sz="8" w:color="CCEEFF"/>
            </w:tcBorders>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 stock</w:t>
            </w: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Class P Unit</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39,741</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6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95,051,735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84,056</w:t>
            </w:r>
          </w:p>
        </w:tc>
        <w:tc>
          <w:tcPr>
            <w:tcW w:w="100" w:type="dxa"/>
            <w:vAlign w:val="bottom"/>
            <w:tcBorders>
              <w:left w:val="single" w:sz="8" w:color="CCEEFF"/>
            </w:tcBorders>
            <w:shd w:val="clear" w:color="auto" w:fill="CCEEFF"/>
          </w:tcPr>
          <w:p>
            <w:pPr>
              <w:spacing w:after="0"/>
              <w:rPr>
                <w:sz w:val="19"/>
                <w:szCs w:val="19"/>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(63,278)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20,792</w:t>
            </w:r>
          </w:p>
        </w:tc>
        <w:tc>
          <w:tcPr>
            <w:tcW w:w="26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86,036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106,828</w:t>
            </w:r>
          </w:p>
        </w:tc>
        <w:tc>
          <w:tcPr>
            <w:tcW w:w="0" w:type="dxa"/>
            <w:vAlign w:val="bottom"/>
          </w:tcPr>
          <w:p>
            <w:pPr>
              <w:spacing w:after="0"/>
              <w:rPr>
                <w:sz w:val="1"/>
                <w:szCs w:val="1"/>
                <w:color w:val="auto"/>
              </w:rPr>
            </w:pPr>
          </w:p>
        </w:tc>
      </w:tr>
      <w:tr>
        <w:trPr>
          <w:trHeight w:val="20"/>
        </w:trPr>
        <w:tc>
          <w:tcPr>
            <w:tcW w:w="19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2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3,009</w:t>
            </w: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 stock</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vesting of restricted</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units, net of</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shares withheld for</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1,896,515</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(1,845)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202"/>
        </w:trPr>
        <w:tc>
          <w:tcPr>
            <w:tcW w:w="19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1,194</w:t>
            </w:r>
          </w:p>
        </w:tc>
        <w:tc>
          <w:tcPr>
            <w:tcW w:w="0" w:type="dxa"/>
            <w:vAlign w:val="bottom"/>
          </w:tcPr>
          <w:p>
            <w:pPr>
              <w:spacing w:after="0"/>
              <w:rPr>
                <w:sz w:val="1"/>
                <w:szCs w:val="1"/>
                <w:color w:val="auto"/>
              </w:rPr>
            </w:pPr>
          </w:p>
        </w:tc>
      </w:tr>
      <w:tr>
        <w:trPr>
          <w:trHeight w:val="20"/>
        </w:trPr>
        <w:tc>
          <w:tcPr>
            <w:tcW w:w="19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96,948,250</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87,005</w:t>
            </w:r>
          </w:p>
        </w:tc>
        <w:tc>
          <w:tcPr>
            <w:tcW w:w="10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(62,562)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24,458</w:t>
            </w:r>
          </w:p>
        </w:tc>
        <w:tc>
          <w:tcPr>
            <w:tcW w:w="260" w:type="dxa"/>
            <w:vAlign w:val="bottom"/>
          </w:tcPr>
          <w:p>
            <w:pPr>
              <w:spacing w:after="0"/>
              <w:rPr>
                <w:sz w:val="19"/>
                <w:szCs w:val="19"/>
                <w:color w:val="auto"/>
              </w:rPr>
            </w:pP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84,728</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109,186</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26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1,817</w:t>
            </w: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5"/>
          <w:szCs w:val="15"/>
          <w:color w:val="auto"/>
        </w:rPr>
        <w:t>Issuance of common stock</w:t>
      </w:r>
    </w:p>
    <w:p>
      <w:pPr>
        <w:spacing w:after="0" w:line="2" w:lineRule="exact"/>
        <w:rPr>
          <w:sz w:val="20"/>
          <w:szCs w:val="20"/>
          <w:color w:val="auto"/>
        </w:rPr>
      </w:pPr>
    </w:p>
    <w:p>
      <w:pPr>
        <w:ind w:left="660" w:right="7059" w:hanging="8"/>
        <w:spacing w:after="0" w:line="225" w:lineRule="auto"/>
        <w:tabs>
          <w:tab w:leader="none" w:pos="749"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of restricted stock units, net of shares withheld for</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427,776</w:t>
            </w:r>
          </w:p>
        </w:tc>
        <w:tc>
          <w:tcPr>
            <w:tcW w:w="1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(1,330)</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(1,330)</w:t>
            </w:r>
          </w:p>
        </w:tc>
      </w:tr>
      <w:tr>
        <w:trPr>
          <w:trHeight w:val="200"/>
        </w:trPr>
        <w:tc>
          <w:tcPr>
            <w:tcW w:w="1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12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5,318</w:t>
            </w: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97,376,026</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88,762</w:t>
            </w:r>
          </w:p>
        </w:tc>
        <w:tc>
          <w:tcPr>
            <w:tcW w:w="18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(59,230)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29,547</w:t>
            </w:r>
          </w:p>
        </w:tc>
        <w:tc>
          <w:tcPr>
            <w:tcW w:w="420" w:type="dxa"/>
            <w:vAlign w:val="bottom"/>
            <w:tcBorders>
              <w:left w:val="single" w:sz="8" w:color="CCEEFF"/>
            </w:tcBorders>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85,443</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114,990</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left w:val="single" w:sz="8" w:color="auto"/>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left w:val="single" w:sz="8" w:color="auto"/>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1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2023</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7"/>
                <w:szCs w:val="7"/>
                <w:color w:val="auto"/>
              </w:rPr>
            </w:pPr>
          </w:p>
        </w:tc>
        <w:tc>
          <w:tcPr>
            <w:tcW w:w="10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3"/>
            <w:vMerge w:val="restart"/>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restart"/>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Technology, Inc.</w:t>
            </w:r>
          </w:p>
        </w:tc>
        <w:tc>
          <w:tcPr>
            <w:tcW w:w="160" w:type="dxa"/>
            <w:vAlign w:val="bottom"/>
          </w:tcPr>
          <w:p>
            <w:pPr>
              <w:spacing w:after="0"/>
              <w:rPr>
                <w:sz w:val="9"/>
                <w:szCs w:val="9"/>
                <w:color w:val="auto"/>
              </w:rPr>
            </w:pPr>
          </w:p>
        </w:tc>
        <w:tc>
          <w:tcPr>
            <w:tcW w:w="6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18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6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92,062,468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$67,986</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$(54,620)</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$13,380</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$101,397</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475,510</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Class P Unit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(2,475)</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(2,475)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92,573,466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72,444</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(57,095)</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15,363</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$ 99,876</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115,239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842,178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lef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93,415,644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76,351</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(55,869)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20,496</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$ 99,978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62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Discharge of holdback</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obligation related to a</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prior acquisition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(1,612)</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(1,612)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(3,607)</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455,820</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lef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(2,231)</w:t>
            </w: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Class P Unit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9,666</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(1,538)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(2,512)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93,881,130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77,339</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(57,407)</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19,946</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$ 94,836</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114,782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24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9"/>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1"/>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r>
      <w:tr>
        <w:trPr>
          <w:trHeight w:val="231"/>
        </w:trPr>
        <w:tc>
          <w:tcPr>
            <w:tcW w:w="6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4"/>
          </w:tcPr>
          <w:p>
            <w:pPr>
              <w:jc w:val="right"/>
              <w:ind w:right="180"/>
              <w:spacing w:after="0" w:line="231"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w:t>
            </w: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8"/>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20" w:type="dxa"/>
            <w:vAlign w:val="bottom"/>
          </w:tcPr>
          <w:p>
            <w:pPr>
              <w:spacing w:after="0"/>
              <w:rPr>
                <w:sz w:val="19"/>
                <w:szCs w:val="19"/>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spacing w:after="0"/>
              <w:rPr>
                <w:sz w:val="19"/>
                <w:szCs w:val="19"/>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(1,169)</w:t>
            </w:r>
          </w:p>
        </w:tc>
        <w:tc>
          <w:tcPr>
            <w:tcW w:w="10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(15,439)</w:t>
            </w: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(4,668)</w:t>
            </w:r>
          </w:p>
        </w:tc>
      </w:tr>
      <w:tr>
        <w:trPr>
          <w:trHeight w:val="243"/>
        </w:trPr>
        <w:tc>
          <w:tcPr>
            <w:tcW w:w="6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CCEEFF"/>
            </w:tcBorders>
          </w:tcPr>
          <w:p>
            <w:pPr>
              <w:spacing w:after="0"/>
              <w:rPr>
                <w:sz w:val="21"/>
                <w:szCs w:val="21"/>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220" w:type="dxa"/>
            <w:vAlign w:val="bottom"/>
            <w:tcBorders>
              <w:top w:val="single" w:sz="8" w:color="CCEEFF"/>
            </w:tcBorders>
          </w:tcPr>
          <w:p>
            <w:pPr>
              <w:spacing w:after="0"/>
              <w:rPr>
                <w:sz w:val="21"/>
                <w:szCs w:val="21"/>
                <w:color w:val="auto"/>
              </w:rPr>
            </w:pPr>
          </w:p>
        </w:tc>
      </w:tr>
      <w:tr>
        <w:trPr>
          <w:trHeight w:val="257"/>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r>
      <w:tr>
        <w:trPr>
          <w:trHeight w:val="256"/>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(3,233)</w:t>
            </w: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(7,083)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r>
      <w:tr>
        <w:trPr>
          <w:trHeight w:val="257"/>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tcBorders>
              <w:top w:val="single" w:sz="8" w:color="auto"/>
              <w:right w:val="single" w:sz="8" w:color="CCEEFF"/>
            </w:tcBorders>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20" w:type="dxa"/>
            <w:vAlign w:val="bottom"/>
            <w:shd w:val="clear" w:color="auto" w:fill="CCEEFF"/>
          </w:tcPr>
          <w:p>
            <w:pPr>
              <w:spacing w:after="0"/>
              <w:rPr>
                <w:sz w:val="19"/>
                <w:szCs w:val="19"/>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45,043</w:t>
            </w:r>
          </w:p>
        </w:tc>
        <w:tc>
          <w:tcPr>
            <w:tcW w:w="10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22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shd w:val="clear" w:color="auto" w:fill="CCEEFF"/>
          </w:tcPr>
          <w:p>
            <w:pPr>
              <w:spacing w:after="0"/>
              <w:rPr>
                <w:sz w:val="19"/>
                <w:szCs w:val="19"/>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19"/>
                <w:szCs w:val="19"/>
                <w:color w:val="auto"/>
              </w:rPr>
            </w:pPr>
          </w:p>
        </w:tc>
      </w:tr>
      <w:tr>
        <w:trPr>
          <w:trHeight w:val="198"/>
        </w:trPr>
        <w:tc>
          <w:tcPr>
            <w:tcW w:w="6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of lease liabilities and right-of-use assets due to lease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modification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provision (recovery)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71" w:lineRule="exact"/>
        <w:rPr>
          <w:sz w:val="20"/>
          <w:szCs w:val="20"/>
          <w:color w:val="auto"/>
        </w:rPr>
      </w:pPr>
    </w:p>
    <w:p>
      <w:pPr>
        <w:ind w:left="640" w:hanging="348"/>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$59.2 million. The Company has funded its operations primarily with customer payments for its services and proceeds from the issuance of common stock in connection with its initial public offering and follow-on offering. As of September 30, 2024, the Company had cash of $45.0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ind w:left="640" w:hanging="348"/>
        <w:spacing w:after="0"/>
        <w:tabs>
          <w:tab w:leader="none" w:pos="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September 30, 2024, and results of its operations and its cash flows for the interim periods presented. Certain prior period amounts have been reclassified to conform to the current period presentation. The results of operations for the three and nine months ended September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$47,725</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$46,687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$146,584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$19,189</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$18,151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$ 60,897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$53,273</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$52,235</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$152,497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00" w:lineRule="exact"/>
        <w:rPr>
          <w:sz w:val="20"/>
          <w:szCs w:val="20"/>
          <w:color w:val="auto"/>
        </w:rPr>
      </w:pPr>
    </w:p>
    <w:p>
      <w:pPr>
        <w:spacing w:after="0" w:line="24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22225</wp:posOffset>
            </wp:positionV>
            <wp:extent cx="16370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Previously</w:t>
            </w:r>
          </w:p>
        </w:tc>
        <w:tc>
          <w:tcPr>
            <w:tcW w:w="220" w:type="dxa"/>
            <w:vAlign w:val="bottom"/>
          </w:tcPr>
          <w:p>
            <w:pPr>
              <w:spacing w:after="0"/>
              <w:rPr>
                <w:sz w:val="13"/>
                <w:szCs w:val="13"/>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3"/>
                <w:szCs w:val="13"/>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$(5,058)</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24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$ 5,058</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2024 and 2023.</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$0.9 million and $8.7 million as of September 30, 2024 and December 31, 2023, respectively.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54"/>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center"/>
              <w:ind w:left="315"/>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left="315"/>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3"/>
                <w:szCs w:val="13"/>
                <w:color w:val="auto"/>
              </w:rPr>
            </w:pPr>
          </w:p>
        </w:tc>
      </w:tr>
      <w:tr>
        <w:trPr>
          <w:trHeight w:val="244"/>
        </w:trPr>
        <w:tc>
          <w:tcPr>
            <w:tcW w:w="3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3"/>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$10,202</w:t>
            </w:r>
          </w:p>
        </w:tc>
        <w:tc>
          <w:tcPr>
            <w:tcW w:w="2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3"/>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$12,232</w:t>
            </w:r>
          </w:p>
        </w:tc>
        <w:tc>
          <w:tcPr>
            <w:tcW w:w="260" w:type="dxa"/>
            <w:vAlign w:val="bottom"/>
            <w:shd w:val="clear" w:color="auto" w:fill="CCEEFF"/>
          </w:tcPr>
          <w:p>
            <w:pPr>
              <w:spacing w:after="0"/>
              <w:rPr>
                <w:sz w:val="21"/>
                <w:szCs w:val="2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0"/>
                <w:szCs w:val="20"/>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(2,932)</w:t>
            </w:r>
          </w:p>
        </w:tc>
      </w:tr>
      <w:tr>
        <w:trPr>
          <w:trHeight w:val="31"/>
        </w:trPr>
        <w:tc>
          <w:tcPr>
            <w:tcW w:w="3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26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260" w:type="dxa"/>
            <w:vAlign w:val="bottom"/>
          </w:tcPr>
          <w:p>
            <w:pPr>
              <w:spacing w:after="0"/>
              <w:rPr>
                <w:sz w:val="21"/>
                <w:szCs w:val="2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 (recovery) for credit losses for the three and nine months ended September 30, 2023 and related allowance at the end of the period September 30, 2023, has been retrospectively adjusted to reflect the restatement of previously reported credit losses. See </w:t>
      </w:r>
      <w:r>
        <w:rPr>
          <w:rFonts w:ascii="Times New Roman" w:cs="Times New Roman" w:eastAsia="Times New Roman" w:hAnsi="Times New Roman"/>
          <w:sz w:val="14"/>
          <w:szCs w:val="14"/>
          <w:i w:val="1"/>
          <w:iCs w:val="1"/>
          <w:color w:val="auto"/>
        </w:rPr>
        <w:t xml:space="preserve">Restatement of Previously Reported 2023 Quarterly Revenue and Credit Losses </w:t>
      </w:r>
      <w:r>
        <w:rPr>
          <w:rFonts w:ascii="Times New Roman" w:cs="Times New Roman" w:eastAsia="Times New Roman" w:hAnsi="Times New Roman"/>
          <w:sz w:val="14"/>
          <w:szCs w:val="14"/>
          <w:color w:val="auto"/>
        </w:rPr>
        <w:t>above for further information.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nine months ended September 30, 2024. The Company recorded a non-cash property and equipment impairment charge of $2.3 million for the three and nine months ended September 30, 2023 related to certain product offerings that were sunset in December 2023, which is included in asset impairment charges in the condensed consolidated statements of operations.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compensation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$23.7 million and $23.1 million in capitalized software costs, net, respectively which are recorded within property and equipment, net on the Company’s condensed consolidated balance sheets. During the three months ended September 30, 2024 and 2023, the Company amortized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$3.1 million and $2.2 million, respectively. During the nine months ended September 30, 2024 and 2023, the Company amortized $8.4 million and $5.4 million, respectively. Amortization of internal-use software development costs is included in depreciation and amortization expense in the accompanying condensed consolidated statements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September 30, 2024 and December 31, 2023, the Company has $68.4 million in goodwill.</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annually on December 31. For the year ended December 31, 2023, in accordance with the Company’s annual assessment policy, the Company opted to bypass the qualitative assessment and performed a quantitative assessment to test goodwill for impairment. As part of the Company’s impairment assessment, the fair value of the reporting unit is estimated using a discounted cash flow valuation which incorporates assumptions regarding long-term growth rates, revenue and earnings projections, estimation of cash flows, discount rates and other factors. For the year ended December 31, 2023, in conducting the quantitative assessment, it was determined that the fair value of the goodwill exceeded its carrying amount by approximately 18%, and as a result, no impairment existed as of the annual assessment date of December 31, 2023. If the Company’s forecasts of cash flows or other key inputs are negatively revised in the future, the estimated fair value of the reporting unit would be adversely impacted, potentially leading to an impairment in the future that could materially affect our operating results. There were no goodwill impairment charges recorded for the three and nine months ended September 30, 2024 and 2023.</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 There were no intangible asset impairment charges recorded for the three and nine months ended September 30, 2024. See Note 6, “Intangible Assets,”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nine months ended September 30, 2024 and 2023, the Company recognized no impairment charge related to ROU assets.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for the three months ended September 30, 2024 and 2023 was $1.7 million and $2.2 million, respectively. Net rent expense for the nine months ended September 30, 2024 and 2023 was $5.8 million and $6.6 million, respectively. Rent expense is included in general and administrative expense in the accompanying condensed consolidated statements of operations.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$3.3 million and the related non-cash ROU asset of $3.3 million. The lease classification remained as an operating lease.</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in the second quarter 2024, the Company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condensed consolidated balance sheet related to early lease termination.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Chief Executive Officer. The sublease commenced on June 1, 2022, and expired on October 31, 2024. See Note 13, “Related Party Transactions,” to these condensed consolidated financial statements for additional information.</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September 30, 2024 and 2023, the Company recorded rent income related to sublease of $0.2 million and $0.5 million, respectively. For the nine months ended September 30, 2024 and 2023, the Company recorded rent income related to sublease of $1.3 million and $1.6 million, respectively.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xml:space="preserve"> and concluded they do not meet the criteria to be classified in stockholders’ equity. See Note 9, “Warrant Liability,” to these condensed consolidated financial statements for additional information.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September 30, 2024 and December 31, 2023, the TRA liability was $3.1 million and $1.8 million, respectively. During the three and nine months ended September 30, 2024, the Company recognized a loss of $0.5 million and $1.5 million, respectively, related to the remeasurement of its TRA liability. During the three and nine months ended September 30, 2023, the Company recognized a loss of $0.1 million and $0.7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88"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$2.0 million and $3.5 million for the three months ended September 30, 2024 and 2023, respectively, and $8.3 million and $8.1 million for the nine months ended September 30, 2024 and 2023, respectively, and are included in sales and marketing expense in the accompanying condensed consolidated statements of operations.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2024 and 2023, the Company recognized an expense of $0.4 million and $0.9 million, respectively, and for the nine months ended September 30, 2024 and 2023, the Company recognized an expense of $1.4 million and $1.9 million, respectively, related to employer contributions for the Company’s 401(k)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discharge of a holdback obligation related to a prior acquisition, interest income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2024 and for the year ending December 31, 2023, the Company conducted similar analyses, and determined that a full valuation allowance was still required. As of September 30, 2024 and December 31, 2023, the TRA liability was $3.1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the three and nine ended September 30, 2024, the Company recorded $0.02 million and $0.07 million, respectively, in income tax provisions due to the impact of the full valuation allowance on its net deferred assets. For the three and nine months ended September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Chief Executive Officer and Chief Financial Officer allocate resources, assess performance and manage the businesses as one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September 30, 2024, the Company had cash balances that exceeded the FDIC limit with four financial institutions. Management believes that the risk of loss is not significant and has not experienced any losses in such accounts.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2024. The Company does not expect the adoption of this standard to have a material impact on the consolidated financial statements.</w:t>
      </w:r>
    </w:p>
    <w:p>
      <w:pPr>
        <w:spacing w:after="0" w:line="7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Income Tax Disclosures” </w:t>
      </w:r>
      <w:r>
        <w:rPr>
          <w:rFonts w:ascii="Times New Roman" w:cs="Times New Roman" w:eastAsia="Times New Roman" w:hAnsi="Times New Roman"/>
          <w:sz w:val="18"/>
          <w:szCs w:val="18"/>
          <w:color w:val="auto"/>
        </w:rPr>
        <w:t>requiring enhancements and further transparency to certain income tax disclosures,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2" w:lineRule="exact"/>
        <w:rPr>
          <w:sz w:val="20"/>
          <w:szCs w:val="20"/>
          <w:color w:val="auto"/>
        </w:rPr>
      </w:pPr>
    </w:p>
    <w:p>
      <w:pPr>
        <w:jc w:val="both"/>
        <w:ind w:left="1000" w:right="299" w:hanging="348"/>
        <w:spacing w:after="0" w:line="259"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54"/>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80"/>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r>
      <w:tr>
        <w:trPr>
          <w:trHeight w:val="244"/>
        </w:trPr>
        <w:tc>
          <w:tcPr>
            <w:tcW w:w="3820" w:type="dxa"/>
            <w:vAlign w:val="bottom"/>
          </w:tcPr>
          <w:p>
            <w:pPr>
              <w:spacing w:after="0"/>
              <w:rPr>
                <w:sz w:val="21"/>
                <w:szCs w:val="21"/>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20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1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r>
      <w:tr>
        <w:trPr>
          <w:trHeight w:val="21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1"/>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solutions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3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$ 40,285</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$ 33,847</w:t>
            </w:r>
          </w:p>
        </w:tc>
        <w:tc>
          <w:tcPr>
            <w:tcW w:w="240" w:type="dxa"/>
            <w:vAlign w:val="bottom"/>
          </w:tcPr>
          <w:p>
            <w:pPr>
              <w:spacing w:after="0"/>
              <w:rPr>
                <w:sz w:val="20"/>
                <w:szCs w:val="20"/>
                <w:color w:val="auto"/>
              </w:rPr>
            </w:pPr>
          </w:p>
        </w:tc>
      </w:tr>
      <w:tr>
        <w:trPr>
          <w:trHeight w:val="24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31,907</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85,814</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240" w:type="dxa"/>
            <w:vAlign w:val="bottom"/>
            <w:shd w:val="clear" w:color="auto" w:fill="CCEEFF"/>
          </w:tcPr>
          <w:p>
            <w:pPr>
              <w:spacing w:after="0"/>
              <w:rPr>
                <w:sz w:val="21"/>
                <w:szCs w:val="21"/>
                <w:color w:val="auto"/>
              </w:rPr>
            </w:pPr>
          </w:p>
        </w:tc>
      </w:tr>
      <w:tr>
        <w:trPr>
          <w:trHeight w:val="31"/>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6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w:t>
            </w:r>
          </w:p>
        </w:tc>
        <w:tc>
          <w:tcPr>
            <w:tcW w:w="200" w:type="dxa"/>
            <w:vAlign w:val="bottom"/>
          </w:tcPr>
          <w:p>
            <w:pPr>
              <w:spacing w:after="0"/>
              <w:rPr>
                <w:sz w:val="22"/>
                <w:szCs w:val="22"/>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42,784</w:t>
            </w:r>
          </w:p>
        </w:tc>
        <w:tc>
          <w:tcPr>
            <w:tcW w:w="3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126,099</w:t>
            </w:r>
          </w:p>
        </w:tc>
        <w:tc>
          <w:tcPr>
            <w:tcW w:w="1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130,629</w:t>
            </w:r>
          </w:p>
        </w:tc>
        <w:tc>
          <w:tcPr>
            <w:tcW w:w="240" w:type="dxa"/>
            <w:vAlign w:val="bottom"/>
          </w:tcPr>
          <w:p>
            <w:pPr>
              <w:spacing w:after="0"/>
              <w:rPr>
                <w:sz w:val="22"/>
                <w:szCs w:val="22"/>
                <w:color w:val="auto"/>
              </w:rPr>
            </w:pPr>
          </w:p>
        </w:tc>
      </w:tr>
      <w:tr>
        <w:trPr>
          <w:trHeight w:val="24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3,903</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40" w:type="dxa"/>
            <w:vAlign w:val="bottom"/>
            <w:shd w:val="clear" w:color="auto" w:fill="CCEEFF"/>
          </w:tcPr>
          <w:p>
            <w:pPr>
              <w:spacing w:after="0"/>
              <w:rPr>
                <w:sz w:val="21"/>
                <w:szCs w:val="21"/>
                <w:color w:val="auto"/>
              </w:rPr>
            </w:pPr>
          </w:p>
        </w:tc>
      </w:tr>
      <w:tr>
        <w:trPr>
          <w:trHeight w:val="31"/>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97"/>
        </w:trPr>
        <w:tc>
          <w:tcPr>
            <w:tcW w:w="3820" w:type="dxa"/>
            <w:vAlign w:val="bottom"/>
          </w:tcPr>
          <w:p>
            <w:pPr>
              <w:ind w:left="360"/>
              <w:spacing w:after="0" w:line="296"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46,552</w:t>
            </w:r>
          </w:p>
        </w:tc>
        <w:tc>
          <w:tcPr>
            <w:tcW w:w="2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46,687</w:t>
            </w:r>
          </w:p>
        </w:tc>
        <w:tc>
          <w:tcPr>
            <w:tcW w:w="300" w:type="dxa"/>
            <w:vAlign w:val="bottom"/>
          </w:tcPr>
          <w:p>
            <w:pPr>
              <w:spacing w:after="0"/>
              <w:rPr>
                <w:sz w:val="24"/>
                <w:szCs w:val="24"/>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136,844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141,526</w:t>
            </w:r>
          </w:p>
        </w:tc>
        <w:tc>
          <w:tcPr>
            <w:tcW w:w="240" w:type="dxa"/>
            <w:vAlign w:val="bottom"/>
          </w:tcPr>
          <w:p>
            <w:pPr>
              <w:spacing w:after="0"/>
              <w:rPr>
                <w:sz w:val="24"/>
                <w:szCs w:val="24"/>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have been retrospectively adjusted to reflect the restatement of previously reported 2023 revenue. See Note 2, “Summary of Significant Accounting Policies,” for further information.</w:t>
      </w:r>
    </w:p>
    <w:p>
      <w:pPr>
        <w:spacing w:after="0" w:line="1" w:lineRule="exact"/>
        <w:rPr>
          <w:sz w:val="20"/>
          <w:szCs w:val="20"/>
          <w:color w:val="auto"/>
        </w:rPr>
      </w:pPr>
    </w:p>
    <w:p>
      <w:pPr>
        <w:ind w:left="640" w:right="299" w:hanging="348"/>
        <w:spacing w:after="0" w:line="261" w:lineRule="auto"/>
        <w:tabs>
          <w:tab w:leader="none" w:pos="6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$0.1 million and $0.8 million, respectively, for the three months ended September 30, 2024 and 2023 and $0.6 million and $3.0 million, respectively, for the nine months ended September 30, 2024 and 2023.</w:t>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September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nine months ended September 30, 2024 and 2023. For the three and nine months ended September 30, 2024, approximately 52% of the Company’s net revenues originated in California. For the three and nine months ended September 30, 2023, approximately 51% and 52% of the Company’s net revenues originated in California, respectively.</w:t>
      </w:r>
    </w:p>
    <w:p>
      <w:pPr>
        <w:spacing w:after="0" w:line="176" w:lineRule="exact"/>
        <w:rPr>
          <w:sz w:val="20"/>
          <w:szCs w:val="20"/>
          <w:color w:val="auto"/>
        </w:rPr>
      </w:pPr>
    </w:p>
    <w:p>
      <w:pPr>
        <w:ind w:left="640" w:hanging="348"/>
        <w:spacing w:after="0"/>
        <w:tabs>
          <w:tab w:leader="none" w:pos="6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recorded a liability of $1.5 million for the SEC settlement which is included in general and administrative expenses in the condensed consolidated statements of operations and accounts payable and accrued expenses in the condensed consolidated balance sheets. The SEC settlement of $1.5 million was paid in October 2024.</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approximately $1.8 million for the remaining three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640" w:hanging="348"/>
        <w:spacing w:after="0"/>
        <w:tabs>
          <w:tab w:leader="none" w:pos="6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September 30,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Pr>
          <w:p>
            <w:pPr>
              <w:spacing w:after="0"/>
              <w:rPr>
                <w:sz w:val="20"/>
                <w:szCs w:val="20"/>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$375</w:t>
            </w:r>
          </w:p>
        </w:tc>
      </w:tr>
      <w:tr>
        <w:trPr>
          <w:trHeight w:val="254"/>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390</w:t>
            </w:r>
          </w:p>
        </w:tc>
        <w:tc>
          <w:tcPr>
            <w:tcW w:w="420" w:type="dxa"/>
            <w:vAlign w:val="bottom"/>
          </w:tcPr>
          <w:p>
            <w:pPr>
              <w:spacing w:after="0"/>
              <w:rPr>
                <w:sz w:val="21"/>
                <w:szCs w:val="21"/>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r>
      <w:tr>
        <w:trPr>
          <w:trHeight w:val="20"/>
        </w:trPr>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06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0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20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300" w:type="dxa"/>
            <w:vAlign w:val="bottom"/>
          </w:tcPr>
          <w:p>
            <w:pPr>
              <w:spacing w:after="0"/>
              <w:rPr>
                <w:sz w:val="12"/>
                <w:szCs w:val="12"/>
                <w:color w:val="auto"/>
              </w:rPr>
            </w:pPr>
          </w:p>
        </w:tc>
        <w:tc>
          <w:tcPr>
            <w:tcW w:w="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40" w:type="dxa"/>
            <w:vAlign w:val="bottom"/>
          </w:tcPr>
          <w:p>
            <w:pPr>
              <w:spacing w:after="0"/>
              <w:rPr>
                <w:sz w:val="12"/>
                <w:szCs w:val="12"/>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Warrant</w:t>
            </w:r>
          </w:p>
        </w:tc>
        <w:tc>
          <w:tcPr>
            <w:tcW w:w="2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300" w:type="dxa"/>
            <w:vAlign w:val="bottom"/>
          </w:tcPr>
          <w:p>
            <w:pPr>
              <w:spacing w:after="0"/>
              <w:rPr>
                <w:sz w:val="12"/>
                <w:szCs w:val="12"/>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220" w:type="dxa"/>
            <w:vAlign w:val="bottom"/>
          </w:tcPr>
          <w:p>
            <w:pPr>
              <w:spacing w:after="0"/>
              <w:rPr>
                <w:sz w:val="12"/>
                <w:szCs w:val="12"/>
                <w:color w:val="auto"/>
              </w:rPr>
            </w:pP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Warrant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30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Liabilities</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300" w:type="dxa"/>
            <w:vAlign w:val="bottom"/>
          </w:tcPr>
          <w:p>
            <w:pPr>
              <w:spacing w:after="0"/>
              <w:rPr>
                <w:sz w:val="16"/>
                <w:szCs w:val="16"/>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220" w:type="dxa"/>
            <w:vAlign w:val="bottom"/>
          </w:tcPr>
          <w:p>
            <w:pPr>
              <w:spacing w:after="0"/>
              <w:rPr>
                <w:sz w:val="16"/>
                <w:szCs w:val="16"/>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$ 625</w:t>
            </w:r>
          </w:p>
        </w:tc>
        <w:tc>
          <w:tcPr>
            <w:tcW w:w="760" w:type="dxa"/>
            <w:vAlign w:val="bottom"/>
            <w:tcBorders>
              <w:left w:val="single" w:sz="8" w:color="CCEEFF"/>
              <w:right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$ 350</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$ 975</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$ 375</w:t>
            </w:r>
          </w:p>
        </w:tc>
        <w:tc>
          <w:tcPr>
            <w:tcW w:w="720" w:type="dxa"/>
            <w:vAlign w:val="bottom"/>
            <w:tcBorders>
              <w:left w:val="single" w:sz="8" w:color="CCEEFF"/>
              <w:right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$210</w:t>
            </w: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$ 585</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31"/>
        </w:trPr>
        <w:tc>
          <w:tcPr>
            <w:tcW w:w="41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$ 250</w:t>
            </w:r>
          </w:p>
        </w:tc>
        <w:tc>
          <w:tcPr>
            <w:tcW w:w="300" w:type="dxa"/>
            <w:vAlign w:val="bottom"/>
            <w:tcBorders>
              <w:left w:val="single" w:sz="8" w:color="CCEEFF"/>
              <w:right w:val="single" w:sz="8" w:color="CCEEFF"/>
            </w:tcBorders>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$ 390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$ 250</w:t>
            </w:r>
          </w:p>
        </w:tc>
        <w:tc>
          <w:tcPr>
            <w:tcW w:w="720" w:type="dxa"/>
            <w:vAlign w:val="bottom"/>
            <w:tcBorders>
              <w:left w:val="single" w:sz="8" w:color="CCEEFF"/>
              <w:right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w:t>
            </w:r>
          </w:p>
        </w:tc>
        <w:tc>
          <w:tcPr>
            <w:tcW w:w="8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$ 390</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100" w:type="dxa"/>
            <w:vAlign w:val="bottom"/>
          </w:tcPr>
          <w:p>
            <w:pPr>
              <w:spacing w:after="0"/>
              <w:rPr>
                <w:sz w:val="24"/>
                <w:szCs w:val="24"/>
                <w:color w:val="auto"/>
              </w:rPr>
            </w:pPr>
          </w:p>
        </w:tc>
        <w:tc>
          <w:tcPr>
            <w:tcW w:w="206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20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0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6"/>
                <w:szCs w:val="16"/>
                <w:color w:val="auto"/>
              </w:rPr>
            </w:pPr>
          </w:p>
        </w:tc>
        <w:tc>
          <w:tcPr>
            <w:tcW w:w="20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300" w:type="dxa"/>
            <w:vAlign w:val="bottom"/>
          </w:tcPr>
          <w:p>
            <w:pPr>
              <w:spacing w:after="0"/>
              <w:rPr>
                <w:sz w:val="12"/>
                <w:szCs w:val="12"/>
                <w:color w:val="auto"/>
              </w:rPr>
            </w:pPr>
          </w:p>
        </w:tc>
        <w:tc>
          <w:tcPr>
            <w:tcW w:w="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40" w:type="dxa"/>
            <w:vAlign w:val="bottom"/>
          </w:tcPr>
          <w:p>
            <w:pPr>
              <w:spacing w:after="0"/>
              <w:rPr>
                <w:sz w:val="12"/>
                <w:szCs w:val="12"/>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Warrant</w:t>
            </w:r>
          </w:p>
        </w:tc>
        <w:tc>
          <w:tcPr>
            <w:tcW w:w="2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300" w:type="dxa"/>
            <w:vAlign w:val="bottom"/>
          </w:tcPr>
          <w:p>
            <w:pPr>
              <w:spacing w:after="0"/>
              <w:rPr>
                <w:sz w:val="12"/>
                <w:szCs w:val="12"/>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220" w:type="dxa"/>
            <w:vAlign w:val="bottom"/>
          </w:tcPr>
          <w:p>
            <w:pPr>
              <w:spacing w:after="0"/>
              <w:rPr>
                <w:sz w:val="12"/>
                <w:szCs w:val="12"/>
                <w:color w:val="auto"/>
              </w:rPr>
            </w:pP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Warrant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30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Liabilities</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300" w:type="dxa"/>
            <w:vAlign w:val="bottom"/>
          </w:tcPr>
          <w:p>
            <w:pPr>
              <w:spacing w:after="0"/>
              <w:rPr>
                <w:sz w:val="16"/>
                <w:szCs w:val="16"/>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220" w:type="dxa"/>
            <w:vAlign w:val="bottom"/>
          </w:tcPr>
          <w:p>
            <w:pPr>
              <w:spacing w:after="0"/>
              <w:rPr>
                <w:sz w:val="16"/>
                <w:szCs w:val="16"/>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w:t>
            </w:r>
          </w:p>
        </w:tc>
        <w:tc>
          <w:tcPr>
            <w:tcW w:w="760" w:type="dxa"/>
            <w:vAlign w:val="bottom"/>
            <w:tcBorders>
              <w:left w:val="single" w:sz="8" w:color="CCEEFF"/>
              <w:right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  910</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$1,250</w:t>
            </w:r>
          </w:p>
        </w:tc>
        <w:tc>
          <w:tcPr>
            <w:tcW w:w="800" w:type="dxa"/>
            <w:vAlign w:val="bottom"/>
            <w:tcBorders>
              <w:left w:val="single" w:sz="8" w:color="CCEEFF"/>
            </w:tcBorders>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  840</w:t>
            </w:r>
          </w:p>
        </w:tc>
        <w:tc>
          <w:tcPr>
            <w:tcW w:w="660" w:type="dxa"/>
            <w:vAlign w:val="bottom"/>
            <w:tcBorders>
              <w:right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10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1,750</w:t>
            </w:r>
          </w:p>
        </w:tc>
        <w:tc>
          <w:tcPr>
            <w:tcW w:w="760" w:type="dxa"/>
            <w:vAlign w:val="bottom"/>
            <w:tcBorders>
              <w:left w:val="single" w:sz="8" w:color="CCEEFF"/>
              <w:right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1,120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1,750</w:t>
            </w:r>
          </w:p>
        </w:tc>
        <w:tc>
          <w:tcPr>
            <w:tcW w:w="800" w:type="dxa"/>
            <w:vAlign w:val="bottom"/>
            <w:tcBorders>
              <w:left w:val="single" w:sz="8" w:color="CCEEFF"/>
            </w:tcBorders>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1,120</w:t>
            </w:r>
          </w:p>
        </w:tc>
        <w:tc>
          <w:tcPr>
            <w:tcW w:w="660" w:type="dxa"/>
            <w:vAlign w:val="bottom"/>
            <w:tcBorders>
              <w:right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2,870</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$0.3 million and $0.4 million as of September 30, 2024 and December 31, 2023,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4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8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4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0.87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0.72</w:t>
            </w: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48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58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10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$0.1 million and $0.2 million as of September 30, 2024 and December 31, 2023, respectively. There were no transfers in or out of Level 3 from other levels in the fair value hierarchy.</w:t>
      </w:r>
    </w:p>
    <w:p>
      <w:pPr>
        <w:spacing w:after="0" w:line="172" w:lineRule="exact"/>
        <w:rPr>
          <w:sz w:val="20"/>
          <w:szCs w:val="20"/>
          <w:color w:val="auto"/>
        </w:rPr>
      </w:pPr>
    </w:p>
    <w:p>
      <w:pPr>
        <w:ind w:left="640" w:hanging="348"/>
        <w:spacing w:after="0"/>
        <w:tabs>
          <w:tab w:leader="none" w:pos="6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2024 and December 31, 2023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Intangible</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right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$7,256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$(5,370)</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(5,584)</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Intangible</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right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$7,256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September 30, 2024 and 2023, respectively. Amortization expense for intangible assets was $0.4 million and $1.6 million during the nine months ended September 30, 2024 and 2023,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2024 is as follows (in thousands):</w:t>
      </w:r>
    </w:p>
    <w:p>
      <w:pPr>
        <w:spacing w:after="0" w:line="328"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(three months)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24"/>
                <w:szCs w:val="24"/>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0"/>
                <w:szCs w:val="20"/>
                <w:color w:val="auto"/>
              </w:rPr>
            </w:pP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shd w:val="clear" w:color="auto" w:fill="CCEEFF"/>
          </w:tcPr>
          <w:p>
            <w:pPr>
              <w:spacing w:after="0"/>
              <w:rPr>
                <w:sz w:val="21"/>
                <w:szCs w:val="21"/>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0"/>
                <w:szCs w:val="20"/>
                <w:color w:val="auto"/>
              </w:rPr>
            </w:pP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21"/>
                <w:szCs w:val="21"/>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r>
      <w:tr>
        <w:trPr>
          <w:trHeight w:val="31"/>
        </w:trPr>
        <w:tc>
          <w:tcPr>
            <w:tcW w:w="7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2,091</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194" w:lineRule="exact"/>
        <w:rPr>
          <w:sz w:val="20"/>
          <w:szCs w:val="20"/>
          <w:color w:val="auto"/>
        </w:rPr>
      </w:pPr>
    </w:p>
    <w:p>
      <w:pPr>
        <w:ind w:left="640" w:hanging="348"/>
        <w:spacing w:after="0"/>
        <w:tabs>
          <w:tab w:leader="none" w:pos="6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September 30, 2024 and December 31, 2023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6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$1,530</w:t>
            </w: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0"/>
                <w:szCs w:val="20"/>
                <w:color w:val="auto"/>
              </w:rPr>
            </w:pPr>
          </w:p>
        </w:tc>
      </w:tr>
      <w:tr>
        <w:trPr>
          <w:trHeight w:val="24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6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360" w:type="dxa"/>
            <w:vAlign w:val="bottom"/>
            <w:shd w:val="clear" w:color="auto" w:fill="CCEEFF"/>
          </w:tcPr>
          <w:p>
            <w:pPr>
              <w:spacing w:after="0"/>
              <w:rPr>
                <w:sz w:val="21"/>
                <w:szCs w:val="2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tcPr>
          <w:p>
            <w:pPr>
              <w:spacing w:after="0"/>
              <w:rPr>
                <w:sz w:val="20"/>
                <w:szCs w:val="20"/>
                <w:color w:val="auto"/>
              </w:rPr>
            </w:pPr>
          </w:p>
        </w:tc>
      </w:tr>
      <w:tr>
        <w:trPr>
          <w:trHeight w:val="22"/>
        </w:trPr>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6,409</w:t>
            </w:r>
          </w:p>
        </w:tc>
        <w:tc>
          <w:tcPr>
            <w:tcW w:w="36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85" w:lineRule="exact"/>
        <w:rPr>
          <w:sz w:val="20"/>
          <w:szCs w:val="20"/>
          <w:color w:val="auto"/>
        </w:rPr>
      </w:pPr>
    </w:p>
    <w:p>
      <w:pPr>
        <w:ind w:left="640" w:hanging="348"/>
        <w:spacing w:after="0"/>
        <w:tabs>
          <w:tab w:leader="none" w:pos="6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September 30,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$ 6,932</w:t>
            </w:r>
          </w:p>
        </w:tc>
        <w:tc>
          <w:tcPr>
            <w:tcW w:w="3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320" w:type="dxa"/>
            <w:vAlign w:val="bottom"/>
            <w:shd w:val="clear" w:color="auto" w:fill="CCEEFF"/>
          </w:tcPr>
          <w:p>
            <w:pPr>
              <w:spacing w:after="0"/>
              <w:rPr>
                <w:sz w:val="21"/>
                <w:szCs w:val="21"/>
                <w:color w:val="auto"/>
              </w:rPr>
            </w:pPr>
          </w:p>
        </w:tc>
      </w:tr>
      <w:tr>
        <w:trPr>
          <w:trHeight w:val="25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3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32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320" w:type="dxa"/>
            <w:vAlign w:val="bottom"/>
          </w:tcPr>
          <w:p>
            <w:pPr>
              <w:spacing w:after="0"/>
              <w:rPr>
                <w:sz w:val="21"/>
                <w:szCs w:val="21"/>
                <w:color w:val="auto"/>
              </w:rPr>
            </w:pPr>
          </w:p>
        </w:tc>
      </w:tr>
      <w:tr>
        <w:trPr>
          <w:trHeight w:val="27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16,533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320" w:type="dxa"/>
            <w:vAlign w:val="bottom"/>
            <w:shd w:val="clear" w:color="auto" w:fill="CCEEFF"/>
          </w:tcPr>
          <w:p>
            <w:pPr>
              <w:spacing w:after="0"/>
              <w:rPr>
                <w:sz w:val="24"/>
                <w:szCs w:val="24"/>
                <w:color w:val="auto"/>
              </w:rPr>
            </w:pP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September 30, 2024 and December 31, 2023, respectively. Accounts payable and other accrued liabilities as of September 30, 2024 include $1.5 million in potential SEC settlement. See Note 4, “Commitments and Contingencies” to these condensed consolidated financial statements for further information.</w:t>
      </w:r>
    </w:p>
    <w:p>
      <w:pPr>
        <w:spacing w:after="0" w:line="176"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At September 30, 2024, there were 12,499,973 Public Warrants outstanding and 7,000,000 Private Placement Warrants outstanding.</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and are recorded as liabilities. Upon the Closing, the fair value of the Warrants was recorded on the balance sheet. The fair value of the Warrants are remeasured as of each balance sheet date, which resulted in a non-cash gain of $0.6 million and $0.2 million in the condensed consolidated statements of operations for the three and nine months ended September 30, 2024, respectively, and a non-cash loss of $0.5 million and $0.8 million in the condensed consolidated statements of operations for the three and nine months ended September 30, 2023, respectively. See Note 5, “Fair Value Measurements”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2024, there were no shares of preferred stock issued or outstanding.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September 30, 2024, the noncontrolling interests owned 36.9%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nine months ended September 30, 2024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23"/>
        </w:trPr>
        <w:tc>
          <w:tcPr>
            <w:tcW w:w="7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0"/>
                <w:szCs w:val="20"/>
                <w:color w:val="auto"/>
              </w:rPr>
            </w:pPr>
          </w:p>
        </w:tc>
      </w:tr>
      <w:tr>
        <w:trPr>
          <w:trHeight w:val="25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24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September 30, 2024</w:t>
            </w:r>
          </w:p>
        </w:tc>
        <w:tc>
          <w:tcPr>
            <w:tcW w:w="120" w:type="dxa"/>
            <w:vAlign w:val="bottom"/>
            <w:tcBorders>
              <w:top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14,678,732</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8"/>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September 30, 2024</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14,659,364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Class P Units was $0.04 million which is expected to be recognized over a weighted-average period of 0.2 years. For the three months ended September 30, 2024 and 2023, the Company recorded stock-based compensation expense for the Class P Units of $0.1 million and $0.1 million, respectively. For the nine months ended September 30, 2024 and 2023, the Company recorded stock-based compensation expense for the Class P Units of $0.2 million and $0.5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2024, 40,639,882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w:t>
      </w:r>
    </w:p>
    <w:p>
      <w:pPr>
        <w:spacing w:after="0" w:line="6"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September 30, 2024, 27,621,566 shares of Class A Common Stock were available for future issuance.</w:t>
      </w:r>
    </w:p>
    <w:p>
      <w:pPr>
        <w:spacing w:after="0" w:line="13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summary of the restricted stock unit (“RSU”) activity for the nine months ended September 30, 2024 is as follows: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906,232</w:t>
            </w:r>
          </w:p>
        </w:tc>
        <w:tc>
          <w:tcPr>
            <w:tcW w:w="80" w:type="dxa"/>
            <w:vAlign w:val="bottom"/>
          </w:tcPr>
          <w:p>
            <w:pPr>
              <w:spacing w:after="0"/>
              <w:rPr>
                <w:sz w:val="20"/>
                <w:szCs w:val="20"/>
                <w:color w:val="auto"/>
              </w:rPr>
            </w:pPr>
          </w:p>
        </w:tc>
        <w:tc>
          <w:tcPr>
            <w:tcW w:w="1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w:t>
            </w:r>
          </w:p>
        </w:tc>
        <w:tc>
          <w:tcPr>
            <w:tcW w:w="0" w:type="dxa"/>
            <w:vAlign w:val="bottom"/>
          </w:tcPr>
          <w:p>
            <w:pPr>
              <w:spacing w:after="0"/>
              <w:rPr>
                <w:sz w:val="1"/>
                <w:szCs w:val="1"/>
                <w:color w:val="auto"/>
              </w:rPr>
            </w:pPr>
          </w:p>
        </w:tc>
      </w:tr>
      <w:tr>
        <w:trPr>
          <w:trHeight w:val="24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(2,897,408)</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$2.97</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(1,328,501)</w:t>
            </w:r>
          </w:p>
        </w:tc>
        <w:tc>
          <w:tcPr>
            <w:tcW w:w="80" w:type="dxa"/>
            <w:vAlign w:val="bottom"/>
          </w:tcPr>
          <w:p>
            <w:pPr>
              <w:spacing w:after="0"/>
              <w:rPr>
                <w:sz w:val="21"/>
                <w:szCs w:val="21"/>
                <w:color w:val="auto"/>
              </w:rPr>
            </w:pPr>
          </w:p>
        </w:tc>
        <w:tc>
          <w:tcPr>
            <w:tcW w:w="1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$2.87</w:t>
            </w:r>
          </w:p>
        </w:tc>
        <w:tc>
          <w:tcPr>
            <w:tcW w:w="0" w:type="dxa"/>
            <w:vAlign w:val="bottom"/>
          </w:tcPr>
          <w:p>
            <w:pPr>
              <w:spacing w:after="0"/>
              <w:rPr>
                <w:sz w:val="1"/>
                <w:szCs w:val="1"/>
                <w:color w:val="auto"/>
              </w:rPr>
            </w:pPr>
          </w:p>
        </w:tc>
      </w:tr>
      <w:tr>
        <w:trPr>
          <w:trHeight w:val="297"/>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4,363,921</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$2.57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RSUs was $10.0 million, which is expected to be recognized over a weighted-average period of 1.2 years. For the three months ended September 30, 2024 and 2023, the Company recorded stock-based compensation expense for the RSUs of $1.5 million and $2.7 million, respectively. For the nine months ended September 30, 2024 and 2023, the Company recorded stock-based compensation expense for the RSUs of $6.9 million and $10.1 million, respectively.</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0" w:lineRule="exact"/>
        <w:rPr>
          <w:sz w:val="20"/>
          <w:szCs w:val="20"/>
          <w:color w:val="auto"/>
        </w:rPr>
      </w:pP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(175,781)</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6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240" w:type="dxa"/>
            <w:vAlign w:val="bottom"/>
            <w:shd w:val="clear" w:color="auto" w:fill="CCEEFF"/>
          </w:tcPr>
          <w:p>
            <w:pPr>
              <w:spacing w:after="0"/>
              <w:rPr>
                <w:sz w:val="22"/>
                <w:szCs w:val="22"/>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right w:val="single" w:sz="8" w:color="CCEEFF"/>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no outstanding grants for PRSUs. For the three months ended September 30, 2024, the Company recorded no stock-based compensation expense for PRSUs. For the three months ended September 30, 2023, the Company recorded stock-based compensation credit of for PRSUs $0.5 million. For the nine months ended September 30, 2024 and 2023, the Company recorded stock-based compensation expense for PRSUs of $0.1 million and stock-based compensation credit for PRSUs of $0.2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80" w:type="dxa"/>
            <w:vAlign w:val="bottom"/>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7"/>
                <w:szCs w:val="17"/>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$ 2,180</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30"/>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36"/>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1,817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11,348</w:t>
            </w: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nine months ending September 30, 2024 and 2023 (in thousands, except for share and per share amounts):</w:t>
      </w:r>
    </w:p>
    <w:p>
      <w:pPr>
        <w:spacing w:after="0" w:line="4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55"/>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9"/>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 w:type="dxa"/>
            <w:vAlign w:val="bottom"/>
          </w:tcPr>
          <w:p>
            <w:pPr>
              <w:spacing w:after="0"/>
              <w:rPr>
                <w:sz w:val="19"/>
                <w:szCs w:val="19"/>
                <w:color w:val="auto"/>
              </w:rPr>
            </w:pPr>
          </w:p>
        </w:tc>
      </w:tr>
      <w:tr>
        <w:trPr>
          <w:trHeight w:val="198"/>
        </w:trPr>
        <w:tc>
          <w:tcPr>
            <w:tcW w:w="4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61"/>
        </w:trPr>
        <w:tc>
          <w:tcPr>
            <w:tcW w:w="1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5"/>
        </w:trPr>
        <w:tc>
          <w:tcPr>
            <w:tcW w:w="43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 w:type="dxa"/>
            <w:vAlign w:val="bottom"/>
          </w:tcPr>
          <w:p>
            <w:pPr>
              <w:spacing w:after="0"/>
              <w:rPr>
                <w:sz w:val="20"/>
                <w:szCs w:val="20"/>
                <w:color w:val="auto"/>
              </w:rPr>
            </w:pPr>
          </w:p>
        </w:tc>
      </w:tr>
      <w:tr>
        <w:trPr>
          <w:trHeight w:val="21"/>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98"/>
        </w:trPr>
        <w:tc>
          <w:tcPr>
            <w:tcW w:w="4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4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1,016,101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75"/>
        </w:trPr>
        <w:tc>
          <w:tcPr>
            <w:tcW w:w="1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 diluted</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97,811,251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2"/>
        </w:trPr>
        <w:tc>
          <w:tcPr>
            <w:tcW w:w="43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0"/>
                <w:szCs w:val="20"/>
                <w:color w:val="auto"/>
              </w:rPr>
            </w:pPr>
          </w:p>
        </w:tc>
      </w:tr>
      <w:tr>
        <w:trPr>
          <w:trHeight w:val="21"/>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75"/>
        </w:trPr>
        <w:tc>
          <w:tcPr>
            <w:tcW w:w="1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r>
      <w:tr>
        <w:trPr>
          <w:trHeight w:val="155"/>
        </w:trPr>
        <w:tc>
          <w:tcPr>
            <w:tcW w:w="120" w:type="dxa"/>
            <w:vAlign w:val="bottom"/>
            <w:tcBorders>
              <w:top w:val="single" w:sz="8" w:color="CCEEFF"/>
              <w:bottom w:val="single" w:sz="8" w:color="auto"/>
            </w:tcBorders>
          </w:tcPr>
          <w:p>
            <w:pPr>
              <w:spacing w:after="0"/>
              <w:rPr>
                <w:sz w:val="13"/>
                <w:szCs w:val="13"/>
                <w:color w:val="auto"/>
              </w:rPr>
            </w:pPr>
          </w:p>
        </w:tc>
        <w:tc>
          <w:tcPr>
            <w:tcW w:w="1160" w:type="dxa"/>
            <w:vAlign w:val="bottom"/>
            <w:tcBorders>
              <w:top w:val="single" w:sz="8" w:color="CCEEFF"/>
              <w:bottom w:val="single" w:sz="8" w:color="auto"/>
            </w:tcBorders>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21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Calculated using the treasury stock method.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52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4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55,486,361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4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55,486,361</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14,678,732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14,966,127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14,678,732</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rPr>
              <w:t>14,966,127</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2,964,600</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7,173,708</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12,499,973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4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12,499,973</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September 30, 2024 and December 31, 2023, rent receivable was $0.2 million and $0.7 million, respectively, and these amounts are included in prepaid expenses and other current assets on the accompanying condensed balance sheets. The Company expects to collect the remaining rent receivable balance which was $0.2 million as of September 30, 2024 in the fourth quarter of 2024. Rent receivable of $0.7 million from December 31, 2023 was subsequently collected in April 2024. For the three and nine months ended September 30, 2024, income on the sublease with a related party was $0.2 million and $0.5 million, respectively. For the three and nine months ended September 30, 2023, income on the sublease with a related party was $0.2 million and $0.5 million, respectively. The income on sublease is netted with rent expense and included in general and administrative expenses on the condensed consolidated statements of operations.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September 30, 2024, the remaining balance of the promissory note receivable was the $0.4 million of which $0.3 million was included in prepaid expenses and other current assets and $0.1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nine ended September 30, 2024 and 2023, interest income on the promissory note was less than $0.1 million, which is included in other income (expense), net on the accompanying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(64,518)</w:t>
            </w:r>
          </w:p>
        </w:tc>
        <w:tc>
          <w:tcPr>
            <w:tcW w:w="2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114" w:right="439" w:bottom="393"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0"/>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tcPr>
          <w:p>
            <w:pPr>
              <w:spacing w:after="0"/>
              <w:rPr>
                <w:sz w:val="24"/>
                <w:szCs w:val="24"/>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6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WM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vMerge w:val="restart"/>
          </w:tcPr>
          <w:p>
            <w:pPr>
              <w:spacing w:after="0"/>
              <w:rPr>
                <w:sz w:val="7"/>
                <w:szCs w:val="7"/>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7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70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7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4"/>
        </w:trPr>
        <w:tc>
          <w:tcPr>
            <w:tcW w:w="1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63,738,563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1,938,798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22,862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3,447,946</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4,721,706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10,015,986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8,199,449</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7,064</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14,385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2,242,930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-6497320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-6497320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-6497320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-6497320</wp:posOffset>
            </wp:positionV>
            <wp:extent cx="254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-6497320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-6497320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-6497320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-6497320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-6497320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181" w:name="page182"/>
    <w:bookmarkEnd w:id="18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28,583</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432"/>
        </w:trPr>
        <w:tc>
          <w:tcPr>
            <w:tcW w:w="1300" w:type="dxa"/>
            <w:vAlign w:val="bottom"/>
          </w:tcPr>
          <w:p>
            <w:pPr>
              <w:spacing w:after="0"/>
              <w:rPr>
                <w:sz w:val="24"/>
                <w:szCs w:val="24"/>
                <w:color w:val="auto"/>
              </w:rPr>
            </w:pPr>
          </w:p>
        </w:tc>
        <w:tc>
          <w:tcPr>
            <w:tcW w:w="7400" w:type="dxa"/>
            <w:vAlign w:val="bottom"/>
            <w:gridSpan w:val="11"/>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F-37</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-9385935</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-9385935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-9385935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114" w:right="439" w:bottom="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5" w:name="page186"/>
    <w:bookmarkEnd w:id="18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$50,852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$41,708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$47,069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$47,725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$19,189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$53,273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-3291205</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-3291205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-3291205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-1962150</wp:posOffset>
            </wp:positionV>
            <wp:extent cx="120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-1962150</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-1962150</wp:posOffset>
            </wp:positionV>
            <wp:extent cx="1200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-1962150</wp:posOffset>
            </wp:positionV>
            <wp:extent cx="1200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-1962150</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-1962150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1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F-41</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-3042285</wp:posOffset>
            </wp:positionV>
            <wp:extent cx="1200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-3042285</wp:posOffset>
            </wp:positionV>
            <wp:extent cx="1200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-3042285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-1379220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1"/>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$12,232</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1200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-830580</wp:posOffset>
            </wp:positionV>
            <wp:extent cx="1200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1"/>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1"/>
        </w:trPr>
        <w:tc>
          <w:tcPr>
            <w:tcW w:w="61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-1276350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-1276350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-1276350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3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5"/>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0"/>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8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23"/>
                <w:szCs w:val="23"/>
                <w:color w:val="auto"/>
              </w:rPr>
            </w:pPr>
          </w:p>
        </w:tc>
      </w:tr>
      <w:tr>
        <w:trPr>
          <w:trHeight w:val="48"/>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4"/>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7" w:name="page198"/>
    <w:bookmarkEnd w:id="19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0"/>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1"/>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-762635</wp:posOffset>
            </wp:positionV>
            <wp:extent cx="102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-762635</wp:posOffset>
            </wp:positionV>
            <wp:extent cx="1117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-762635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2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8"/>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9"/>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$10,710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-1979295</wp:posOffset>
            </wp:positionV>
            <wp:extent cx="1885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-1979295</wp:posOffset>
            </wp:positionV>
            <wp:extent cx="1885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-1979295</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$ 254,203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20" w:type="dxa"/>
            <w:vAlign w:val="bottom"/>
          </w:tcPr>
          <w:p>
            <w:pPr>
              <w:spacing w:after="0"/>
              <w:rPr>
                <w:sz w:val="19"/>
                <w:szCs w:val="19"/>
                <w:color w:val="auto"/>
              </w:rPr>
            </w:pP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(84,721)</w:t>
            </w:r>
          </w:p>
        </w:tc>
        <w:tc>
          <w:tcPr>
            <w:tcW w:w="20" w:type="dxa"/>
            <w:vAlign w:val="bottom"/>
            <w:shd w:val="clear" w:color="auto" w:fill="CCEEFF"/>
          </w:tcPr>
          <w:p>
            <w:pPr>
              <w:spacing w:after="0"/>
              <w:rPr>
                <w:sz w:val="24"/>
                <w:szCs w:val="24"/>
                <w:color w:val="auto"/>
              </w:rPr>
            </w:pP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638"/>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-4319905</wp:posOffset>
            </wp:positionV>
            <wp:extent cx="1543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310"/>
        </w:trPr>
        <w:tc>
          <w:tcPr>
            <w:tcW w:w="782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4"/>
                <w:szCs w:val="24"/>
                <w:color w:val="auto"/>
              </w:rPr>
            </w:pPr>
          </w:p>
        </w:tc>
      </w:tr>
      <w:tr>
        <w:trPr>
          <w:trHeight w:val="48"/>
        </w:trPr>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4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c>
          <w:tcPr>
            <w:tcW w:w="20" w:type="dxa"/>
            <w:vAlign w:val="bottom"/>
            <w:shd w:val="clear" w:color="auto" w:fill="CCEEFF"/>
          </w:tcPr>
          <w:p>
            <w:pPr>
              <w:spacing w:after="0"/>
              <w:rPr>
                <w:sz w:val="23"/>
                <w:szCs w:val="23"/>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c>
          <w:tcPr>
            <w:tcW w:w="20" w:type="dxa"/>
            <w:vAlign w:val="bottom"/>
            <w:shd w:val="clear" w:color="auto" w:fill="CCEEFF"/>
          </w:tcPr>
          <w:p>
            <w:pPr>
              <w:spacing w:after="0"/>
              <w:rPr>
                <w:sz w:val="23"/>
                <w:szCs w:val="23"/>
                <w:color w:val="auto"/>
              </w:rPr>
            </w:pPr>
          </w:p>
        </w:tc>
      </w:tr>
      <w:tr>
        <w:trPr>
          <w:trHeight w:val="48"/>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228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371"/>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400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776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4"/>
                <w:szCs w:val="24"/>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371"/>
        </w:trPr>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center"/>
              <w:ind w:left="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$ 7,635</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gridSpan w:val="4"/>
          </w:tcPr>
          <w:p>
            <w:pPr>
              <w:jc w:val="center"/>
              <w:ind w:left="314"/>
              <w:spacing w:after="0"/>
              <w:rPr>
                <w:sz w:val="20"/>
                <w:szCs w:val="20"/>
                <w:color w:val="auto"/>
              </w:rPr>
            </w:pPr>
            <w:r>
              <w:rPr>
                <w:rFonts w:ascii="Times New Roman" w:cs="Times New Roman" w:eastAsia="Times New Roman" w:hAnsi="Times New Roman"/>
                <w:sz w:val="18"/>
                <w:szCs w:val="18"/>
                <w:color w:val="auto"/>
                <w:w w:val="98"/>
              </w:rPr>
              <w:t>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5,211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0" w:type="dxa"/>
            <w:vAlign w:val="bottom"/>
            <w:gridSpan w:val="4"/>
          </w:tcPr>
          <w:p>
            <w:pPr>
              <w:jc w:val="center"/>
              <w:ind w:left="134"/>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06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20,572</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-2459355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-2459355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-2459355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-2459355</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-933450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-933450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-933450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-933450</wp:posOffset>
            </wp:positionV>
            <wp:extent cx="342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80"/>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447"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 of</w:t>
            </w:r>
          </w:p>
        </w:tc>
        <w:tc>
          <w:tcPr>
            <w:tcW w:w="3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2023 and 2022 consisted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24"/>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1"/>
        </w:trPr>
        <w:tc>
          <w:tcPr>
            <w:tcW w:w="38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180" w:type="dxa"/>
            <w:vAlign w:val="bottom"/>
            <w:tcBorders>
              <w:bottom w:val="single" w:sz="8" w:color="CCEEFF"/>
            </w:tcBorders>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3"/>
                <w:szCs w:val="23"/>
                <w:color w:val="auto"/>
              </w:rPr>
            </w:pPr>
          </w:p>
        </w:tc>
      </w:tr>
      <w:tr>
        <w:trPr>
          <w:trHeight w:val="48"/>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3840" w:type="dxa"/>
            <w:vAlign w:val="bottom"/>
            <w:shd w:val="clear" w:color="auto" w:fill="CCEEFF"/>
          </w:tcPr>
          <w:p>
            <w:pPr>
              <w:spacing w:after="0"/>
              <w:rPr>
                <w:sz w:val="24"/>
                <w:szCs w:val="24"/>
                <w:color w:val="auto"/>
              </w:rPr>
            </w:pPr>
          </w:p>
        </w:tc>
        <w:tc>
          <w:tcPr>
            <w:tcW w:w="3180" w:type="dxa"/>
            <w:vAlign w:val="bottom"/>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14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34"/>
        </w:trPr>
        <w:tc>
          <w:tcPr>
            <w:tcW w:w="38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8"/>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84"/>
        </w:trPr>
        <w:tc>
          <w:tcPr>
            <w:tcW w:w="58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4"/>
                <w:szCs w:val="24"/>
                <w:color w:val="auto"/>
              </w:rPr>
            </w:pPr>
          </w:p>
        </w:tc>
      </w:tr>
      <w:tr>
        <w:trPr>
          <w:trHeight w:val="34"/>
        </w:trPr>
        <w:tc>
          <w:tcPr>
            <w:tcW w:w="5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8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1"/>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6,269,868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6,634,013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(2,974,439)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3"/>
                <w:szCs w:val="23"/>
                <w:color w:val="auto"/>
              </w:rPr>
            </w:pPr>
          </w:p>
        </w:tc>
        <w:tc>
          <w:tcPr>
            <w:tcW w:w="11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1"/>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-1105535</wp:posOffset>
            </wp:positionV>
            <wp:extent cx="2571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-1105535</wp:posOffset>
            </wp:positionV>
            <wp:extent cx="2571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-1105535</wp:posOffset>
            </wp:positionV>
            <wp:extent cx="1289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80" w:type="dxa"/>
            <w:vAlign w:val="bottom"/>
          </w:tcPr>
          <w:p>
            <w:pPr>
              <w:spacing w:after="0"/>
              <w:rPr>
                <w:sz w:val="19"/>
                <w:szCs w:val="1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7"/>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-3274060</wp:posOffset>
            </wp:positionV>
            <wp:extent cx="1714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-3274060</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128270</wp:posOffset>
            </wp:positionV>
            <wp:extent cx="8229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09"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6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4"/>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131,766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179,418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179,077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26"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1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$ 31,844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8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r>
      <w:tr>
        <w:trPr>
          <w:trHeight w:val="61"/>
        </w:trPr>
        <w:tc>
          <w:tcPr>
            <w:tcW w:w="58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8"/>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-5682615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-5682615</wp:posOffset>
            </wp:positionV>
            <wp:extent cx="137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-5682615</wp:posOffset>
            </wp:positionV>
            <wp:extent cx="137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-5682615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-831215</wp:posOffset>
            </wp:positionV>
            <wp:extent cx="137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-831215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5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$401,800+</w:t>
            </w: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2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75"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0" w:type="dxa"/>
            <w:vAlign w:val="bottom"/>
          </w:tcPr>
          <w:p>
            <w:pPr>
              <w:spacing w:after="0"/>
              <w:rPr>
                <w:sz w:val="20"/>
                <w:szCs w:val="20"/>
                <w:color w:val="auto"/>
              </w:rPr>
            </w:pP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3"/>
        </w:trPr>
        <w:tc>
          <w:tcPr>
            <w:tcW w:w="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24"/>
                <w:szCs w:val="24"/>
                <w:color w:val="auto"/>
              </w:rPr>
            </w:pPr>
          </w:p>
        </w:tc>
        <w:tc>
          <w:tcPr>
            <w:tcW w:w="760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1"/>
        </w:trPr>
        <w:tc>
          <w:tcPr>
            <w:tcW w:w="400" w:type="dxa"/>
            <w:vAlign w:val="bottom"/>
            <w:gridSpan w:val="4"/>
            <w:shd w:val="clear" w:color="auto" w:fill="CCEEFF"/>
          </w:tcPr>
          <w:p>
            <w:pPr>
              <w:spacing w:after="0" w:line="201"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Agreement and Plan of Merger, dated December 10, 2020, by and among Silver Spike, Merger Sub,</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WMH, and the Holder Representative named therein (incorporated by reference to Exhibit 2.1 to</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Current Report on Form 8-K filed on December 10, 2020).</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 filed on June 21, 2021).</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 filed on June 21, 2021).</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Common Stock Certificate of the Company (incorporated by reference to Exhibit 4.1 to the</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Warrant Certificate of the Company (incorporated by reference to Exhibit 4.2 to the Current</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on June 21, 2021).</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39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Warrant Agreement, dated August 7, 2019, between the Company and Continental Stock Transfer &amp;</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Trust Company, as warrant agent (incorporated by reference to Exhibit 4.1 filed on Silver Spike’s</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by the Company on August 12, 2019).</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Description of Securities (incorporated by reference to Exhibit 4.5 to the Annual Report on Form 10-K</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May 24, 2024).</w:t>
            </w: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392">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Opinion of Cooley LLP*</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176"/>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5"/>
              </w:rPr>
            </w:pPr>
            <w:hyperlink r:id="rId39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Exchange Agreement, dated as of June 16, 2021, by and among the Company, Silver Spike Sponsor and</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other parties thereto (incorporated by reference to Exhibit 10.1 to the Current Report on Form 8-K</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June 21, 2021).</w:t>
            </w:r>
          </w:p>
        </w:tc>
      </w:tr>
      <w:tr>
        <w:trPr>
          <w:trHeight w:val="175"/>
        </w:trPr>
        <w:tc>
          <w:tcPr>
            <w:tcW w:w="320" w:type="dxa"/>
            <w:vAlign w:val="bottom"/>
            <w:gridSpan w:val="3"/>
          </w:tcPr>
          <w:p>
            <w:pPr>
              <w:spacing w:after="0" w:line="176" w:lineRule="exact"/>
              <w:rPr>
                <w:rFonts w:ascii="Times New Roman" w:cs="Times New Roman" w:eastAsia="Times New Roman" w:hAnsi="Times New Roman"/>
                <w:sz w:val="18"/>
                <w:szCs w:val="18"/>
                <w:color w:val="0000EE"/>
                <w:w w:val="95"/>
              </w:rPr>
            </w:pPr>
            <w:hyperlink r:id="rId39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Tax Receivable Agreement, dated as of June 16, 2021, by and among the Company and the other parties</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thereto (incorporated by reference to Exhibit 10.2 to the Current Report on Form 8-K filed on June 21,</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182"/>
        </w:trPr>
        <w:tc>
          <w:tcPr>
            <w:tcW w:w="32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w w:val="95"/>
              </w:rPr>
            </w:pPr>
            <w:hyperlink r:id="rId39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Fourth Amended and Restated Operating Agreement of WMH LLC (incorporated by reference to</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10.3 to the Current Report on Form 8-K filed on June 21, 2021).</w:t>
            </w:r>
          </w:p>
        </w:tc>
      </w:tr>
      <w:tr>
        <w:trPr>
          <w:trHeight w:val="175"/>
        </w:trPr>
        <w:tc>
          <w:tcPr>
            <w:tcW w:w="320" w:type="dxa"/>
            <w:vAlign w:val="bottom"/>
            <w:gridSpan w:val="3"/>
          </w:tcPr>
          <w:p>
            <w:pPr>
              <w:spacing w:after="0" w:line="176" w:lineRule="exact"/>
              <w:rPr>
                <w:rFonts w:ascii="Times New Roman" w:cs="Times New Roman" w:eastAsia="Times New Roman" w:hAnsi="Times New Roman"/>
                <w:sz w:val="18"/>
                <w:szCs w:val="18"/>
                <w:color w:val="0000EE"/>
                <w:w w:val="95"/>
              </w:rPr>
            </w:pPr>
            <w:hyperlink r:id="rId39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Subscription Agreement (incorporated by reference to Exhibit 10.1 to the Current Report on</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December 10, 2020).</w:t>
            </w:r>
          </w:p>
        </w:tc>
      </w:tr>
      <w:tr>
        <w:trPr>
          <w:trHeight w:val="182"/>
        </w:trPr>
        <w:tc>
          <w:tcPr>
            <w:tcW w:w="32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w w:val="95"/>
              </w:rPr>
            </w:pPr>
            <w:hyperlink r:id="rId39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Amended and Restated Registration Rights Agreement, dated as of June 16, 2021, by and among the</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Silver Spike Sponsor and the other parties thereto (incorporated by reference to Exhibit 10.5</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Current Report on Form 8-K filed on June 21, 2021).</w:t>
            </w:r>
          </w:p>
        </w:tc>
      </w:tr>
      <w:tr>
        <w:trPr>
          <w:trHeight w:val="175"/>
        </w:trPr>
        <w:tc>
          <w:tcPr>
            <w:tcW w:w="600" w:type="dxa"/>
            <w:vAlign w:val="bottom"/>
            <w:gridSpan w:val="5"/>
          </w:tcPr>
          <w:p>
            <w:pPr>
              <w:spacing w:after="0" w:line="176" w:lineRule="exact"/>
              <w:rPr>
                <w:rFonts w:ascii="Times New Roman" w:cs="Times New Roman" w:eastAsia="Times New Roman" w:hAnsi="Times New Roman"/>
                <w:sz w:val="18"/>
                <w:szCs w:val="18"/>
                <w:color w:val="0000EE"/>
              </w:rPr>
            </w:pPr>
            <w:hyperlink r:id="rId3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Indemnification Agreement by and between the Company and its directors and officers</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10.6 to the Current Report on Form 8-K filed on June 21, 2021).</w:t>
            </w:r>
          </w:p>
        </w:tc>
      </w:tr>
      <w:tr>
        <w:trPr>
          <w:trHeight w:val="182"/>
        </w:trPr>
        <w:tc>
          <w:tcPr>
            <w:tcW w:w="600" w:type="dxa"/>
            <w:vAlign w:val="bottom"/>
            <w:gridSpan w:val="5"/>
            <w:shd w:val="clear" w:color="auto" w:fill="CCEEFF"/>
          </w:tcPr>
          <w:p>
            <w:pPr>
              <w:spacing w:after="0" w:line="182" w:lineRule="exact"/>
              <w:rPr>
                <w:rFonts w:ascii="Times New Roman" w:cs="Times New Roman" w:eastAsia="Times New Roman" w:hAnsi="Times New Roman"/>
                <w:sz w:val="18"/>
                <w:szCs w:val="18"/>
                <w:color w:val="0000EE"/>
              </w:rPr>
            </w:pPr>
            <w:hyperlink r:id="rId3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WM Technology, Inc. 2021 Equity Incentive Plan (incorporated by reference to Exhibit 10.7 to the</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175"/>
        </w:trPr>
        <w:tc>
          <w:tcPr>
            <w:tcW w:w="720" w:type="dxa"/>
            <w:vAlign w:val="bottom"/>
            <w:gridSpan w:val="6"/>
          </w:tcPr>
          <w:p>
            <w:pPr>
              <w:spacing w:after="0" w:line="176" w:lineRule="exact"/>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7(a)#</w:t>
              </w:r>
            </w:hyperlink>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Stock Option Grant Notice (incorporated by reference to Exhibit 10.7(a) to the Current Report</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182"/>
        </w:trPr>
        <w:tc>
          <w:tcPr>
            <w:tcW w:w="720" w:type="dxa"/>
            <w:vAlign w:val="bottom"/>
            <w:gridSpan w:val="6"/>
            <w:shd w:val="clear" w:color="auto" w:fill="CCEEFF"/>
          </w:tcPr>
          <w:p>
            <w:pPr>
              <w:spacing w:after="0" w:line="182" w:lineRule="exact"/>
              <w:rPr>
                <w:rFonts w:ascii="Times New Roman" w:cs="Times New Roman" w:eastAsia="Times New Roman" w:hAnsi="Times New Roman"/>
                <w:sz w:val="18"/>
                <w:szCs w:val="18"/>
                <w:color w:val="0000EE"/>
              </w:rPr>
            </w:pPr>
            <w:hyperlink r:id="rId4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Form of RSU Award Grant Notice (incorporated by reference to Exhibit 10.7(b) to the Current Report on</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175"/>
        </w:trPr>
        <w:tc>
          <w:tcPr>
            <w:tcW w:w="600" w:type="dxa"/>
            <w:vAlign w:val="bottom"/>
            <w:gridSpan w:val="5"/>
          </w:tcPr>
          <w:p>
            <w:pPr>
              <w:spacing w:after="0" w:line="176" w:lineRule="exact"/>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WM Technology, Inc. 2021 Employee Stock Purchase Plan (incorporated by reference to Exhibit 10.8 to</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Current Report on Form 8-K filed on June 21, 2021).</w:t>
            </w:r>
          </w:p>
        </w:tc>
      </w:tr>
      <w:tr>
        <w:trPr>
          <w:trHeight w:val="182"/>
        </w:trPr>
        <w:tc>
          <w:tcPr>
            <w:tcW w:w="32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w w:val="95"/>
              </w:rPr>
            </w:pPr>
            <w:hyperlink r:id="rId40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hyperlink>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by and between the Irvine Company LLC and Ghost Media Group, LLC, dated November 11,</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as amended (incorporated by reference to Exhibit 10.12 to the Current Report on Form 8-K filed</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June 21, 2021).</w:t>
            </w:r>
          </w:p>
        </w:tc>
      </w:tr>
      <w:tr>
        <w:trPr>
          <w:trHeight w:val="175"/>
        </w:trPr>
        <w:tc>
          <w:tcPr>
            <w:tcW w:w="600" w:type="dxa"/>
            <w:vAlign w:val="bottom"/>
            <w:gridSpan w:val="5"/>
          </w:tcPr>
          <w:p>
            <w:pPr>
              <w:spacing w:after="0" w:line="17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First Amendment to Lease and Consent to Assignment by and between Discovery Business Center LLC,</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as successor-in-interest to the Irvine Company LLC, and Ghost Management Group, LLC, as successor-</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in-interest to Ghost Media Group, LLC, dated January 27, 2016 (incorporated by reference to</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10.13 to the Current Report on Form 8-K filed on June 21, 2021).</w:t>
            </w:r>
          </w:p>
        </w:tc>
      </w:tr>
      <w:tr>
        <w:trPr>
          <w:trHeight w:val="182"/>
        </w:trPr>
        <w:tc>
          <w:tcPr>
            <w:tcW w:w="400" w:type="dxa"/>
            <w:vAlign w:val="bottom"/>
            <w:tcBorders>
              <w:bottom w:val="single" w:sz="8" w:color="0000EE"/>
            </w:tcBorders>
            <w:gridSpan w:val="4"/>
            <w:shd w:val="clear" w:color="auto" w:fill="CCEEFF"/>
          </w:tcPr>
          <w:p>
            <w:pPr>
              <w:spacing w:after="0" w:line="182" w:lineRule="exact"/>
              <w:rPr>
                <w:rFonts w:ascii="Times New Roman" w:cs="Times New Roman" w:eastAsia="Times New Roman" w:hAnsi="Times New Roman"/>
                <w:sz w:val="18"/>
                <w:szCs w:val="18"/>
                <w:color w:val="0000EE"/>
                <w:w w:val="93"/>
              </w:rPr>
            </w:pPr>
            <w:hyperlink r:id="rId40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Second Amendment to Lease, by and between Discovery Business Center LLC and Ghost Management</w:t>
            </w:r>
          </w:p>
        </w:tc>
      </w:tr>
      <w:tr>
        <w:trPr>
          <w:trHeight w:val="218"/>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 dated April 7, 2017 (incorporated by reference to Exhibit 10.14 to the Current Report on</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176"/>
        </w:trPr>
        <w:tc>
          <w:tcPr>
            <w:tcW w:w="600" w:type="dxa"/>
            <w:vAlign w:val="bottom"/>
            <w:gridSpan w:val="5"/>
          </w:tcPr>
          <w:p>
            <w:pPr>
              <w:spacing w:after="0" w:line="17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Third Amendment to Lease, by and between Discovery Business Center LLC and Ghost Management</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Group, LLC, dated December 29, 2017 (incorporated by reference to Exhibit 10.15 to the Current Report</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June 21, 2021).</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60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1"/>
        </w:trPr>
        <w:tc>
          <w:tcPr>
            <w:tcW w:w="480" w:type="dxa"/>
            <w:vAlign w:val="bottom"/>
            <w:gridSpan w:val="3"/>
            <w:shd w:val="clear" w:color="auto" w:fill="CCEEFF"/>
          </w:tcPr>
          <w:p>
            <w:pPr>
              <w:spacing w:after="0" w:line="201"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Fourth Amendment to Lease, by and between Discovery Business Center LLC and Ghost Management</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 dated May 3, 2018 (incorporated by reference to Exhibit 10.16 to the Current Report on</w:t>
            </w:r>
          </w:p>
        </w:tc>
      </w:tr>
      <w:tr>
        <w:trPr>
          <w:trHeight w:val="248"/>
        </w:trPr>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176"/>
        </w:trPr>
        <w:tc>
          <w:tcPr>
            <w:tcW w:w="480" w:type="dxa"/>
            <w:vAlign w:val="bottom"/>
            <w:gridSpan w:val="3"/>
          </w:tcPr>
          <w:p>
            <w:pPr>
              <w:spacing w:after="0" w:line="17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WM Technology, Inc. Non-Employee Director Compensation Policy (incorporated by reference to</w:t>
            </w:r>
          </w:p>
        </w:tc>
      </w:tr>
      <w:tr>
        <w:trPr>
          <w:trHeight w:val="243"/>
        </w:trPr>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 to the Quarterly Report on Form 10-Q filed on November 12, 2021).</w:t>
            </w:r>
          </w:p>
        </w:tc>
      </w:tr>
      <w:tr>
        <w:trPr>
          <w:trHeight w:val="182"/>
        </w:trPr>
        <w:tc>
          <w:tcPr>
            <w:tcW w:w="720" w:type="dxa"/>
            <w:vAlign w:val="bottom"/>
            <w:gridSpan w:val="4"/>
            <w:shd w:val="clear" w:color="auto" w:fill="CCEEFF"/>
          </w:tcPr>
          <w:p>
            <w:pPr>
              <w:spacing w:after="0" w:line="182"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Amended and Restated WM Technology, Inc. Non-Employee Director Compensation Policy</w:t>
            </w: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on October 6, 2023).</w:t>
            </w:r>
          </w:p>
        </w:tc>
      </w:tr>
      <w:tr>
        <w:trPr>
          <w:trHeight w:val="176"/>
        </w:trPr>
        <w:tc>
          <w:tcPr>
            <w:tcW w:w="720" w:type="dxa"/>
            <w:vAlign w:val="bottom"/>
            <w:gridSpan w:val="4"/>
          </w:tcPr>
          <w:p>
            <w:pPr>
              <w:spacing w:after="0" w:line="17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Separation and Release Agreement by and between Ghost Management Group, LLC and Duncan</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Grazier, dated August 2, 2024 (incorporated herein by reference to Exhibit 10.1# to the Quarterly Report</w:t>
            </w:r>
          </w:p>
        </w:tc>
      </w:tr>
      <w:tr>
        <w:trPr>
          <w:trHeight w:val="241"/>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on Form 10-Q filed on November 12, 2024).</w:t>
            </w:r>
          </w:p>
        </w:tc>
      </w:tr>
      <w:tr>
        <w:trPr>
          <w:trHeight w:val="182"/>
        </w:trPr>
        <w:tc>
          <w:tcPr>
            <w:tcW w:w="720" w:type="dxa"/>
            <w:vAlign w:val="bottom"/>
            <w:gridSpan w:val="4"/>
            <w:shd w:val="clear" w:color="auto" w:fill="CCEEFF"/>
          </w:tcPr>
          <w:p>
            <w:pPr>
              <w:spacing w:after="0" w:line="182"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Retention Agreement, effective October 2, 2023, by and between the Company and Duncan Grazier</w:t>
            </w: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176"/>
        </w:trPr>
        <w:tc>
          <w:tcPr>
            <w:tcW w:w="720" w:type="dxa"/>
            <w:vAlign w:val="bottom"/>
            <w:gridSpan w:val="4"/>
          </w:tcPr>
          <w:p>
            <w:pPr>
              <w:spacing w:after="0" w:line="176" w:lineRule="exact"/>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Employment Agreement, dated November 7, 2024, by and between Ghost Management Group, LLC a</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 WM Technology, Inc. and Douglas Francis (incorporated herein by reference to Exhibit</w:t>
            </w:r>
          </w:p>
        </w:tc>
      </w:tr>
      <w:tr>
        <w:trPr>
          <w:trHeight w:val="241"/>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10.3# to the Quarterly Report on Form 10-Q filed on November 12, 2024).</w:t>
            </w:r>
          </w:p>
        </w:tc>
      </w:tr>
      <w:tr>
        <w:trPr>
          <w:trHeight w:val="182"/>
        </w:trPr>
        <w:tc>
          <w:tcPr>
            <w:tcW w:w="720" w:type="dxa"/>
            <w:vAlign w:val="bottom"/>
            <w:gridSpan w:val="4"/>
            <w:shd w:val="clear" w:color="auto" w:fill="CCEEFF"/>
          </w:tcPr>
          <w:p>
            <w:pPr>
              <w:spacing w:after="0" w:line="182"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Employment Agreement, dated April 4, 2019, by and between the Company and Brian Camire</w:t>
            </w: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10.20 to the Annual Report on Form 10-K filed on May 24, 2024).</w:t>
            </w:r>
          </w:p>
        </w:tc>
      </w:tr>
      <w:tr>
        <w:trPr>
          <w:trHeight w:val="175"/>
        </w:trPr>
        <w:tc>
          <w:tcPr>
            <w:tcW w:w="720" w:type="dxa"/>
            <w:vAlign w:val="bottom"/>
            <w:gridSpan w:val="4"/>
          </w:tcPr>
          <w:p>
            <w:pPr>
              <w:spacing w:after="0" w:line="17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Executive Services Agreement, dated July 16, 2023, by and between SeatonHill Partners, L.P. and WM</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 (incorporated herein by reference to Exhibit 10.1 to the Current Report on Form 8-K</w:t>
            </w:r>
          </w:p>
        </w:tc>
      </w:tr>
      <w:tr>
        <w:trPr>
          <w:trHeight w:val="241"/>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filed by WM Technology, Inc. on July 20, 2023).</w:t>
            </w:r>
          </w:p>
        </w:tc>
      </w:tr>
      <w:tr>
        <w:trPr>
          <w:trHeight w:val="182"/>
        </w:trPr>
        <w:tc>
          <w:tcPr>
            <w:tcW w:w="720" w:type="dxa"/>
            <w:vAlign w:val="bottom"/>
            <w:gridSpan w:val="4"/>
            <w:shd w:val="clear" w:color="auto" w:fill="CCEEFF"/>
          </w:tcPr>
          <w:p>
            <w:pPr>
              <w:spacing w:after="0" w:line="182"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Separation and Release Agreement, by and between Randa McMinn and WM Technology, Inc, dated</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18, 2023 (incorporated herein by reference to Exhibit 10.5# to the Quarterly Report on Form 10-</w:t>
            </w:r>
          </w:p>
        </w:tc>
      </w:tr>
      <w:tr>
        <w:trPr>
          <w:trHeight w:val="248"/>
        </w:trPr>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 filed on November 8, 2023).</w:t>
            </w:r>
          </w:p>
        </w:tc>
      </w:tr>
      <w:tr>
        <w:trPr>
          <w:trHeight w:val="176"/>
        </w:trPr>
        <w:tc>
          <w:tcPr>
            <w:tcW w:w="720" w:type="dxa"/>
            <w:vAlign w:val="bottom"/>
            <w:gridSpan w:val="4"/>
          </w:tcPr>
          <w:p>
            <w:pPr>
              <w:spacing w:after="0" w:line="17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Amendment to Executive Services Agreement, by and between SeatonHill Partners, L.P. and WM</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 dated February 26, 2024 (incorporated by reference to Exhibit 10.23 to the Annual</w:t>
            </w:r>
          </w:p>
        </w:tc>
      </w:tr>
      <w:tr>
        <w:trPr>
          <w:trHeight w:val="241"/>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10-K filed on May 24, 2024).</w:t>
            </w:r>
          </w:p>
        </w:tc>
      </w:tr>
      <w:tr>
        <w:trPr>
          <w:trHeight w:val="182"/>
        </w:trPr>
        <w:tc>
          <w:tcPr>
            <w:tcW w:w="720" w:type="dxa"/>
            <w:vAlign w:val="bottom"/>
            <w:gridSpan w:val="4"/>
            <w:shd w:val="clear" w:color="auto" w:fill="CCEEFF"/>
          </w:tcPr>
          <w:p>
            <w:pPr>
              <w:spacing w:after="0" w:line="182" w:lineRule="exact"/>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Fifth Amendment to Lease, by and between Discovery Business Center LLC and Ghost Management</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 dated September 30, 2024 (incorporated herein by reference to Exhibit 10.2# to the</w:t>
            </w:r>
          </w:p>
        </w:tc>
      </w:tr>
      <w:tr>
        <w:trPr>
          <w:trHeight w:val="248"/>
        </w:trPr>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Report on Form 10-Q filed on November 12, 2024).</w:t>
            </w:r>
          </w:p>
        </w:tc>
      </w:tr>
      <w:tr>
        <w:trPr>
          <w:trHeight w:val="176"/>
        </w:trPr>
        <w:tc>
          <w:tcPr>
            <w:tcW w:w="400" w:type="dxa"/>
            <w:vAlign w:val="bottom"/>
            <w:gridSpan w:val="2"/>
          </w:tcPr>
          <w:p>
            <w:pPr>
              <w:spacing w:after="0" w:line="176" w:lineRule="exact"/>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10.7 to the Annual Report on</w:t>
            </w:r>
          </w:p>
        </w:tc>
      </w:tr>
      <w:tr>
        <w:trPr>
          <w:trHeight w:val="243"/>
        </w:trPr>
        <w:tc>
          <w:tcPr>
            <w:tcW w:w="30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182"/>
        </w:trPr>
        <w:tc>
          <w:tcPr>
            <w:tcW w:w="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Consent of Baker Tilly US, LLP</w:t>
            </w:r>
          </w:p>
        </w:tc>
      </w:tr>
      <w:tr>
        <w:trPr>
          <w:trHeight w:val="34"/>
        </w:trPr>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0" w:type="dxa"/>
            <w:vAlign w:val="bottom"/>
            <w:tcBorders>
              <w:top w:val="single" w:sz="8" w:color="CCEEFF"/>
            </w:tcBorders>
            <w:shd w:val="clear" w:color="auto" w:fill="CCEEFF"/>
          </w:tcPr>
          <w:p>
            <w:pPr>
              <w:spacing w:after="0"/>
              <w:rPr>
                <w:sz w:val="2"/>
                <w:szCs w:val="2"/>
                <w:color w:val="auto"/>
              </w:rPr>
            </w:pPr>
          </w:p>
        </w:tc>
      </w:tr>
      <w:tr>
        <w:trPr>
          <w:trHeight w:val="175"/>
        </w:trPr>
        <w:tc>
          <w:tcPr>
            <w:tcW w:w="4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Moss Adams, LLP</w:t>
            </w:r>
          </w:p>
        </w:tc>
      </w:tr>
      <w:tr>
        <w:trPr>
          <w:trHeight w:val="34"/>
        </w:trPr>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10"/>
        </w:trPr>
        <w:tc>
          <w:tcPr>
            <w:tcW w:w="4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3"/>
              </w:rPr>
            </w:pPr>
            <w:hyperlink r:id="rId392">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3*</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175"/>
        </w:trPr>
        <w:tc>
          <w:tcPr>
            <w:tcW w:w="480" w:type="dxa"/>
            <w:vAlign w:val="bottom"/>
            <w:gridSpan w:val="3"/>
          </w:tcPr>
          <w:p>
            <w:pPr>
              <w:spacing w:after="0" w:line="176" w:lineRule="exact"/>
              <w:rPr>
                <w:rFonts w:ascii="Times New Roman" w:cs="Times New Roman" w:eastAsia="Times New Roman" w:hAnsi="Times New Roman"/>
                <w:sz w:val="18"/>
                <w:szCs w:val="18"/>
                <w:color w:val="0000EE"/>
              </w:rPr>
            </w:pPr>
            <w:hyperlink r:id="rId420">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signature page of Registration Statement on Form S-1 filed on July 8,</w:t>
            </w:r>
          </w:p>
        </w:tc>
      </w:tr>
      <w:tr>
        <w:trPr>
          <w:trHeight w:val="243"/>
        </w:trPr>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182"/>
        </w:trPr>
        <w:tc>
          <w:tcPr>
            <w:tcW w:w="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34"/>
        </w:trPr>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0" w:type="dxa"/>
            <w:vAlign w:val="bottom"/>
            <w:tcBorders>
              <w:top w:val="single" w:sz="8" w:color="CCEEFF"/>
            </w:tcBorders>
            <w:shd w:val="clear" w:color="auto" w:fill="CCEEFF"/>
          </w:tcPr>
          <w:p>
            <w:pPr>
              <w:spacing w:after="0"/>
              <w:rPr>
                <w:sz w:val="2"/>
                <w:szCs w:val="2"/>
                <w:color w:val="auto"/>
              </w:rPr>
            </w:pPr>
          </w:p>
        </w:tc>
      </w:tr>
      <w:tr>
        <w:trPr>
          <w:trHeight w:val="198"/>
        </w:trPr>
        <w:tc>
          <w:tcPr>
            <w:tcW w:w="7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7"/>
                <w:szCs w:val="17"/>
                <w:color w:val="auto"/>
              </w:rPr>
            </w:pPr>
          </w:p>
        </w:tc>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41"/>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36"/>
        </w:trPr>
        <w:tc>
          <w:tcPr>
            <w:tcW w:w="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shd w:val="clear" w:color="auto" w:fill="CCEEFF"/>
          </w:tcPr>
          <w:p>
            <w:pPr>
              <w:spacing w:after="0"/>
              <w:rPr>
                <w:sz w:val="20"/>
                <w:szCs w:val="20"/>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shd w:val="clear" w:color="auto" w:fill="CCEEFF"/>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3086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ind w:left="1120" w:right="539" w:hanging="828"/>
        <w:spacing w:after="0" w:line="258" w:lineRule="auto"/>
        <w:tabs>
          <w:tab w:leader="none" w:pos="1120" w:val="left"/>
        </w:tabs>
        <w:numPr>
          <w:ilvl w:val="0"/>
          <w:numId w:val="15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 (incorporated by reference to the Registration Statement on Form S-1 filed on July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170815</wp:posOffset>
            </wp:positionV>
            <wp:extent cx="8229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4" w:lineRule="exact"/>
        <w:rPr>
          <w:sz w:val="20"/>
          <w:szCs w:val="20"/>
          <w:color w:val="auto"/>
        </w:rPr>
      </w:pPr>
    </w:p>
    <w:p>
      <w:pPr>
        <w:ind w:left="640" w:right="319" w:hanging="348"/>
        <w:spacing w:after="0" w:line="261" w:lineRule="auto"/>
        <w:tabs>
          <w:tab w:leader="none" w:pos="6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a copy of all omitted exhibits and schedules to the SEC upon request.</w:t>
      </w:r>
    </w:p>
    <w:p>
      <w:pPr>
        <w:spacing w:after="0" w:line="1" w:lineRule="exact"/>
        <w:rPr>
          <w:sz w:val="20"/>
          <w:szCs w:val="20"/>
          <w:color w:val="auto"/>
        </w:rPr>
      </w:pPr>
    </w:p>
    <w:p>
      <w:pPr>
        <w:ind w:left="300" w:right="3939" w:hanging="8"/>
        <w:spacing w:after="0" w:line="342" w:lineRule="auto"/>
        <w:tabs>
          <w:tab w:leader="none" w:pos="651"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jc w:val="both"/>
        <w:ind w:left="660" w:right="299"/>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jc w:val="both"/>
        <w:ind w:left="1360" w:right="319" w:hanging="348"/>
        <w:spacing w:after="0" w:line="261" w:lineRule="auto"/>
        <w:tabs>
          <w:tab w:leader="none" w:pos="1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55" w:lineRule="auto"/>
        <w:tabs>
          <w:tab w:leader="none" w:pos="13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6 to Registration Statement to be signed on its behalf by the undersigned, thereunto duly authorized in the City of Irvine, State of California on December 4, 2024.</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-127635</wp:posOffset>
            </wp:positionV>
            <wp:extent cx="20574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6 on Form S-1 has been signed by the following persons in the capacities and on the dates indicated.</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2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178"/>
        </w:trPr>
        <w:tc>
          <w:tcPr>
            <w:tcW w:w="2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Susan Echard</w:t>
            </w:r>
          </w:p>
        </w:tc>
        <w:tc>
          <w:tcPr>
            <w:tcW w:w="220" w:type="dxa"/>
            <w:vAlign w:val="bottom"/>
          </w:tcPr>
          <w:p>
            <w:pPr>
              <w:spacing w:after="0"/>
              <w:rPr>
                <w:sz w:val="15"/>
                <w:szCs w:val="15"/>
                <w:color w:val="auto"/>
              </w:rPr>
            </w:pPr>
          </w:p>
        </w:tc>
        <w:tc>
          <w:tcPr>
            <w:tcW w:w="34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34"/>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Glen Ibbott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25" w:lineRule="exact"/>
        <w:rPr>
          <w:sz w:val="20"/>
          <w:szCs w:val="20"/>
          <w:color w:val="auto"/>
        </w:rPr>
      </w:pPr>
    </w:p>
    <w:p>
      <w:pPr>
        <w:ind w:left="300"/>
        <w:spacing w:after="0"/>
        <w:tabs>
          <w:tab w:leader="none" w:pos="820" w:val="left"/>
        </w:tabs>
        <w:rPr>
          <w:sz w:val="20"/>
          <w:szCs w:val="20"/>
          <w:color w:val="auto"/>
        </w:rPr>
      </w:pPr>
      <w:r>
        <w:rPr>
          <w:rFonts w:ascii="Times New Roman" w:cs="Times New Roman" w:eastAsia="Times New Roman" w:hAnsi="Times New Roman"/>
          <w:sz w:val="18"/>
          <w:szCs w:val="18"/>
          <w:color w:val="auto"/>
        </w:rPr>
        <w:t>*By:</w:t>
        <w:tab/>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26035</wp:posOffset>
            </wp:positionV>
            <wp:extent cx="203136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Post-Effective Amendment No. 6 to the Registration Statement (No. 333-257774) on Form S-1 of WM Technology, Inc. of our report dated March 16, 2023, relating to the consolidated financial statements,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use in this Post-Effective Amendment No. 6 to Registration Statement on Form S-1 (No. 333-257774) of WM Technology, Inc. (the “Company”) of our report dated May 24, 2024, relating to the consolidated financial statements of the Company as of and for the year ended December 31, 2023 (which report expresses an unqualified opinion and includes an explanatory paragraph relating a restatement of previously reported 2023 quarterly revenue and credit losses).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41"/>
    </w:lvl>
  </w:abstractNum>
  <w:abstractNum w:abstractNumId="1">
    <w:nsid w:val="3B0FD379"/>
    <w:multiLevelType w:val="hybridMultilevel"/>
    <w:lvl w:ilvl="0">
      <w:lvlJc w:val="left"/>
      <w:lvlText w:val="%1"/>
      <w:numFmt w:val="decimal"/>
      <w:start w:val="41"/>
    </w:lvl>
  </w:abstractNum>
  <w:abstractNum w:abstractNumId="2">
    <w:nsid w:val="68EB2F63"/>
    <w:multiLevelType w:val="hybridMultilevel"/>
    <w:lvl w:ilvl="0">
      <w:lvlJc w:val="left"/>
      <w:lvlText w:val="(%1)"/>
      <w:numFmt w:val="lowerLetter"/>
      <w:start w:val="61"/>
    </w:lvl>
  </w:abstractNum>
  <w:abstractNum w:abstractNumId="3">
    <w:nsid w:val="4962813B"/>
    <w:multiLevelType w:val="hybridMultilevel"/>
    <w:lvl w:ilvl="0">
      <w:lvlJc w:val="left"/>
      <w:lvlText w:val="(%1)"/>
      <w:numFmt w:val="lowerLetter"/>
      <w:start w:val="2"/>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1)"/>
      <w:numFmt w:val="lowerRoman"/>
      <w:start w:val="2"/>
    </w:lvl>
  </w:abstractNum>
  <w:abstractNum w:abstractNumId="10">
    <w:nsid w:val="100F59DC"/>
    <w:multiLevelType w:val="hybridMultilevel"/>
    <w:lvl w:ilvl="0">
      <w:lvlJc w:val="left"/>
      <w:lvlText w:val="(%1)"/>
      <w:numFmt w:val="lowerRoman"/>
      <w:start w:val="2"/>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1"/>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1)"/>
      <w:numFmt w:val="decimal"/>
      <w:start w:val="1"/>
    </w:lvl>
  </w:abstractNum>
  <w:abstractNum w:abstractNumId="31">
    <w:nsid w:val="26F324BA"/>
    <w:multiLevelType w:val="hybridMultilevel"/>
    <w:lvl w:ilvl="0">
      <w:lvlJc w:val="left"/>
      <w:lvlText w:val="(%1)"/>
      <w:numFmt w:val="decimal"/>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1."/>
      <w:numFmt w:val="decimal"/>
      <w:start w:val="1"/>
    </w:lvl>
  </w:abstractNum>
  <w:abstractNum w:abstractNumId="34">
    <w:nsid w:val="7055A5F5"/>
    <w:multiLevelType w:val="hybridMultilevel"/>
    <w:lvl w:ilvl="0">
      <w:lvlJc w:val="left"/>
      <w:lvlText w:val="%1."/>
      <w:numFmt w:val="decimal"/>
      <w:start w:val="1"/>
    </w:lvl>
  </w:abstractNum>
  <w:abstractNum w:abstractNumId="35">
    <w:nsid w:val="5FB8370B"/>
    <w:multiLevelType w:val="hybridMultilevel"/>
    <w:lvl w:ilvl="0">
      <w:lvlJc w:val="left"/>
      <w:lvlText w:val="%1."/>
      <w:numFmt w:val="decimal"/>
      <w:start w:val="1"/>
    </w:lvl>
  </w:abstractNum>
  <w:abstractNum w:abstractNumId="36">
    <w:nsid w:val="50801EE1"/>
    <w:multiLevelType w:val="hybridMultilevel"/>
    <w:lvl w:ilvl="0">
      <w:lvlJc w:val="left"/>
      <w:lvlText w:val="%1."/>
      <w:numFmt w:val="decimal"/>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1."/>
      <w:numFmt w:val="decimal"/>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2"/>
      <w:numFmt w:val="bullet"/>
      <w:start w:val="1"/>
    </w:lvl>
  </w:abstractNum>
  <w:abstractNum w:abstractNumId="41">
    <w:nsid w:val="6FC75AF8"/>
    <w:multiLevelType w:val="hybridMultilevel"/>
    <w:lvl w:ilvl="0">
      <w:lvlJc w:val="left"/>
      <w:lvlText w:val="3"/>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lvl w:ilvl="1">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4"/>
      <w:numFmt w:val="bullet"/>
      <w:start w:val="1"/>
    </w:lvl>
  </w:abstractNum>
  <w:abstractNum w:abstractNumId="48">
    <w:nsid w:val="3FA62ACA"/>
    <w:multiLevelType w:val="hybridMultilevel"/>
    <w:lvl w:ilvl="0">
      <w:lvlJc w:val="left"/>
      <w:lvlText w:val="5"/>
      <w:numFmt w:val="bullet"/>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
      <w:numFmt w:val="bullet"/>
      <w:start w:val="1"/>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
      <w:numFmt w:val="bullet"/>
      <w:start w:val="1"/>
    </w:lvl>
  </w:abstractNum>
  <w:abstractNum w:abstractNumId="58">
    <w:nsid w:val="288F1A34"/>
    <w:multiLevelType w:val="hybridMultilevel"/>
    <w:lvl w:ilvl="0">
      <w:lvlJc w:val="left"/>
      <w:lvlText w:val="•"/>
      <w:numFmt w:val="bullet"/>
      <w:start w:val="1"/>
    </w:lvl>
  </w:abstractNum>
  <w:abstractNum w:abstractNumId="59">
    <w:nsid w:val="2A155DBC"/>
    <w:multiLevelType w:val="hybridMultilevel"/>
    <w:lvl w:ilvl="0">
      <w:lvlJc w:val="left"/>
      <w:lvlText w:val="•"/>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1)"/>
      <w:numFmt w:val="decimal"/>
    </w:lvl>
    <w:lvl w:ilvl="1">
      <w:lvlJc w:val="left"/>
      <w:lvlText w:val="•"/>
      <w:numFmt w:val="bullet"/>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
      <w:numFmt w:val="bullet"/>
      <w:start w:val="1"/>
    </w:lvl>
  </w:abstractNum>
  <w:abstractNum w:abstractNumId="64">
    <w:nsid w:val="53584BCB"/>
    <w:multiLevelType w:val="hybridMultilevel"/>
    <w:lvl w:ilvl="0">
      <w:lvlJc w:val="left"/>
      <w:lvlText w:val="•"/>
      <w:numFmt w:val="bullet"/>
      <w:start w:val="1"/>
    </w:lvl>
  </w:abstractNum>
  <w:abstractNum w:abstractNumId="65">
    <w:nsid w:val="415E286C"/>
    <w:multiLevelType w:val="hybridMultilevel"/>
    <w:lvl w:ilvl="0">
      <w:lvlJc w:val="left"/>
      <w:lvlText w:val="•"/>
      <w:numFmt w:val="bullet"/>
      <w:start w:val="1"/>
    </w:lvl>
  </w:abstractNum>
  <w:abstractNum w:abstractNumId="66">
    <w:nsid w:val="7C58FD05"/>
    <w:multiLevelType w:val="hybridMultilevel"/>
    <w:lvl w:ilvl="0">
      <w:lvlJc w:val="left"/>
      <w:lvlText w:val="•"/>
      <w:numFmt w:val="bullet"/>
      <w:start w:val="1"/>
    </w:lvl>
  </w:abstractNum>
  <w:abstractNum w:abstractNumId="67">
    <w:nsid w:val="23D86AAC"/>
    <w:multiLevelType w:val="hybridMultilevel"/>
    <w:lvl w:ilvl="0">
      <w:lvlJc w:val="left"/>
      <w:lvlText w:val="(%1)"/>
      <w:numFmt w:val="decimal"/>
      <w:start w:val="1"/>
    </w:lvl>
  </w:abstractNum>
  <w:abstractNum w:abstractNumId="68">
    <w:nsid w:val="45E6D486"/>
    <w:multiLevelType w:val="hybridMultilevel"/>
    <w:lvl w:ilvl="0">
      <w:lvlJc w:val="left"/>
      <w:lvlText w:val="(%1)"/>
      <w:numFmt w:val="decimal"/>
      <w:start w:val="1"/>
    </w:lvl>
  </w:abstractNum>
  <w:abstractNum w:abstractNumId="69">
    <w:nsid w:val="5C10FE21"/>
    <w:multiLevelType w:val="hybridMultilevel"/>
    <w:lvl w:ilvl="0">
      <w:lvlJc w:val="left"/>
      <w:lvlText w:val="(%1)"/>
      <w:numFmt w:val="decimal"/>
      <w:start w:val="1"/>
    </w:lvl>
  </w:abstractNum>
  <w:abstractNum w:abstractNumId="70">
    <w:nsid w:val="E7FFA2B"/>
    <w:multiLevelType w:val="hybridMultilevel"/>
    <w:lvl w:ilvl="0">
      <w:lvlJc w:val="left"/>
      <w:lvlText w:val="(%1)"/>
      <w:numFmt w:val="decimal"/>
    </w:lvl>
    <w:lvl w:ilvl="1">
      <w:lvlJc w:val="left"/>
      <w:lvlText w:val="•"/>
      <w:numFmt w:val="bullet"/>
      <w:start w:val="1"/>
    </w:lvl>
  </w:abstractNum>
  <w:abstractNum w:abstractNumId="71">
    <w:nsid w:val="3C5991AA"/>
    <w:multiLevelType w:val="hybridMultilevel"/>
    <w:lvl w:ilvl="0">
      <w:lvlJc w:val="left"/>
      <w:lvlText w:val="%1."/>
      <w:numFmt w:val="decimal"/>
      <w:start w:val="1"/>
    </w:lvl>
    <w:lvl w:ilvl="1">
      <w:lvlJc w:val="left"/>
      <w:lvlText w:val="(%2)"/>
      <w:numFmt w:val="lowerRoman"/>
      <w:start w:val="2"/>
    </w:lvl>
  </w:abstractNum>
  <w:abstractNum w:abstractNumId="72">
    <w:nsid w:val="4BD8591A"/>
    <w:multiLevelType w:val="hybridMultilevel"/>
    <w:lvl w:ilvl="0">
      <w:lvlJc w:val="left"/>
      <w:lvlText w:val="%1."/>
      <w:numFmt w:val="decimal"/>
      <w:start w:val="1"/>
    </w:lvl>
  </w:abstractNum>
  <w:abstractNum w:abstractNumId="73">
    <w:nsid w:val="78DF6A55"/>
    <w:multiLevelType w:val="hybridMultilevel"/>
    <w:lvl w:ilvl="0">
      <w:lvlJc w:val="left"/>
      <w:lvlText w:val="(%1)"/>
      <w:numFmt w:val="lowerRoman"/>
      <w:start w:val="1"/>
    </w:lvl>
  </w:abstractNum>
  <w:abstractNum w:abstractNumId="74">
    <w:nsid w:val="39B7AAA2"/>
    <w:multiLevelType w:val="hybridMultilevel"/>
    <w:lvl w:ilvl="0">
      <w:lvlJc w:val="left"/>
      <w:lvlText w:val="(%1)"/>
      <w:numFmt w:val="lowerRoman"/>
      <w:start w:val="4"/>
    </w:lvl>
  </w:abstractNum>
  <w:abstractNum w:abstractNumId="75">
    <w:nsid w:val="2B0D8DBE"/>
    <w:multiLevelType w:val="hybridMultilevel"/>
    <w:lvl w:ilvl="0">
      <w:lvlJc w:val="left"/>
      <w:lvlText w:val="%1."/>
      <w:numFmt w:val="decimal"/>
      <w:start w:val="1"/>
    </w:lvl>
  </w:abstractNum>
  <w:abstractNum w:abstractNumId="76">
    <w:nsid w:val="6C80EC70"/>
    <w:multiLevelType w:val="hybridMultilevel"/>
    <w:lvl w:ilvl="0">
      <w:lvlJc w:val="left"/>
      <w:lvlText w:val="%1."/>
      <w:numFmt w:val="decimal"/>
      <w:start w:val="1"/>
    </w:lvl>
  </w:abstractNum>
  <w:abstractNum w:abstractNumId="77">
    <w:nsid w:val="379E21B5"/>
    <w:multiLevelType w:val="hybridMultilevel"/>
    <w:lvl w:ilvl="0">
      <w:lvlJc w:val="left"/>
      <w:lvlText w:val="%1."/>
      <w:numFmt w:val="decimal"/>
      <w:start w:val="4"/>
    </w:lvl>
  </w:abstractNum>
  <w:abstractNum w:abstractNumId="78">
    <w:nsid w:val="69E373"/>
    <w:multiLevelType w:val="hybridMultilevel"/>
    <w:lvl w:ilvl="0">
      <w:lvlJc w:val="left"/>
      <w:lvlText w:val="%1."/>
      <w:numFmt w:val="decimal"/>
      <w:start w:val="1"/>
    </w:lvl>
  </w:abstractNum>
  <w:abstractNum w:abstractNumId="79">
    <w:nsid w:val="2C27173B"/>
    <w:multiLevelType w:val="hybridMultilevel"/>
    <w:lvl w:ilvl="0">
      <w:lvlJc w:val="left"/>
      <w:lvlText w:val="%1."/>
      <w:numFmt w:val="decimal"/>
      <w:start w:val="1"/>
    </w:lvl>
  </w:abstractNum>
  <w:abstractNum w:abstractNumId="80">
    <w:nsid w:val="4C9B0904"/>
    <w:multiLevelType w:val="hybridMultilevel"/>
    <w:lvl w:ilvl="0">
      <w:lvlJc w:val="left"/>
      <w:lvlText w:val="(%1)"/>
      <w:numFmt w:val="lowerRoman"/>
      <w:start w:val="1"/>
    </w:lvl>
  </w:abstractNum>
  <w:abstractNum w:abstractNumId="81">
    <w:nsid w:val="6AA7B75C"/>
    <w:multiLevelType w:val="hybridMultilevel"/>
    <w:lvl w:ilvl="0">
      <w:lvlJc w:val="left"/>
      <w:lvlText w:val="•"/>
      <w:numFmt w:val="bullet"/>
      <w:start w:val="1"/>
    </w:lvl>
  </w:abstractNum>
  <w:abstractNum w:abstractNumId="82">
    <w:nsid w:val="1DF029D3"/>
    <w:multiLevelType w:val="hybridMultilevel"/>
    <w:lvl w:ilvl="0">
      <w:lvlJc w:val="left"/>
      <w:lvlText w:val="•"/>
      <w:numFmt w:val="bullet"/>
      <w:start w:val="1"/>
    </w:lvl>
  </w:abstractNum>
  <w:abstractNum w:abstractNumId="83">
    <w:nsid w:val="5675FF36"/>
    <w:multiLevelType w:val="hybridMultilevel"/>
    <w:lvl w:ilvl="0">
      <w:lvlJc w:val="left"/>
      <w:lvlText w:val="*"/>
      <w:numFmt w:val="bullet"/>
      <w:start w:val="1"/>
    </w:lvl>
  </w:abstractNum>
  <w:abstractNum w:abstractNumId="84">
    <w:nsid w:val="3DD15094"/>
    <w:multiLevelType w:val="hybridMultilevel"/>
    <w:lvl w:ilvl="0">
      <w:lvlJc w:val="left"/>
      <w:lvlText w:val="(%1)"/>
      <w:numFmt w:val="decimal"/>
      <w:start w:val="1"/>
    </w:lvl>
  </w:abstractNum>
  <w:abstractNum w:abstractNumId="85">
    <w:nsid w:val="3DB012B3"/>
    <w:multiLevelType w:val="hybridMultilevel"/>
    <w:lvl w:ilvl="0">
      <w:lvlJc w:val="left"/>
      <w:lvlText w:val="(%1)"/>
      <w:numFmt w:val="decimal"/>
      <w:start w:val="2"/>
    </w:lvl>
  </w:abstractNum>
  <w:abstractNum w:abstractNumId="86">
    <w:nsid w:val="2708C9AF"/>
    <w:multiLevelType w:val="hybridMultilevel"/>
    <w:lvl w:ilvl="0">
      <w:lvlJc w:val="left"/>
      <w:lvlText w:val="(%1)"/>
      <w:numFmt w:val="decimal"/>
      <w:start w:val="1"/>
    </w:lvl>
  </w:abstractNum>
  <w:abstractNum w:abstractNumId="87">
    <w:nsid w:val="5B25ACE2"/>
    <w:multiLevelType w:val="hybridMultilevel"/>
    <w:lvl w:ilvl="0">
      <w:lvlJc w:val="left"/>
      <w:lvlText w:val="(%1)"/>
      <w:numFmt w:val="decimal"/>
      <w:start w:val="9"/>
    </w:lvl>
  </w:abstractNum>
  <w:abstractNum w:abstractNumId="88">
    <w:nsid w:val="175DFCF0"/>
    <w:multiLevelType w:val="hybridMultilevel"/>
    <w:lvl w:ilvl="0">
      <w:lvlJc w:val="left"/>
      <w:lvlText w:val="(%1)"/>
      <w:numFmt w:val="decimal"/>
      <w:start w:val="27"/>
    </w:lvl>
  </w:abstractNum>
  <w:abstractNum w:abstractNumId="89">
    <w:nsid w:val="4F97E3E4"/>
    <w:multiLevelType w:val="hybridMultilevel"/>
    <w:lvl w:ilvl="0">
      <w:lvlJc w:val="left"/>
      <w:lvlText w:val="(%1)"/>
      <w:numFmt w:val="decimal"/>
      <w:start w:val="49"/>
    </w:lvl>
  </w:abstractNum>
  <w:abstractNum w:abstractNumId="90">
    <w:nsid w:val="53B0A9E"/>
    <w:multiLevelType w:val="hybridMultilevel"/>
    <w:lvl w:ilvl="0">
      <w:lvlJc w:val="left"/>
      <w:lvlText w:val="(%1)"/>
      <w:numFmt w:val="lowerRoman"/>
      <w:start w:val="10"/>
    </w:lvl>
  </w:abstractNum>
  <w:abstractNum w:abstractNumId="91">
    <w:nsid w:val="34FD6B4F"/>
    <w:multiLevelType w:val="hybridMultilevel"/>
    <w:lvl w:ilvl="0">
      <w:lvlJc w:val="left"/>
      <w:lvlText w:val="•"/>
      <w:numFmt w:val="bullet"/>
      <w:start w:val="1"/>
    </w:lvl>
  </w:abstractNum>
  <w:abstractNum w:abstractNumId="92">
    <w:nsid w:val="5915FF32"/>
    <w:multiLevelType w:val="hybridMultilevel"/>
    <w:lvl w:ilvl="0">
      <w:lvlJc w:val="left"/>
      <w:lvlText w:val="(%1)"/>
      <w:numFmt w:val="decimal"/>
      <w:start w:val="1"/>
    </w:lvl>
  </w:abstractNum>
  <w:abstractNum w:abstractNumId="93">
    <w:nsid w:val="56438D15"/>
    <w:multiLevelType w:val="hybridMultilevel"/>
    <w:lvl w:ilvl="0">
      <w:lvlJc w:val="left"/>
      <w:lvlText w:val="•"/>
      <w:numFmt w:val="bullet"/>
      <w:start w:val="1"/>
    </w:lvl>
  </w:abstractNum>
  <w:abstractNum w:abstractNumId="94">
    <w:nsid w:val="519E3149"/>
    <w:multiLevelType w:val="hybridMultilevel"/>
    <w:lvl w:ilvl="0">
      <w:lvlJc w:val="left"/>
      <w:lvlText w:val="•"/>
      <w:numFmt w:val="bullet"/>
      <w:start w:val="1"/>
    </w:lvl>
  </w:abstractNum>
  <w:abstractNum w:abstractNumId="95">
    <w:nsid w:val="2C6E4AFD"/>
    <w:multiLevelType w:val="hybridMultilevel"/>
    <w:lvl w:ilvl="0">
      <w:lvlJc w:val="left"/>
      <w:lvlText w:val="•"/>
      <w:numFmt w:val="bullet"/>
      <w:start w:val="1"/>
    </w:lvl>
  </w:abstractNum>
  <w:abstractNum w:abstractNumId="96">
    <w:nsid w:val="17A1B582"/>
    <w:multiLevelType w:val="hybridMultilevel"/>
    <w:lvl w:ilvl="0">
      <w:lvlJc w:val="left"/>
      <w:lvlText w:val="•"/>
      <w:numFmt w:val="bullet"/>
      <w:start w:val="1"/>
    </w:lvl>
  </w:abstractNum>
  <w:abstractNum w:abstractNumId="97">
    <w:nsid w:val="4DF72E4E"/>
    <w:multiLevelType w:val="hybridMultilevel"/>
    <w:lvl w:ilvl="0">
      <w:lvlJc w:val="left"/>
      <w:lvlText w:val="•"/>
      <w:numFmt w:val="bullet"/>
      <w:start w:val="1"/>
    </w:lvl>
  </w:abstractNum>
  <w:abstractNum w:abstractNumId="98">
    <w:nsid w:val="5046B5A9"/>
    <w:multiLevelType w:val="hybridMultilevel"/>
    <w:lvl w:ilvl="0">
      <w:lvlJc w:val="left"/>
      <w:lvlText w:val="•"/>
      <w:numFmt w:val="bullet"/>
      <w:start w:val="1"/>
    </w:lvl>
  </w:abstractNum>
  <w:abstractNum w:abstractNumId="99">
    <w:nsid w:val="5D888A08"/>
    <w:multiLevelType w:val="hybridMultilevel"/>
    <w:lvl w:ilvl="0">
      <w:lvlJc w:val="left"/>
      <w:lvlText w:val="(%1)"/>
      <w:numFmt w:val="decimal"/>
      <w:start w:val="2"/>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
      <w:numFmt w:val="bullet"/>
      <w:start w:val="1"/>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1."/>
      <w:numFmt w:val="decimal"/>
      <w:start w:val="1"/>
    </w:lvl>
  </w:abstractNum>
  <w:abstractNum w:abstractNumId="104">
    <w:nsid w:val="57A61A29"/>
    <w:multiLevelType w:val="hybridMultilevel"/>
    <w:lvl w:ilvl="0">
      <w:lvlJc w:val="left"/>
      <w:lvlText w:val="-"/>
      <w:numFmt w:val="bullet"/>
      <w:start w:val="1"/>
    </w:lvl>
  </w:abstractNum>
  <w:abstractNum w:abstractNumId="105">
    <w:nsid w:val="5399C654"/>
    <w:multiLevelType w:val="hybridMultilevel"/>
    <w:lvl w:ilvl="0">
      <w:lvlJc w:val="left"/>
      <w:lvlText w:val="%1."/>
      <w:numFmt w:val="decimal"/>
      <w:start w:val="1"/>
    </w:lvl>
  </w:abstractNum>
  <w:abstractNum w:abstractNumId="106">
    <w:nsid w:val="20EE1348"/>
    <w:multiLevelType w:val="hybridMultilevel"/>
    <w:lvl w:ilvl="0">
      <w:lvlJc w:val="left"/>
      <w:lvlText w:val="%1."/>
      <w:numFmt w:val="decimal"/>
      <w:start w:val="1"/>
    </w:lvl>
  </w:abstractNum>
  <w:abstractNum w:abstractNumId="107">
    <w:nsid w:val="4427069A"/>
    <w:multiLevelType w:val="hybridMultilevel"/>
    <w:lvl w:ilvl="0">
      <w:lvlJc w:val="left"/>
      <w:lvlText w:val="%1."/>
      <w:numFmt w:val="decimal"/>
      <w:start w:val="2"/>
    </w:lvl>
  </w:abstractNum>
  <w:abstractNum w:abstractNumId="108">
    <w:nsid w:val="B37E80A"/>
    <w:multiLevelType w:val="hybridMultilevel"/>
    <w:lvl w:ilvl="0">
      <w:lvlJc w:val="left"/>
      <w:lvlText w:val="1"/>
      <w:numFmt w:val="bullet"/>
      <w:start w:val="1"/>
    </w:lvl>
  </w:abstractNum>
  <w:abstractNum w:abstractNumId="109">
    <w:nsid w:val="2157F6BC"/>
    <w:multiLevelType w:val="hybridMultilevel"/>
    <w:lvl w:ilvl="0">
      <w:lvlJc w:val="left"/>
      <w:lvlText w:val="%1."/>
      <w:numFmt w:val="decimal"/>
      <w:start w:val="3"/>
    </w:lvl>
  </w:abstractNum>
  <w:abstractNum w:abstractNumId="110">
    <w:nsid w:val="704E1DD5"/>
    <w:multiLevelType w:val="hybridMultilevel"/>
    <w:lvl w:ilvl="0">
      <w:lvlJc w:val="left"/>
      <w:lvlText w:val="•"/>
      <w:numFmt w:val="bullet"/>
      <w:start w:val="1"/>
    </w:lvl>
  </w:abstractNum>
  <w:abstractNum w:abstractNumId="111">
    <w:nsid w:val="57D2F10E"/>
    <w:multiLevelType w:val="hybridMultilevel"/>
    <w:lvl w:ilvl="0">
      <w:lvlJc w:val="left"/>
      <w:lvlText w:val="•"/>
      <w:numFmt w:val="bullet"/>
      <w:start w:val="1"/>
    </w:lvl>
  </w:abstractNum>
  <w:abstractNum w:abstractNumId="112">
    <w:nsid w:val="BFFAE18"/>
    <w:multiLevelType w:val="hybridMultilevel"/>
    <w:lvl w:ilvl="0">
      <w:lvlJc w:val="left"/>
      <w:lvlText w:val="•"/>
      <w:numFmt w:val="bullet"/>
      <w:start w:val="1"/>
    </w:lvl>
    <w:lvl w:ilvl="1">
      <w:lvlJc w:val="left"/>
      <w:lvlText w:val="○"/>
      <w:numFmt w:val="bullet"/>
      <w:start w:val="1"/>
    </w:lvl>
  </w:abstractNum>
  <w:abstractNum w:abstractNumId="113">
    <w:nsid w:val="E3E47A8"/>
    <w:multiLevelType w:val="hybridMultilevel"/>
    <w:lvl w:ilvl="0">
      <w:lvlJc w:val="left"/>
      <w:lvlText w:val="1"/>
      <w:numFmt w:val="bullet"/>
      <w:start w:val="1"/>
    </w:lvl>
  </w:abstractNum>
  <w:abstractNum w:abstractNumId="114">
    <w:nsid w:val="2E48F044"/>
    <w:multiLevelType w:val="hybridMultilevel"/>
    <w:lvl w:ilvl="0">
      <w:lvlJc w:val="left"/>
      <w:lvlText w:val="2"/>
      <w:numFmt w:val="bullet"/>
      <w:start w:val="1"/>
    </w:lvl>
  </w:abstractNum>
  <w:abstractNum w:abstractNumId="115">
    <w:nsid w:val="49D0FEAC"/>
    <w:multiLevelType w:val="hybridMultilevel"/>
    <w:lvl w:ilvl="0">
      <w:lvlJc w:val="left"/>
      <w:lvlText w:val="%1."/>
      <w:numFmt w:val="decimal"/>
      <w:start w:val="4"/>
    </w:lvl>
  </w:abstractNum>
  <w:abstractNum w:abstractNumId="116">
    <w:nsid w:val="4BEE5A5B"/>
    <w:multiLevelType w:val="hybridMultilevel"/>
    <w:lvl w:ilvl="0">
      <w:lvlJc w:val="left"/>
      <w:lvlText w:val="%1."/>
      <w:numFmt w:val="decimal"/>
      <w:start w:val="5"/>
    </w:lvl>
  </w:abstractNum>
  <w:abstractNum w:abstractNumId="117">
    <w:nsid w:val="5551B9F3"/>
    <w:multiLevelType w:val="hybridMultilevel"/>
    <w:lvl w:ilvl="0">
      <w:lvlJc w:val="left"/>
      <w:lvlText w:val="•"/>
      <w:numFmt w:val="bullet"/>
      <w:start w:val="1"/>
    </w:lvl>
  </w:abstractNum>
  <w:abstractNum w:abstractNumId="118">
    <w:nsid w:val="24F6AB8E"/>
    <w:multiLevelType w:val="hybridMultilevel"/>
    <w:lvl w:ilvl="0">
      <w:lvlJc w:val="left"/>
      <w:lvlText w:val="%1."/>
      <w:numFmt w:val="decimal"/>
      <w:start w:val="6"/>
    </w:lvl>
  </w:abstractNum>
  <w:abstractNum w:abstractNumId="119">
    <w:nsid w:val="634C574C"/>
    <w:multiLevelType w:val="hybridMultilevel"/>
    <w:lvl w:ilvl="0">
      <w:lvlJc w:val="left"/>
      <w:lvlText w:val="%1."/>
      <w:numFmt w:val="decimal"/>
      <w:start w:val="7"/>
    </w:lvl>
  </w:abstractNum>
  <w:abstractNum w:abstractNumId="120">
    <w:nsid w:val="24E99DD7"/>
    <w:multiLevelType w:val="hybridMultilevel"/>
    <w:lvl w:ilvl="0">
      <w:lvlJc w:val="left"/>
      <w:lvlText w:val="%1."/>
      <w:numFmt w:val="decimal"/>
      <w:start w:val="8"/>
    </w:lvl>
  </w:abstractNum>
  <w:abstractNum w:abstractNumId="121">
    <w:nsid w:val="2A31B62D"/>
    <w:multiLevelType w:val="hybridMultilevel"/>
    <w:lvl w:ilvl="0">
      <w:lvlJc w:val="left"/>
      <w:lvlText w:val="%1."/>
      <w:numFmt w:val="decimal"/>
      <w:start w:val="9"/>
    </w:lvl>
  </w:abstractNum>
  <w:abstractNum w:abstractNumId="122">
    <w:nsid w:val="1849C29B"/>
    <w:multiLevelType w:val="hybridMultilevel"/>
    <w:lvl w:ilvl="0">
      <w:lvlJc w:val="left"/>
      <w:lvlText w:val="(%1)"/>
      <w:numFmt w:val="decimal"/>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
      <w:numFmt w:val="bullet"/>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1."/>
      <w:numFmt w:val="decimal"/>
      <w:start w:val="2"/>
    </w:lvl>
  </w:abstractNum>
  <w:abstractNum w:abstractNumId="129">
    <w:nsid w:val="7AB49DAF"/>
    <w:multiLevelType w:val="hybridMultilevel"/>
    <w:lvl w:ilvl="0">
      <w:lvlJc w:val="left"/>
      <w:lvlText w:val="(%1)"/>
      <w:numFmt w:val="lowerRoman"/>
      <w:start w:val="2"/>
    </w:lvl>
  </w:abstractNum>
  <w:abstractNum w:abstractNumId="130">
    <w:nsid w:val="759F82CD"/>
    <w:multiLevelType w:val="hybridMultilevel"/>
    <w:lvl w:ilvl="0">
      <w:lvlJc w:val="left"/>
      <w:lvlText w:val="%1."/>
      <w:numFmt w:val="decimal"/>
      <w:start w:val="3"/>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
      <w:numFmt w:val="bullet"/>
      <w:start w:val="1"/>
    </w:lvl>
    <w:lvl w:ilvl="1">
      <w:lvlJc w:val="left"/>
      <w:lvlText w:val="○"/>
      <w:numFmt w:val="bullet"/>
      <w:start w:val="1"/>
    </w:lvl>
  </w:abstractNum>
  <w:abstractNum w:abstractNumId="133">
    <w:nsid w:val="F819E7F"/>
    <w:multiLevelType w:val="hybridMultilevel"/>
    <w:lvl w:ilvl="0">
      <w:lvlJc w:val="left"/>
      <w:lvlText w:val="1"/>
      <w:numFmt w:val="bullet"/>
      <w:start w:val="1"/>
    </w:lvl>
  </w:abstractNum>
  <w:abstractNum w:abstractNumId="134">
    <w:nsid w:val="57C7D42D"/>
    <w:multiLevelType w:val="hybridMultilevel"/>
    <w:lvl w:ilvl="0">
      <w:lvlJc w:val="left"/>
      <w:lvlText w:val="%1."/>
      <w:numFmt w:val="decimal"/>
      <w:start w:val="4"/>
    </w:lvl>
  </w:abstractNum>
  <w:abstractNum w:abstractNumId="135">
    <w:nsid w:val="312167AD"/>
    <w:multiLevelType w:val="hybridMultilevel"/>
    <w:lvl w:ilvl="0">
      <w:lvlJc w:val="left"/>
      <w:lvlText w:val="%1."/>
      <w:numFmt w:val="decimal"/>
      <w:start w:val="5"/>
    </w:lvl>
  </w:abstractNum>
  <w:abstractNum w:abstractNumId="136">
    <w:nsid w:val="631B64D4"/>
    <w:multiLevelType w:val="hybridMultilevel"/>
    <w:lvl w:ilvl="0">
      <w:lvlJc w:val="left"/>
      <w:lvlText w:val="%1."/>
      <w:numFmt w:val="decimal"/>
      <w:start w:val="6"/>
    </w:lvl>
  </w:abstractNum>
  <w:abstractNum w:abstractNumId="137">
    <w:nsid w:val="78B5E776"/>
    <w:multiLevelType w:val="hybridMultilevel"/>
    <w:lvl w:ilvl="0">
      <w:lvlJc w:val="left"/>
      <w:lvlText w:val="•"/>
      <w:numFmt w:val="bullet"/>
      <w:start w:val="1"/>
    </w:lvl>
  </w:abstractNum>
  <w:abstractNum w:abstractNumId="138">
    <w:nsid w:val="75486E47"/>
    <w:multiLevelType w:val="hybridMultilevel"/>
    <w:lvl w:ilvl="0">
      <w:lvlJc w:val="left"/>
      <w:lvlText w:val="%1."/>
      <w:numFmt w:val="decimal"/>
      <w:start w:val="7"/>
    </w:lvl>
  </w:abstractNum>
  <w:abstractNum w:abstractNumId="139">
    <w:nsid w:val="6E534CDE"/>
    <w:multiLevelType w:val="hybridMultilevel"/>
    <w:lvl w:ilvl="0">
      <w:lvlJc w:val="left"/>
      <w:lvlText w:val="•"/>
      <w:numFmt w:val="bullet"/>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1."/>
      <w:numFmt w:val="decimal"/>
      <w:start w:val="8"/>
    </w:lvl>
  </w:abstractNum>
  <w:abstractNum w:abstractNumId="142">
    <w:nsid w:val="46263DEC"/>
    <w:multiLevelType w:val="hybridMultilevel"/>
    <w:lvl w:ilvl="0">
      <w:lvlJc w:val="left"/>
      <w:lvlText w:val="(%1)"/>
      <w:numFmt w:val="decimal"/>
      <w:start w:val="1"/>
    </w:lvl>
  </w:abstractNum>
  <w:abstractNum w:abstractNumId="143">
    <w:nsid w:val="260D8C4A"/>
    <w:multiLevelType w:val="hybridMultilevel"/>
    <w:lvl w:ilvl="0">
      <w:lvlJc w:val="left"/>
      <w:lvlText w:val="(%1)"/>
      <w:numFmt w:val="decimal"/>
      <w:start w:val="1"/>
    </w:lvl>
  </w:abstractNum>
  <w:abstractNum w:abstractNumId="144">
    <w:nsid w:val="73D4D3C4"/>
    <w:multiLevelType w:val="hybridMultilevel"/>
    <w:lvl w:ilvl="0">
      <w:lvlJc w:val="left"/>
      <w:lvlText w:val="(%1)"/>
      <w:numFmt w:val="decimal"/>
      <w:start w:val="1"/>
    </w:lvl>
  </w:abstractNum>
  <w:abstractNum w:abstractNumId="145">
    <w:nsid w:val="746F2E30"/>
    <w:multiLevelType w:val="hybridMultilevel"/>
    <w:lvl w:ilvl="0">
      <w:lvlJc w:val="left"/>
      <w:lvlText w:val="%1."/>
      <w:numFmt w:val="decimal"/>
      <w:start w:val="9"/>
    </w:lvl>
  </w:abstractNum>
  <w:abstractNum w:abstractNumId="146">
    <w:nsid w:val="6FDE8AF6"/>
    <w:multiLevelType w:val="hybridMultilevel"/>
    <w:lvl w:ilvl="0">
      <w:lvlJc w:val="left"/>
      <w:lvlText w:val="¹"/>
      <w:numFmt w:val="bullet"/>
      <w:start w:val="1"/>
    </w:lvl>
  </w:abstractNum>
  <w:abstractNum w:abstractNumId="147">
    <w:nsid w:val="3FC32E20"/>
    <w:multiLevelType w:val="hybridMultilevel"/>
    <w:lvl w:ilvl="0">
      <w:lvlJc w:val="left"/>
      <w:lvlText w:val="+"/>
      <w:numFmt w:val="bullet"/>
      <w:start w:val="1"/>
    </w:lvl>
  </w:abstractNum>
  <w:abstractNum w:abstractNumId="148">
    <w:nsid w:val="49C0E823"/>
    <w:multiLevelType w:val="hybridMultilevel"/>
    <w:lvl w:ilvl="0">
      <w:lvlJc w:val="left"/>
      <w:lvlText w:val="*"/>
      <w:numFmt w:val="bullet"/>
      <w:start w:val="1"/>
    </w:lvl>
  </w:abstractNum>
  <w:abstractNum w:abstractNumId="149">
    <w:nsid w:val="14D53685"/>
    <w:multiLevelType w:val="hybridMultilevel"/>
    <w:lvl w:ilvl="0">
      <w:lvlJc w:val="left"/>
      <w:lvlText w:val="•"/>
      <w:numFmt w:val="bullet"/>
      <w:start w:val="1"/>
    </w:lvl>
  </w:abstractNum>
  <w:abstractNum w:abstractNumId="150">
    <w:nsid w:val="230F856C"/>
    <w:multiLevelType w:val="hybridMultilevel"/>
    <w:lvl w:ilvl="0">
      <w:lvlJc w:val="left"/>
      <w:lvlText w:val="%1"/>
      <w:numFmt w:val="decimal"/>
      <w:start w:val="107"/>
    </w:lvl>
  </w:abstractNum>
  <w:abstractNum w:abstractNumId="151">
    <w:nsid w:val="6EAA85FB"/>
    <w:multiLevelType w:val="hybridMultilevel"/>
    <w:lvl w:ilvl="0">
      <w:lvlJc w:val="left"/>
      <w:lvlText w:val="+"/>
      <w:numFmt w:val="bullet"/>
      <w:start w:val="1"/>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4">
    <w:nsid w:val="6CAA2304"/>
    <w:multiLevelType w:val="hybridMultilevel"/>
    <w:lvl w:ilvl="0">
      <w:lvlJc w:val="left"/>
      <w:lvlText w:val="(%1)"/>
      <w:numFmt w:val="decimal"/>
      <w:start w:val="2"/>
    </w:lvl>
    <w:lvl w:ilvl="1">
      <w:lvlJc w:val="left"/>
      <w:lvlText w:val="(%2)"/>
      <w:numFmt w:val="lowerRoman"/>
      <w:start w:val="1"/>
    </w:lvl>
  </w:abstractNum>
  <w:abstractNum w:abstractNumId="155">
    <w:nsid w:val="3F7C2FF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56">
    <w:nsid w:val="25413B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407"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385" Type="http://schemas.openxmlformats.org/officeDocument/2006/relationships/hyperlink" Target="https://www.sec.gov/Archives/edgar/data/1779474/000095010320024045/dp142700_ex0201.htm" TargetMode="External"/><Relationship Id="rId386" Type="http://schemas.openxmlformats.org/officeDocument/2006/relationships/hyperlink" Target="https://www.sec.gov/Archives/edgar/data/1779474/000114036121021785/brhc10025756_ex3-1.htm" TargetMode="External"/><Relationship Id="rId387" Type="http://schemas.openxmlformats.org/officeDocument/2006/relationships/hyperlink" Target="https://www.sec.gov/Archives/edgar/data/1779474/000114036121021785/brhc10025756_ex3-2.htm" TargetMode="External"/><Relationship Id="rId388" Type="http://schemas.openxmlformats.org/officeDocument/2006/relationships/hyperlink" Target="https://www.sec.gov/Archives/edgar/data/1779474/000114036121021785/brhc10025756_ex4-1.htm" TargetMode="External"/><Relationship Id="rId389" Type="http://schemas.openxmlformats.org/officeDocument/2006/relationships/hyperlink" Target="https://www.sec.gov/Archives/edgar/data/1779474/000114036121021785/brhc10025756_ex4-2.htm" TargetMode="External"/><Relationship Id="rId390" Type="http://schemas.openxmlformats.org/officeDocument/2006/relationships/hyperlink" Target="https://www.sec.gov/Archives/edgar/data/1779474/000095010319010751/dp111173_ex0401.htm" TargetMode="External"/><Relationship Id="rId391" Type="http://schemas.openxmlformats.org/officeDocument/2006/relationships/hyperlink" Target="https://www.sec.gov/Archives/edgar/data/1779474/000177947422000010/exhibit45descriptionofsecu.htm" TargetMode="External"/><Relationship Id="rId392" Type="http://schemas.openxmlformats.org/officeDocument/2006/relationships/hyperlink" Target="https://www.sec.gov/Archives/edgar/data/1779474/000114036121024469/nt10026588x3_ex5-1.htm" TargetMode="External"/><Relationship Id="rId393" Type="http://schemas.openxmlformats.org/officeDocument/2006/relationships/hyperlink" Target="https://www.sec.gov/Archives/edgar/data/1779474/000114036121021785/brhc10025756_ex10-1.htm" TargetMode="External"/><Relationship Id="rId394" Type="http://schemas.openxmlformats.org/officeDocument/2006/relationships/hyperlink" Target="https://www.sec.gov/Archives/edgar/data/1779474/000114036121021785/brhc10025756_ex10-2.htm" TargetMode="External"/><Relationship Id="rId395" Type="http://schemas.openxmlformats.org/officeDocument/2006/relationships/hyperlink" Target="https://www.sec.gov/Archives/edgar/data/1779474/000114036121021785/brhc10025756_ex10-3.htm" TargetMode="External"/><Relationship Id="rId396" Type="http://schemas.openxmlformats.org/officeDocument/2006/relationships/hyperlink" Target="https://www.sec.gov/Archives/edgar/data/1779474/000095010320024045/dp142700_ex1001.htm" TargetMode="External"/><Relationship Id="rId397" Type="http://schemas.openxmlformats.org/officeDocument/2006/relationships/hyperlink" Target="https://www.sec.gov/Archives/edgar/data/1779474/000114036121021785/brhc10025756_ex10-5.htm" TargetMode="External"/><Relationship Id="rId398" Type="http://schemas.openxmlformats.org/officeDocument/2006/relationships/hyperlink" Target="https://www.sec.gov/Archives/edgar/data/1779474/000114036121021785/brhc10025756_ex10-6.htm" TargetMode="External"/><Relationship Id="rId399" Type="http://schemas.openxmlformats.org/officeDocument/2006/relationships/hyperlink" Target="https://www.sec.gov/Archives/edgar/data/1779474/000114036121021785/brhc10025756_ex10-7.htm" TargetMode="External"/><Relationship Id="rId400" Type="http://schemas.openxmlformats.org/officeDocument/2006/relationships/hyperlink" Target="https://www.sec.gov/Archives/edgar/data/1779474/000114036121021785/brhc10025756_ex10-7a.htm" TargetMode="External"/><Relationship Id="rId401" Type="http://schemas.openxmlformats.org/officeDocument/2006/relationships/hyperlink" Target="https://www.sec.gov/Archives/edgar/data/1779474/000114036121021785/brhc10025756_ex10-7b.htm" TargetMode="External"/><Relationship Id="rId402" Type="http://schemas.openxmlformats.org/officeDocument/2006/relationships/hyperlink" Target="https://www.sec.gov/Archives/edgar/data/1779474/000114036121021785/brhc10025756_ex10-8.htm" TargetMode="External"/><Relationship Id="rId403" Type="http://schemas.openxmlformats.org/officeDocument/2006/relationships/hyperlink" Target="https://www.sec.gov/Archives/edgar/data/1779474/000114036121021785/brhc10025756_ex10-12.htm" TargetMode="External"/><Relationship Id="rId404" Type="http://schemas.openxmlformats.org/officeDocument/2006/relationships/hyperlink" Target="https://www.sec.gov/Archives/edgar/data/1779474/000114036121021785/brhc10025756_ex10-13.htm" TargetMode="External"/><Relationship Id="rId405" Type="http://schemas.openxmlformats.org/officeDocument/2006/relationships/hyperlink" Target="https://www.sec.gov/Archives/edgar/data/1779474/000114036121021785/brhc10025756_ex10-14.htm" TargetMode="External"/><Relationship Id="rId406" Type="http://schemas.openxmlformats.org/officeDocument/2006/relationships/hyperlink" Target="https://www.sec.gov/Archives/edgar/data/1779474/000114036121021785/brhc10025756_ex10-15.htm" TargetMode="External"/><Relationship Id="rId408" Type="http://schemas.openxmlformats.org/officeDocument/2006/relationships/hyperlink" Target="https://www.sec.gov/Archives/edgar/data/1779474/000114036121021785/brhc10025756_ex10-16.htm" TargetMode="External"/><Relationship Id="rId409" Type="http://schemas.openxmlformats.org/officeDocument/2006/relationships/hyperlink" Target="https://www.sec.gov/Archives/edgar/data/1779474/000177947421000027/exhibit101.htm" TargetMode="External"/><Relationship Id="rId410" Type="http://schemas.openxmlformats.org/officeDocument/2006/relationships/hyperlink" Target="https://www.sec.gov/Archives/edgar/data/1779474/000177947423000072/exhibit102amendedandrestat.htm" TargetMode="External"/><Relationship Id="rId411" Type="http://schemas.openxmlformats.org/officeDocument/2006/relationships/hyperlink" Target="https://www.sec.gov/Archives/edgar/data/1779474/000177947424000062/a101separationandreleaseag.htm" TargetMode="External"/><Relationship Id="rId412" Type="http://schemas.openxmlformats.org/officeDocument/2006/relationships/hyperlink" Target="https://www.sec.gov/Archives/edgar/data/1779474/000177947423000072/exhibit101retentionagreeme.htm" TargetMode="External"/><Relationship Id="rId413" Type="http://schemas.openxmlformats.org/officeDocument/2006/relationships/hyperlink" Target="https://www.sec.gov/Archives/edgar/data/1779474/000177947424000062/a103offerofemployment-fran.htm" TargetMode="External"/><Relationship Id="rId414" Type="http://schemas.openxmlformats.org/officeDocument/2006/relationships/hyperlink" Target="https://www.sec.gov/Archives/edgar/data/1779474/000177947424000023/exhibit1020briancamiresoff.htm" TargetMode="External"/><Relationship Id="rId415" Type="http://schemas.openxmlformats.org/officeDocument/2006/relationships/hyperlink" Target="https://www.sec.gov/Archives/edgar/data/1779474/000177947423000062/exhibit101q223.htm" TargetMode="External"/><Relationship Id="rId416" Type="http://schemas.openxmlformats.org/officeDocument/2006/relationships/hyperlink" Target="https://www.sec.gov/Archives/edgar/data/1779474/000177947423000076/exhibit105randasseperation.htm" TargetMode="External"/><Relationship Id="rId417" Type="http://schemas.openxmlformats.org/officeDocument/2006/relationships/hyperlink" Target="https://www.sec.gov/Archives/edgar/data/1779474/000177947424000023/exhibit1023seatonhillresou.htm" TargetMode="External"/><Relationship Id="rId418" Type="http://schemas.openxmlformats.org/officeDocument/2006/relationships/hyperlink" Target="https://www.sec.gov/Archives/edgar/data/1779474/000177947424000062/a102fifthamendmenttoleaseb.htm" TargetMode="External"/><Relationship Id="rId419" Type="http://schemas.openxmlformats.org/officeDocument/2006/relationships/hyperlink" Target="https://www.sec.gov/Archives/edgar/data/1779474/000177947424000023/exhibit211listofsubsidiari.htm" TargetMode="External"/><Relationship Id="rId420" Type="http://schemas.openxmlformats.org/officeDocument/2006/relationships/hyperlink" Target="https://www.sec.gov/Archives/edgar/data/1779474/000114036121023775/nt10026588x1_s1.htm#t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2024-12-04T16:26:15Z</dcterms:created>
  <dcterms:modified xsi:type="dcterms:W3CDTF">2024-12-04T16:26:15Z</dcterms:modified>
</cp:coreProperties>
</file>