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473075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497840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tbl>
      <w:tblPr>
        <w:tblLayout w:type="fixed"/>
        <w:tblInd w:w="20" w:type="dxa"/>
        <w:tblCellMar>
          <w:top w:w="0" w:type="dxa"/>
          <w:left w:w="0" w:type="dxa"/>
          <w:bottom w:w="0" w:type="dxa"/>
          <w:right w:w="0" w:type="dxa"/>
        </w:tblCellMar>
      </w:tblPr>
      <w:tr>
        <w:trPr>
          <w:trHeight w:val="322"/>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Arial" w:cs="Arial" w:eastAsia="Arial" w:hAnsi="Arial"/>
                <w:sz w:val="27"/>
                <w:szCs w:val="27"/>
                <w:b w:val="1"/>
                <w:bCs w:val="1"/>
                <w:color w:val="auto"/>
              </w:rPr>
              <w:t>UNITED STATES</w:t>
            </w:r>
          </w:p>
        </w:tc>
      </w:tr>
      <w:tr>
        <w:trPr>
          <w:trHeight w:val="359"/>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Arial" w:cs="Arial" w:eastAsia="Arial" w:hAnsi="Arial"/>
                <w:sz w:val="27"/>
                <w:szCs w:val="27"/>
                <w:b w:val="1"/>
                <w:bCs w:val="1"/>
                <w:color w:val="auto"/>
              </w:rPr>
              <w:t>SECURITIES AND EXCHANGE COMMISSION</w:t>
            </w:r>
          </w:p>
        </w:tc>
      </w:tr>
      <w:tr>
        <w:trPr>
          <w:trHeight w:val="282"/>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Arial" w:cs="Arial" w:eastAsia="Arial" w:hAnsi="Arial"/>
                <w:sz w:val="17"/>
                <w:szCs w:val="17"/>
                <w:b w:val="1"/>
                <w:bCs w:val="1"/>
                <w:color w:val="auto"/>
                <w:w w:val="91"/>
              </w:rPr>
              <w:t>Washington, D.C. 20549</w:t>
            </w:r>
          </w:p>
        </w:tc>
      </w:tr>
      <w:tr>
        <w:trPr>
          <w:trHeight w:val="178"/>
        </w:trPr>
        <w:tc>
          <w:tcPr>
            <w:tcW w:w="1000" w:type="dxa"/>
            <w:vAlign w:val="bottom"/>
          </w:tcPr>
          <w:p>
            <w:pPr>
              <w:spacing w:after="0"/>
              <w:rPr>
                <w:sz w:val="15"/>
                <w:szCs w:val="15"/>
                <w:color w:val="auto"/>
              </w:rPr>
            </w:pPr>
          </w:p>
        </w:tc>
        <w:tc>
          <w:tcPr>
            <w:tcW w:w="8700" w:type="dxa"/>
            <w:vAlign w:val="bottom"/>
          </w:tcPr>
          <w:p>
            <w:pPr>
              <w:jc w:val="center"/>
              <w:ind w:left="432"/>
              <w:spacing w:after="0"/>
              <w:rPr>
                <w:sz w:val="20"/>
                <w:szCs w:val="20"/>
                <w:color w:val="auto"/>
              </w:rPr>
            </w:pPr>
            <w:r>
              <w:rPr>
                <w:rFonts w:ascii="Arial" w:cs="Arial" w:eastAsia="Arial" w:hAnsi="Arial"/>
                <w:sz w:val="14"/>
                <w:szCs w:val="14"/>
                <w:b w:val="1"/>
                <w:bCs w:val="1"/>
                <w:color w:val="auto"/>
                <w:w w:val="88"/>
              </w:rPr>
              <w:t>_______________________________________________________________________________</w:t>
            </w:r>
          </w:p>
        </w:tc>
      </w:tr>
      <w:tr>
        <w:trPr>
          <w:trHeight w:val="376"/>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Arial" w:cs="Arial" w:eastAsia="Arial" w:hAnsi="Arial"/>
                <w:sz w:val="27"/>
                <w:szCs w:val="27"/>
                <w:b w:val="1"/>
                <w:bCs w:val="1"/>
                <w:color w:val="auto"/>
              </w:rPr>
              <w:t>FORM 10-Q</w:t>
            </w:r>
          </w:p>
        </w:tc>
      </w:tr>
      <w:tr>
        <w:trPr>
          <w:trHeight w:val="178"/>
        </w:trPr>
        <w:tc>
          <w:tcPr>
            <w:tcW w:w="1000" w:type="dxa"/>
            <w:vAlign w:val="bottom"/>
          </w:tcPr>
          <w:p>
            <w:pPr>
              <w:spacing w:after="0"/>
              <w:rPr>
                <w:sz w:val="15"/>
                <w:szCs w:val="15"/>
                <w:color w:val="auto"/>
              </w:rPr>
            </w:pPr>
          </w:p>
        </w:tc>
        <w:tc>
          <w:tcPr>
            <w:tcW w:w="8700" w:type="dxa"/>
            <w:vAlign w:val="bottom"/>
          </w:tcPr>
          <w:p>
            <w:pPr>
              <w:jc w:val="center"/>
              <w:ind w:left="432"/>
              <w:spacing w:after="0"/>
              <w:rPr>
                <w:sz w:val="20"/>
                <w:szCs w:val="20"/>
                <w:color w:val="auto"/>
              </w:rPr>
            </w:pPr>
            <w:r>
              <w:rPr>
                <w:rFonts w:ascii="Arial" w:cs="Arial" w:eastAsia="Arial" w:hAnsi="Arial"/>
                <w:sz w:val="14"/>
                <w:szCs w:val="14"/>
                <w:b w:val="1"/>
                <w:bCs w:val="1"/>
                <w:color w:val="auto"/>
                <w:w w:val="88"/>
              </w:rPr>
              <w:t>_______________________________________________________________________________</w:t>
            </w:r>
          </w:p>
        </w:tc>
      </w:tr>
      <w:tr>
        <w:trPr>
          <w:trHeight w:val="365"/>
        </w:trPr>
        <w:tc>
          <w:tcPr>
            <w:tcW w:w="100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8700" w:type="dxa"/>
            <w:vAlign w:val="bottom"/>
          </w:tcPr>
          <w:p>
            <w:pPr>
              <w:ind w:left="840"/>
              <w:spacing w:after="0"/>
              <w:rPr>
                <w:sz w:val="20"/>
                <w:szCs w:val="20"/>
                <w:color w:val="auto"/>
              </w:rPr>
            </w:pPr>
            <w:r>
              <w:rPr>
                <w:rFonts w:ascii="Arial" w:cs="Arial" w:eastAsia="Arial" w:hAnsi="Arial"/>
                <w:sz w:val="15"/>
                <w:szCs w:val="15"/>
                <w:b w:val="1"/>
                <w:bCs w:val="1"/>
                <w:color w:val="auto"/>
              </w:rPr>
              <w:t>QUARTERLY REPORT PURSUANT TO SECTION 13 OR 15(d) OF THE SECURITIES EXCHANGE ACT OF 1934</w:t>
            </w:r>
          </w:p>
        </w:tc>
      </w:tr>
      <w:tr>
        <w:trPr>
          <w:trHeight w:val="260"/>
        </w:trPr>
        <w:tc>
          <w:tcPr>
            <w:tcW w:w="1000" w:type="dxa"/>
            <w:vAlign w:val="bottom"/>
          </w:tcPr>
          <w:p>
            <w:pPr>
              <w:spacing w:after="0"/>
              <w:rPr>
                <w:sz w:val="22"/>
                <w:szCs w:val="22"/>
                <w:color w:val="auto"/>
              </w:rPr>
            </w:pPr>
          </w:p>
        </w:tc>
        <w:tc>
          <w:tcPr>
            <w:tcW w:w="8700" w:type="dxa"/>
            <w:vAlign w:val="bottom"/>
          </w:tcPr>
          <w:p>
            <w:pPr>
              <w:jc w:val="center"/>
              <w:ind w:left="432"/>
              <w:spacing w:after="0"/>
              <w:rPr>
                <w:sz w:val="20"/>
                <w:szCs w:val="20"/>
                <w:color w:val="auto"/>
              </w:rPr>
            </w:pPr>
            <w:r>
              <w:rPr>
                <w:rFonts w:ascii="Arial" w:cs="Arial" w:eastAsia="Arial" w:hAnsi="Arial"/>
                <w:sz w:val="15"/>
                <w:szCs w:val="15"/>
                <w:b w:val="1"/>
                <w:bCs w:val="1"/>
                <w:color w:val="auto"/>
                <w:w w:val="93"/>
              </w:rPr>
              <w:t>For the quarterly period ended September 30, 2021</w:t>
            </w:r>
          </w:p>
        </w:tc>
      </w:tr>
      <w:tr>
        <w:trPr>
          <w:trHeight w:val="252"/>
        </w:trPr>
        <w:tc>
          <w:tcPr>
            <w:tcW w:w="1000" w:type="dxa"/>
            <w:vAlign w:val="bottom"/>
          </w:tcPr>
          <w:p>
            <w:pPr>
              <w:spacing w:after="0"/>
              <w:rPr>
                <w:sz w:val="21"/>
                <w:szCs w:val="21"/>
                <w:color w:val="auto"/>
              </w:rPr>
            </w:pPr>
          </w:p>
        </w:tc>
        <w:tc>
          <w:tcPr>
            <w:tcW w:w="8700" w:type="dxa"/>
            <w:vAlign w:val="bottom"/>
          </w:tcPr>
          <w:p>
            <w:pPr>
              <w:jc w:val="center"/>
              <w:ind w:left="412"/>
              <w:spacing w:after="0"/>
              <w:rPr>
                <w:sz w:val="20"/>
                <w:szCs w:val="20"/>
                <w:color w:val="auto"/>
              </w:rPr>
            </w:pPr>
            <w:r>
              <w:rPr>
                <w:rFonts w:ascii="Arial" w:cs="Arial" w:eastAsia="Arial" w:hAnsi="Arial"/>
                <w:sz w:val="14"/>
                <w:szCs w:val="14"/>
                <w:b w:val="1"/>
                <w:bCs w:val="1"/>
                <w:color w:val="auto"/>
                <w:w w:val="95"/>
              </w:rPr>
              <w:t>OR</w:t>
            </w:r>
          </w:p>
        </w:tc>
      </w:tr>
      <w:tr>
        <w:trPr>
          <w:trHeight w:val="365"/>
        </w:trPr>
        <w:tc>
          <w:tcPr>
            <w:tcW w:w="100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8700" w:type="dxa"/>
            <w:vAlign w:val="bottom"/>
          </w:tcPr>
          <w:p>
            <w:pPr>
              <w:ind w:left="840"/>
              <w:spacing w:after="0"/>
              <w:rPr>
                <w:sz w:val="20"/>
                <w:szCs w:val="20"/>
                <w:color w:val="auto"/>
              </w:rPr>
            </w:pPr>
            <w:r>
              <w:rPr>
                <w:rFonts w:ascii="Arial" w:cs="Arial" w:eastAsia="Arial" w:hAnsi="Arial"/>
                <w:sz w:val="15"/>
                <w:szCs w:val="15"/>
                <w:b w:val="1"/>
                <w:bCs w:val="1"/>
                <w:color w:val="auto"/>
              </w:rPr>
              <w:t>TRANSITION REPORT PURSUANT TO SECTION 13 OR 15(d) OF THE SECURITIES EXCHANGE ACT OF 1934</w:t>
            </w:r>
          </w:p>
        </w:tc>
      </w:tr>
      <w:tr>
        <w:trPr>
          <w:trHeight w:val="228"/>
        </w:trPr>
        <w:tc>
          <w:tcPr>
            <w:tcW w:w="1000" w:type="dxa"/>
            <w:vAlign w:val="bottom"/>
          </w:tcPr>
          <w:p>
            <w:pPr>
              <w:spacing w:after="0"/>
              <w:rPr>
                <w:sz w:val="19"/>
                <w:szCs w:val="19"/>
                <w:color w:val="auto"/>
              </w:rPr>
            </w:pPr>
          </w:p>
        </w:tc>
        <w:tc>
          <w:tcPr>
            <w:tcW w:w="8700" w:type="dxa"/>
            <w:vAlign w:val="bottom"/>
          </w:tcPr>
          <w:p>
            <w:pPr>
              <w:jc w:val="center"/>
              <w:ind w:left="432"/>
              <w:spacing w:after="0"/>
              <w:rPr>
                <w:sz w:val="20"/>
                <w:szCs w:val="20"/>
                <w:color w:val="auto"/>
              </w:rPr>
            </w:pPr>
            <w:r>
              <w:rPr>
                <w:rFonts w:ascii="Arial" w:cs="Arial" w:eastAsia="Arial" w:hAnsi="Arial"/>
                <w:sz w:val="14"/>
                <w:szCs w:val="14"/>
                <w:b w:val="1"/>
                <w:bCs w:val="1"/>
                <w:color w:val="auto"/>
                <w:w w:val="89"/>
              </w:rPr>
              <w:t>For the transition period from ____ to ____</w:t>
            </w:r>
          </w:p>
        </w:tc>
      </w:tr>
      <w:tr>
        <w:trPr>
          <w:trHeight w:val="234"/>
        </w:trPr>
        <w:tc>
          <w:tcPr>
            <w:tcW w:w="1000" w:type="dxa"/>
            <w:vAlign w:val="bottom"/>
          </w:tcPr>
          <w:p>
            <w:pPr>
              <w:spacing w:after="0"/>
              <w:rPr>
                <w:sz w:val="20"/>
                <w:szCs w:val="20"/>
                <w:color w:val="auto"/>
              </w:rPr>
            </w:pPr>
          </w:p>
        </w:tc>
        <w:tc>
          <w:tcPr>
            <w:tcW w:w="8700" w:type="dxa"/>
            <w:vAlign w:val="bottom"/>
          </w:tcPr>
          <w:p>
            <w:pPr>
              <w:jc w:val="center"/>
              <w:ind w:left="412"/>
              <w:spacing w:after="0"/>
              <w:rPr>
                <w:sz w:val="20"/>
                <w:szCs w:val="20"/>
                <w:color w:val="auto"/>
              </w:rPr>
            </w:pPr>
            <w:r>
              <w:rPr>
                <w:rFonts w:ascii="Arial" w:cs="Arial" w:eastAsia="Arial" w:hAnsi="Arial"/>
                <w:sz w:val="14"/>
                <w:szCs w:val="14"/>
                <w:b w:val="1"/>
                <w:bCs w:val="1"/>
                <w:color w:val="auto"/>
                <w:w w:val="88"/>
              </w:rPr>
              <w:t>Commission file number 001-39021</w:t>
            </w:r>
          </w:p>
        </w:tc>
      </w:tr>
      <w:tr>
        <w:trPr>
          <w:trHeight w:val="178"/>
        </w:trPr>
        <w:tc>
          <w:tcPr>
            <w:tcW w:w="1000" w:type="dxa"/>
            <w:vAlign w:val="bottom"/>
          </w:tcPr>
          <w:p>
            <w:pPr>
              <w:spacing w:after="0"/>
              <w:rPr>
                <w:sz w:val="15"/>
                <w:szCs w:val="15"/>
                <w:color w:val="auto"/>
              </w:rPr>
            </w:pPr>
          </w:p>
        </w:tc>
        <w:tc>
          <w:tcPr>
            <w:tcW w:w="8700" w:type="dxa"/>
            <w:vAlign w:val="bottom"/>
          </w:tcPr>
          <w:p>
            <w:pPr>
              <w:jc w:val="center"/>
              <w:ind w:left="432"/>
              <w:spacing w:after="0"/>
              <w:rPr>
                <w:sz w:val="20"/>
                <w:szCs w:val="20"/>
                <w:color w:val="auto"/>
              </w:rPr>
            </w:pPr>
            <w:r>
              <w:rPr>
                <w:rFonts w:ascii="Arial" w:cs="Arial" w:eastAsia="Arial" w:hAnsi="Arial"/>
                <w:sz w:val="14"/>
                <w:szCs w:val="14"/>
                <w:b w:val="1"/>
                <w:bCs w:val="1"/>
                <w:color w:val="auto"/>
                <w:w w:val="88"/>
              </w:rPr>
              <w:t>_______________________________________________________________________________</w:t>
            </w:r>
          </w:p>
        </w:tc>
      </w:tr>
    </w:tbl>
    <w:p>
      <w:pPr>
        <w:spacing w:after="0" w:line="133"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WM TECHNOLOGY,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2920"/>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060" w:type="dxa"/>
            <w:vAlign w:val="bottom"/>
          </w:tcPr>
          <w:p>
            <w:pPr>
              <w:jc w:val="center"/>
              <w:ind w:left="111"/>
              <w:spacing w:after="0"/>
              <w:rPr>
                <w:sz w:val="20"/>
                <w:szCs w:val="20"/>
                <w:color w:val="auto"/>
              </w:rPr>
            </w:pPr>
            <w:r>
              <w:rPr>
                <w:rFonts w:ascii="Arial" w:cs="Arial" w:eastAsia="Arial" w:hAnsi="Arial"/>
                <w:sz w:val="14"/>
                <w:szCs w:val="14"/>
                <w:b w:val="1"/>
                <w:bCs w:val="1"/>
                <w:color w:val="auto"/>
                <w:w w:val="91"/>
              </w:rPr>
              <w:t>Delaware</w:t>
            </w:r>
          </w:p>
        </w:tc>
        <w:tc>
          <w:tcPr>
            <w:tcW w:w="2420" w:type="dxa"/>
            <w:vAlign w:val="bottom"/>
          </w:tcPr>
          <w:p>
            <w:pPr>
              <w:spacing w:after="0"/>
              <w:rPr>
                <w:sz w:val="15"/>
                <w:szCs w:val="15"/>
                <w:color w:val="auto"/>
              </w:rPr>
            </w:pPr>
          </w:p>
        </w:tc>
        <w:tc>
          <w:tcPr>
            <w:tcW w:w="3760" w:type="dxa"/>
            <w:vAlign w:val="bottom"/>
          </w:tcPr>
          <w:p>
            <w:pPr>
              <w:jc w:val="right"/>
              <w:ind w:right="2191"/>
              <w:spacing w:after="0"/>
              <w:rPr>
                <w:sz w:val="20"/>
                <w:szCs w:val="20"/>
                <w:color w:val="auto"/>
              </w:rPr>
            </w:pPr>
            <w:r>
              <w:rPr>
                <w:rFonts w:ascii="Arial" w:cs="Arial" w:eastAsia="Arial" w:hAnsi="Arial"/>
                <w:sz w:val="14"/>
                <w:szCs w:val="14"/>
                <w:b w:val="1"/>
                <w:bCs w:val="1"/>
                <w:color w:val="auto"/>
              </w:rPr>
              <w:t>98-1605615</w:t>
            </w:r>
          </w:p>
        </w:tc>
        <w:tc>
          <w:tcPr>
            <w:tcW w:w="0" w:type="dxa"/>
            <w:vAlign w:val="bottom"/>
          </w:tcPr>
          <w:p>
            <w:pPr>
              <w:spacing w:after="0"/>
              <w:rPr>
                <w:sz w:val="1"/>
                <w:szCs w:val="1"/>
                <w:color w:val="auto"/>
              </w:rPr>
            </w:pPr>
          </w:p>
        </w:tc>
      </w:tr>
      <w:tr>
        <w:trPr>
          <w:trHeight w:val="193"/>
        </w:trPr>
        <w:tc>
          <w:tcPr>
            <w:tcW w:w="5060" w:type="dxa"/>
            <w:vAlign w:val="bottom"/>
          </w:tcPr>
          <w:p>
            <w:pPr>
              <w:jc w:val="center"/>
              <w:ind w:left="111"/>
              <w:spacing w:after="0"/>
              <w:rPr>
                <w:sz w:val="20"/>
                <w:szCs w:val="20"/>
                <w:color w:val="auto"/>
              </w:rPr>
            </w:pPr>
            <w:r>
              <w:rPr>
                <w:rFonts w:ascii="Arial" w:cs="Arial" w:eastAsia="Arial" w:hAnsi="Arial"/>
                <w:sz w:val="14"/>
                <w:szCs w:val="14"/>
                <w:color w:val="auto"/>
                <w:w w:val="90"/>
              </w:rPr>
              <w:t>(State or other jurisdiction of incorporation or organization)</w:t>
            </w:r>
          </w:p>
        </w:tc>
        <w:tc>
          <w:tcPr>
            <w:tcW w:w="2420" w:type="dxa"/>
            <w:vAlign w:val="bottom"/>
          </w:tcPr>
          <w:p>
            <w:pPr>
              <w:spacing w:after="0"/>
              <w:rPr>
                <w:sz w:val="16"/>
                <w:szCs w:val="16"/>
                <w:color w:val="auto"/>
              </w:rPr>
            </w:pPr>
          </w:p>
        </w:tc>
        <w:tc>
          <w:tcPr>
            <w:tcW w:w="3760" w:type="dxa"/>
            <w:vAlign w:val="bottom"/>
          </w:tcPr>
          <w:p>
            <w:pPr>
              <w:jc w:val="center"/>
              <w:ind w:right="1331"/>
              <w:spacing w:after="0"/>
              <w:rPr>
                <w:sz w:val="20"/>
                <w:szCs w:val="20"/>
                <w:color w:val="auto"/>
              </w:rPr>
            </w:pPr>
            <w:r>
              <w:rPr>
                <w:rFonts w:ascii="Arial" w:cs="Arial" w:eastAsia="Arial" w:hAnsi="Arial"/>
                <w:sz w:val="14"/>
                <w:szCs w:val="14"/>
                <w:color w:val="auto"/>
                <w:w w:val="92"/>
              </w:rPr>
              <w:t>(I.R.S. Employer Identification No.)</w:t>
            </w:r>
          </w:p>
        </w:tc>
        <w:tc>
          <w:tcPr>
            <w:tcW w:w="0" w:type="dxa"/>
            <w:vAlign w:val="bottom"/>
          </w:tcPr>
          <w:p>
            <w:pPr>
              <w:spacing w:after="0"/>
              <w:rPr>
                <w:sz w:val="1"/>
                <w:szCs w:val="1"/>
                <w:color w:val="auto"/>
              </w:rPr>
            </w:pPr>
          </w:p>
        </w:tc>
      </w:tr>
      <w:tr>
        <w:trPr>
          <w:trHeight w:val="208"/>
        </w:trPr>
        <w:tc>
          <w:tcPr>
            <w:tcW w:w="5060" w:type="dxa"/>
            <w:vAlign w:val="bottom"/>
          </w:tcPr>
          <w:p>
            <w:pPr>
              <w:jc w:val="center"/>
              <w:ind w:left="111"/>
              <w:spacing w:after="0"/>
              <w:rPr>
                <w:sz w:val="20"/>
                <w:szCs w:val="20"/>
                <w:color w:val="auto"/>
              </w:rPr>
            </w:pPr>
            <w:r>
              <w:rPr>
                <w:rFonts w:ascii="Arial" w:cs="Arial" w:eastAsia="Arial" w:hAnsi="Arial"/>
                <w:sz w:val="14"/>
                <w:szCs w:val="14"/>
                <w:b w:val="1"/>
                <w:bCs w:val="1"/>
                <w:color w:val="auto"/>
                <w:w w:val="87"/>
              </w:rPr>
              <w:t>41 Discovery</w:t>
            </w:r>
          </w:p>
        </w:tc>
        <w:tc>
          <w:tcPr>
            <w:tcW w:w="2420" w:type="dxa"/>
            <w:vAlign w:val="bottom"/>
          </w:tcPr>
          <w:p>
            <w:pPr>
              <w:spacing w:after="0"/>
              <w:rPr>
                <w:sz w:val="18"/>
                <w:szCs w:val="18"/>
                <w:color w:val="auto"/>
              </w:rPr>
            </w:pPr>
          </w:p>
        </w:tc>
        <w:tc>
          <w:tcPr>
            <w:tcW w:w="3760" w:type="dxa"/>
            <w:vAlign w:val="bottom"/>
            <w:vMerge w:val="restart"/>
          </w:tcPr>
          <w:p>
            <w:pPr>
              <w:jc w:val="center"/>
              <w:ind w:right="1331"/>
              <w:spacing w:after="0"/>
              <w:rPr>
                <w:sz w:val="20"/>
                <w:szCs w:val="20"/>
                <w:color w:val="auto"/>
              </w:rPr>
            </w:pPr>
            <w:r>
              <w:rPr>
                <w:rFonts w:ascii="Arial" w:cs="Arial" w:eastAsia="Arial" w:hAnsi="Arial"/>
                <w:sz w:val="14"/>
                <w:szCs w:val="14"/>
                <w:b w:val="1"/>
                <w:bCs w:val="1"/>
                <w:color w:val="auto"/>
                <w:w w:val="92"/>
              </w:rPr>
              <w:t>92618</w:t>
            </w:r>
          </w:p>
        </w:tc>
        <w:tc>
          <w:tcPr>
            <w:tcW w:w="0" w:type="dxa"/>
            <w:vAlign w:val="bottom"/>
          </w:tcPr>
          <w:p>
            <w:pPr>
              <w:spacing w:after="0"/>
              <w:rPr>
                <w:sz w:val="1"/>
                <w:szCs w:val="1"/>
                <w:color w:val="auto"/>
              </w:rPr>
            </w:pPr>
          </w:p>
        </w:tc>
      </w:tr>
      <w:tr>
        <w:trPr>
          <w:trHeight w:val="178"/>
        </w:trPr>
        <w:tc>
          <w:tcPr>
            <w:tcW w:w="5060" w:type="dxa"/>
            <w:vAlign w:val="bottom"/>
          </w:tcPr>
          <w:p>
            <w:pPr>
              <w:jc w:val="center"/>
              <w:ind w:left="111"/>
              <w:spacing w:after="0"/>
              <w:rPr>
                <w:sz w:val="20"/>
                <w:szCs w:val="20"/>
                <w:color w:val="auto"/>
              </w:rPr>
            </w:pPr>
            <w:r>
              <w:rPr>
                <w:rFonts w:ascii="Arial" w:cs="Arial" w:eastAsia="Arial" w:hAnsi="Arial"/>
                <w:sz w:val="14"/>
                <w:szCs w:val="14"/>
                <w:b w:val="1"/>
                <w:bCs w:val="1"/>
                <w:color w:val="auto"/>
                <w:w w:val="94"/>
              </w:rPr>
              <w:t>Irvine, California</w:t>
            </w:r>
          </w:p>
        </w:tc>
        <w:tc>
          <w:tcPr>
            <w:tcW w:w="2420" w:type="dxa"/>
            <w:vAlign w:val="bottom"/>
          </w:tcPr>
          <w:p>
            <w:pPr>
              <w:spacing w:after="0"/>
              <w:rPr>
                <w:sz w:val="15"/>
                <w:szCs w:val="15"/>
                <w:color w:val="auto"/>
              </w:rPr>
            </w:pPr>
          </w:p>
        </w:tc>
        <w:tc>
          <w:tcPr>
            <w:tcW w:w="3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060" w:type="dxa"/>
            <w:vAlign w:val="bottom"/>
          </w:tcPr>
          <w:p>
            <w:pPr>
              <w:jc w:val="center"/>
              <w:ind w:left="111"/>
              <w:spacing w:after="0"/>
              <w:rPr>
                <w:sz w:val="20"/>
                <w:szCs w:val="20"/>
                <w:color w:val="auto"/>
              </w:rPr>
            </w:pPr>
            <w:r>
              <w:rPr>
                <w:rFonts w:ascii="Arial" w:cs="Arial" w:eastAsia="Arial" w:hAnsi="Arial"/>
                <w:sz w:val="14"/>
                <w:szCs w:val="14"/>
                <w:color w:val="auto"/>
                <w:w w:val="91"/>
              </w:rPr>
              <w:t>(Address of Principal Executive Offices)</w:t>
            </w:r>
          </w:p>
        </w:tc>
        <w:tc>
          <w:tcPr>
            <w:tcW w:w="2420" w:type="dxa"/>
            <w:vAlign w:val="bottom"/>
          </w:tcPr>
          <w:p>
            <w:pPr>
              <w:spacing w:after="0"/>
              <w:rPr>
                <w:sz w:val="16"/>
                <w:szCs w:val="16"/>
                <w:color w:val="auto"/>
              </w:rPr>
            </w:pPr>
          </w:p>
        </w:tc>
        <w:tc>
          <w:tcPr>
            <w:tcW w:w="3760" w:type="dxa"/>
            <w:vAlign w:val="bottom"/>
          </w:tcPr>
          <w:p>
            <w:pPr>
              <w:jc w:val="center"/>
              <w:ind w:right="1331"/>
              <w:spacing w:after="0"/>
              <w:rPr>
                <w:sz w:val="20"/>
                <w:szCs w:val="20"/>
                <w:color w:val="auto"/>
              </w:rPr>
            </w:pPr>
            <w:r>
              <w:rPr>
                <w:rFonts w:ascii="Arial" w:cs="Arial" w:eastAsia="Arial" w:hAnsi="Arial"/>
                <w:sz w:val="14"/>
                <w:szCs w:val="14"/>
                <w:color w:val="auto"/>
                <w:w w:val="90"/>
              </w:rPr>
              <w:t>(Zip Code)</w:t>
            </w:r>
          </w:p>
        </w:tc>
        <w:tc>
          <w:tcPr>
            <w:tcW w:w="0" w:type="dxa"/>
            <w:vAlign w:val="bottom"/>
          </w:tcPr>
          <w:p>
            <w:pPr>
              <w:spacing w:after="0"/>
              <w:rPr>
                <w:sz w:val="1"/>
                <w:szCs w:val="1"/>
                <w:color w:val="auto"/>
              </w:rPr>
            </w:pPr>
          </w:p>
        </w:tc>
      </w:tr>
      <w:tr>
        <w:trPr>
          <w:trHeight w:val="341"/>
        </w:trPr>
        <w:tc>
          <w:tcPr>
            <w:tcW w:w="5060" w:type="dxa"/>
            <w:vAlign w:val="bottom"/>
          </w:tcPr>
          <w:p>
            <w:pPr>
              <w:spacing w:after="0"/>
              <w:rPr>
                <w:sz w:val="24"/>
                <w:szCs w:val="24"/>
                <w:color w:val="auto"/>
              </w:rPr>
            </w:pPr>
          </w:p>
        </w:tc>
        <w:tc>
          <w:tcPr>
            <w:tcW w:w="2420" w:type="dxa"/>
            <w:vAlign w:val="bottom"/>
          </w:tcPr>
          <w:p>
            <w:pPr>
              <w:jc w:val="center"/>
              <w:ind w:right="1211"/>
              <w:spacing w:after="0"/>
              <w:rPr>
                <w:sz w:val="20"/>
                <w:szCs w:val="20"/>
                <w:color w:val="auto"/>
              </w:rPr>
            </w:pPr>
            <w:r>
              <w:rPr>
                <w:rFonts w:ascii="Arial" w:cs="Arial" w:eastAsia="Arial" w:hAnsi="Arial"/>
                <w:sz w:val="14"/>
                <w:szCs w:val="14"/>
                <w:b w:val="1"/>
                <w:bCs w:val="1"/>
                <w:color w:val="auto"/>
                <w:w w:val="89"/>
              </w:rPr>
              <w:t>(844) 933-3627</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480" w:type="dxa"/>
            <w:vAlign w:val="bottom"/>
            <w:gridSpan w:val="2"/>
          </w:tcPr>
          <w:p>
            <w:pPr>
              <w:jc w:val="center"/>
              <w:ind w:left="3711"/>
              <w:spacing w:after="0"/>
              <w:rPr>
                <w:sz w:val="20"/>
                <w:szCs w:val="20"/>
                <w:color w:val="auto"/>
              </w:rPr>
            </w:pPr>
            <w:r>
              <w:rPr>
                <w:rFonts w:ascii="Arial" w:cs="Arial" w:eastAsia="Arial" w:hAnsi="Arial"/>
                <w:sz w:val="14"/>
                <w:szCs w:val="14"/>
                <w:color w:val="auto"/>
                <w:w w:val="88"/>
              </w:rPr>
              <w:t>(Registrant’ telephone number, including area code)</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7480" w:type="dxa"/>
            <w:vAlign w:val="bottom"/>
            <w:gridSpan w:val="2"/>
          </w:tcPr>
          <w:p>
            <w:pPr>
              <w:jc w:val="center"/>
              <w:ind w:left="3691"/>
              <w:spacing w:after="0"/>
              <w:rPr>
                <w:sz w:val="20"/>
                <w:szCs w:val="20"/>
                <w:color w:val="auto"/>
              </w:rPr>
            </w:pPr>
            <w:r>
              <w:rPr>
                <w:rFonts w:ascii="Arial" w:cs="Arial" w:eastAsia="Arial" w:hAnsi="Arial"/>
                <w:sz w:val="14"/>
                <w:szCs w:val="14"/>
                <w:b w:val="1"/>
                <w:bCs w:val="1"/>
                <w:color w:val="auto"/>
                <w:w w:val="87"/>
              </w:rPr>
              <w:t>Securities registered pursuant to Section 12(b) of the Act:</w:t>
            </w: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2420" w:type="dxa"/>
            <w:vAlign w:val="bottom"/>
            <w:tcBorders>
              <w:bottom w:val="single" w:sz="8" w:color="auto"/>
            </w:tcBorders>
          </w:tcPr>
          <w:p>
            <w:pPr>
              <w:jc w:val="center"/>
              <w:ind w:right="691"/>
              <w:spacing w:after="0"/>
              <w:rPr>
                <w:sz w:val="20"/>
                <w:szCs w:val="20"/>
                <w:color w:val="auto"/>
              </w:rPr>
            </w:pPr>
            <w:r>
              <w:rPr>
                <w:rFonts w:ascii="Arial" w:cs="Arial" w:eastAsia="Arial" w:hAnsi="Arial"/>
                <w:sz w:val="14"/>
                <w:szCs w:val="14"/>
                <w:b w:val="1"/>
                <w:bCs w:val="1"/>
                <w:color w:val="auto"/>
                <w:w w:val="87"/>
              </w:rPr>
              <w:t>Trading symbol(s)</w:t>
            </w:r>
          </w:p>
        </w:tc>
        <w:tc>
          <w:tcPr>
            <w:tcW w:w="3760" w:type="dxa"/>
            <w:vAlign w:val="bottom"/>
            <w:tcBorders>
              <w:bottom w:val="single" w:sz="8" w:color="auto"/>
            </w:tcBorders>
          </w:tcPr>
          <w:p>
            <w:pPr>
              <w:jc w:val="center"/>
              <w:ind w:right="651"/>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180"/>
        </w:trPr>
        <w:tc>
          <w:tcPr>
            <w:tcW w:w="5060" w:type="dxa"/>
            <w:vAlign w:val="bottom"/>
          </w:tcPr>
          <w:p>
            <w:pPr>
              <w:jc w:val="center"/>
              <w:spacing w:after="0"/>
              <w:rPr>
                <w:sz w:val="20"/>
                <w:szCs w:val="20"/>
                <w:color w:val="auto"/>
              </w:rPr>
            </w:pPr>
            <w:r>
              <w:rPr>
                <w:rFonts w:ascii="Arial" w:cs="Arial" w:eastAsia="Arial" w:hAnsi="Arial"/>
                <w:sz w:val="14"/>
                <w:szCs w:val="14"/>
                <w:color w:val="auto"/>
                <w:w w:val="87"/>
              </w:rPr>
              <w:t>Class A Common Stock, $0.0001 par value per share</w:t>
            </w:r>
          </w:p>
        </w:tc>
        <w:tc>
          <w:tcPr>
            <w:tcW w:w="2420" w:type="dxa"/>
            <w:vAlign w:val="bottom"/>
          </w:tcPr>
          <w:p>
            <w:pPr>
              <w:jc w:val="center"/>
              <w:ind w:right="691"/>
              <w:spacing w:after="0"/>
              <w:rPr>
                <w:sz w:val="20"/>
                <w:szCs w:val="20"/>
                <w:color w:val="auto"/>
              </w:rPr>
            </w:pPr>
            <w:r>
              <w:rPr>
                <w:rFonts w:ascii="Arial" w:cs="Arial" w:eastAsia="Arial" w:hAnsi="Arial"/>
                <w:sz w:val="14"/>
                <w:szCs w:val="14"/>
                <w:color w:val="auto"/>
                <w:w w:val="95"/>
              </w:rPr>
              <w:t>MAPS</w:t>
            </w:r>
          </w:p>
        </w:tc>
        <w:tc>
          <w:tcPr>
            <w:tcW w:w="3760" w:type="dxa"/>
            <w:vAlign w:val="bottom"/>
          </w:tcPr>
          <w:p>
            <w:pPr>
              <w:jc w:val="center"/>
              <w:ind w:right="651"/>
              <w:spacing w:after="0"/>
              <w:rPr>
                <w:sz w:val="20"/>
                <w:szCs w:val="20"/>
                <w:color w:val="auto"/>
              </w:rPr>
            </w:pPr>
            <w:r>
              <w:rPr>
                <w:rFonts w:ascii="Arial" w:cs="Arial" w:eastAsia="Arial" w:hAnsi="Arial"/>
                <w:sz w:val="14"/>
                <w:szCs w:val="14"/>
                <w:color w:val="auto"/>
                <w:w w:val="89"/>
              </w:rPr>
              <w:t>The Nasdaq Global Select Market</w:t>
            </w:r>
          </w:p>
        </w:tc>
        <w:tc>
          <w:tcPr>
            <w:tcW w:w="0" w:type="dxa"/>
            <w:vAlign w:val="bottom"/>
          </w:tcPr>
          <w:p>
            <w:pPr>
              <w:spacing w:after="0"/>
              <w:rPr>
                <w:sz w:val="1"/>
                <w:szCs w:val="1"/>
                <w:color w:val="auto"/>
              </w:rPr>
            </w:pPr>
          </w:p>
        </w:tc>
      </w:tr>
      <w:tr>
        <w:trPr>
          <w:trHeight w:val="161"/>
        </w:trPr>
        <w:tc>
          <w:tcPr>
            <w:tcW w:w="5060" w:type="dxa"/>
            <w:vAlign w:val="bottom"/>
          </w:tcPr>
          <w:p>
            <w:pPr>
              <w:jc w:val="center"/>
              <w:spacing w:after="0"/>
              <w:rPr>
                <w:sz w:val="20"/>
                <w:szCs w:val="20"/>
                <w:color w:val="auto"/>
              </w:rPr>
            </w:pPr>
            <w:r>
              <w:rPr>
                <w:rFonts w:ascii="Arial" w:cs="Arial" w:eastAsia="Arial" w:hAnsi="Arial"/>
                <w:sz w:val="14"/>
                <w:szCs w:val="14"/>
                <w:color w:val="auto"/>
                <w:w w:val="88"/>
              </w:rPr>
              <w:t>Warrants, each whole warrant exercisable for one share of Class A Common Stock at an</w:t>
            </w:r>
          </w:p>
        </w:tc>
        <w:tc>
          <w:tcPr>
            <w:tcW w:w="24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060" w:type="dxa"/>
            <w:vAlign w:val="bottom"/>
          </w:tcPr>
          <w:p>
            <w:pPr>
              <w:jc w:val="center"/>
              <w:spacing w:after="0"/>
              <w:rPr>
                <w:sz w:val="20"/>
                <w:szCs w:val="20"/>
                <w:color w:val="auto"/>
              </w:rPr>
            </w:pPr>
            <w:r>
              <w:rPr>
                <w:rFonts w:ascii="Arial" w:cs="Arial" w:eastAsia="Arial" w:hAnsi="Arial"/>
                <w:sz w:val="14"/>
                <w:szCs w:val="14"/>
                <w:color w:val="auto"/>
                <w:w w:val="87"/>
              </w:rPr>
              <w:t>exercise price of $11.50 per share</w:t>
            </w:r>
          </w:p>
        </w:tc>
        <w:tc>
          <w:tcPr>
            <w:tcW w:w="2420" w:type="dxa"/>
            <w:vAlign w:val="bottom"/>
          </w:tcPr>
          <w:p>
            <w:pPr>
              <w:jc w:val="center"/>
              <w:ind w:right="691"/>
              <w:spacing w:after="0"/>
              <w:rPr>
                <w:sz w:val="20"/>
                <w:szCs w:val="20"/>
                <w:color w:val="auto"/>
              </w:rPr>
            </w:pPr>
            <w:r>
              <w:rPr>
                <w:rFonts w:ascii="Arial" w:cs="Arial" w:eastAsia="Arial" w:hAnsi="Arial"/>
                <w:sz w:val="14"/>
                <w:szCs w:val="14"/>
                <w:color w:val="auto"/>
                <w:w w:val="94"/>
              </w:rPr>
              <w:t>MAPSW</w:t>
            </w:r>
          </w:p>
        </w:tc>
        <w:tc>
          <w:tcPr>
            <w:tcW w:w="3760" w:type="dxa"/>
            <w:vAlign w:val="bottom"/>
          </w:tcPr>
          <w:p>
            <w:pPr>
              <w:jc w:val="center"/>
              <w:ind w:right="651"/>
              <w:spacing w:after="0"/>
              <w:rPr>
                <w:sz w:val="20"/>
                <w:szCs w:val="20"/>
                <w:color w:val="auto"/>
              </w:rPr>
            </w:pPr>
            <w:r>
              <w:rPr>
                <w:rFonts w:ascii="Arial" w:cs="Arial" w:eastAsia="Arial" w:hAnsi="Arial"/>
                <w:sz w:val="14"/>
                <w:szCs w:val="14"/>
                <w:color w:val="auto"/>
                <w:w w:val="89"/>
              </w:rPr>
              <w:t>The Nasdaq Global Select Market</w:t>
            </w:r>
          </w:p>
        </w:tc>
        <w:tc>
          <w:tcPr>
            <w:tcW w:w="0" w:type="dxa"/>
            <w:vAlign w:val="bottom"/>
          </w:tcPr>
          <w:p>
            <w:pPr>
              <w:spacing w:after="0"/>
              <w:rPr>
                <w:sz w:val="1"/>
                <w:szCs w:val="1"/>
                <w:color w:val="auto"/>
              </w:rPr>
            </w:pPr>
          </w:p>
        </w:tc>
      </w:tr>
    </w:tbl>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88" w:lineRule="exact"/>
        <w:rPr>
          <w:sz w:val="24"/>
          <w:szCs w:val="24"/>
          <w:color w:val="auto"/>
        </w:rPr>
      </w:pPr>
    </w:p>
    <w:p>
      <w:pPr>
        <w:jc w:val="both"/>
        <w:spacing w:after="0" w:line="17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jc w:val="both"/>
        <w:spacing w:after="0" w:line="173"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7" w:lineRule="exact"/>
        <w:rPr>
          <w:sz w:val="24"/>
          <w:szCs w:val="24"/>
          <w:color w:val="auto"/>
        </w:rPr>
      </w:pPr>
    </w:p>
    <w:p>
      <w:pPr>
        <w:jc w:val="both"/>
        <w:spacing w:after="0" w:line="25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0" w:right="339" w:bottom="1440" w:gutter="0" w:footer="0" w:header="0"/>
        </w:sectPr>
      </w:pPr>
    </w:p>
    <w:p>
      <w:pPr>
        <w:spacing w:after="0" w:line="116" w:lineRule="exact"/>
        <w:rPr>
          <w:sz w:val="24"/>
          <w:szCs w:val="24"/>
          <w:color w:val="auto"/>
        </w:rPr>
      </w:pPr>
    </w:p>
    <w:p>
      <w:pPr>
        <w:ind w:left="20"/>
        <w:spacing w:after="0"/>
        <w:rPr>
          <w:sz w:val="20"/>
          <w:szCs w:val="20"/>
          <w:color w:val="auto"/>
        </w:rPr>
      </w:pPr>
      <w:r>
        <w:rPr>
          <w:rFonts w:ascii="Arial" w:cs="Arial" w:eastAsia="Arial" w:hAnsi="Arial"/>
          <w:sz w:val="11"/>
          <w:szCs w:val="11"/>
          <w:color w:val="auto"/>
        </w:rPr>
        <w:t>Large accelerated filer</w:t>
      </w:r>
    </w:p>
    <w:p>
      <w:pPr>
        <w:spacing w:after="0" w:line="54"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02"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19"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02"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Arial" w:cs="Arial" w:eastAsia="Arial" w:hAnsi="Arial"/>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59" w:lineRule="exact"/>
        <w:rPr>
          <w:sz w:val="24"/>
          <w:szCs w:val="24"/>
          <w:color w:val="auto"/>
        </w:rPr>
      </w:pPr>
    </w:p>
    <w:p>
      <w:pPr>
        <w:sectPr>
          <w:pgSz w:w="11900" w:h="16838" w:orient="portrait"/>
          <w:cols w:equalWidth="0" w:num="6">
            <w:col w:w="2380" w:space="720"/>
            <w:col w:w="120" w:space="540"/>
            <w:col w:w="2380" w:space="720"/>
            <w:col w:w="120" w:space="540"/>
            <w:col w:w="2360" w:space="720"/>
            <w:col w:w="640"/>
          </w:cols>
          <w:pgMar w:left="320" w:top="230" w:right="339" w:bottom="1440" w:gutter="0" w:footer="0" w:header="0"/>
          <w:type w:val="continuous"/>
        </w:sectPr>
      </w:pPr>
    </w:p>
    <w:p>
      <w:pPr>
        <w:spacing w:after="0" w:line="19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spacing w:after="0" w:line="161" w:lineRule="exact"/>
        <w:tabs>
          <w:tab w:leader="none" w:pos="5820" w:val="left"/>
          <w:tab w:leader="none" w:pos="64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2"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8, 2021, there were 65,677,361 shares of the registrant’s Class A common stock outstanding and 65,502,347 shares of Class V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551815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gridSpan w:val="10"/>
          </w:tcPr>
          <w:p>
            <w:pPr>
              <w:jc w:val="center"/>
              <w:ind w:right="2460"/>
              <w:spacing w:after="0"/>
              <w:rPr>
                <w:sz w:val="20"/>
                <w:szCs w:val="20"/>
                <w:color w:val="auto"/>
              </w:rPr>
            </w:pPr>
            <w:r>
              <w:rPr>
                <w:rFonts w:ascii="Arial" w:cs="Arial" w:eastAsia="Arial" w:hAnsi="Arial"/>
                <w:sz w:val="17"/>
                <w:szCs w:val="17"/>
                <w:b w:val="1"/>
                <w:bCs w:val="1"/>
                <w:color w:val="auto"/>
              </w:rPr>
              <w:t>WM TECHNOLOGY, INC.</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1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40" w:type="dxa"/>
            <w:vAlign w:val="bottom"/>
            <w:gridSpan w:val="10"/>
          </w:tcPr>
          <w:p>
            <w:pPr>
              <w:jc w:val="center"/>
              <w:ind w:right="2480"/>
              <w:spacing w:after="0"/>
              <w:rPr>
                <w:sz w:val="20"/>
                <w:szCs w:val="20"/>
                <w:color w:val="auto"/>
              </w:rPr>
            </w:pPr>
            <w:r>
              <w:rPr>
                <w:rFonts w:ascii="Arial" w:cs="Arial" w:eastAsia="Arial" w:hAnsi="Arial"/>
                <w:sz w:val="17"/>
                <w:szCs w:val="17"/>
                <w:b w:val="1"/>
                <w:bCs w:val="1"/>
                <w:color w:val="auto"/>
              </w:rPr>
              <w:t>TABLE OF CONTENTS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2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b w:val="1"/>
                <w:bCs w:val="1"/>
                <w:color w:val="auto"/>
              </w:rPr>
              <w:t>Page</w:t>
            </w:r>
          </w:p>
        </w:tc>
      </w:tr>
      <w:tr>
        <w:trPr>
          <w:trHeight w:val="42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60" w:type="dxa"/>
            <w:vAlign w:val="bottom"/>
            <w:gridSpan w:val="16"/>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Forward-Looking Statements</w:t>
              </w:r>
            </w:hyperlink>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360" w:type="dxa"/>
            <w:vAlign w:val="bottom"/>
            <w:gridSpan w:val="20"/>
          </w:tcPr>
          <w:p>
            <w:pPr>
              <w:spacing w:after="0"/>
              <w:rPr>
                <w:rFonts w:ascii="Arial" w:cs="Arial" w:eastAsia="Arial" w:hAnsi="Arial"/>
                <w:sz w:val="17"/>
                <w:szCs w:val="17"/>
                <w:b w:val="1"/>
                <w:bCs w:val="1"/>
                <w:color w:val="auto"/>
              </w:rPr>
            </w:pPr>
            <w:hyperlink w:anchor="page3">
              <w:r>
                <w:rPr>
                  <w:rFonts w:ascii="Arial" w:cs="Arial" w:eastAsia="Arial" w:hAnsi="Arial"/>
                  <w:sz w:val="17"/>
                  <w:szCs w:val="17"/>
                  <w:b w:val="1"/>
                  <w:bCs w:val="1"/>
                  <w:color w:val="auto"/>
                </w:rPr>
                <w:t>Part I - Financial Information</w:t>
              </w:r>
            </w:hyperlink>
          </w:p>
        </w:tc>
        <w:tc>
          <w:tcPr>
            <w:tcW w:w="500" w:type="dxa"/>
            <w:vAlign w:val="bottom"/>
            <w:gridSpan w:val="2"/>
          </w:tcPr>
          <w:p>
            <w:pPr>
              <w:jc w:val="center"/>
              <w:ind w:left="294"/>
              <w:spacing w:after="0"/>
              <w:rPr>
                <w:sz w:val="20"/>
                <w:szCs w:val="20"/>
                <w:color w:val="auto"/>
              </w:rPr>
            </w:pPr>
            <w:r>
              <w:rPr>
                <w:rFonts w:ascii="Arial" w:cs="Arial" w:eastAsia="Arial" w:hAnsi="Arial"/>
                <w:sz w:val="17"/>
                <w:szCs w:val="17"/>
                <w:color w:val="0000EE"/>
                <w:w w:val="84"/>
              </w:rPr>
              <w:t>2</w:t>
            </w:r>
          </w:p>
        </w:tc>
        <w:tc>
          <w:tcPr>
            <w:tcW w:w="3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Item 1.</w:t>
              </w:r>
            </w:hyperlink>
          </w:p>
        </w:tc>
        <w:tc>
          <w:tcPr>
            <w:tcW w:w="9260" w:type="dxa"/>
            <w:vAlign w:val="bottom"/>
            <w:gridSpan w:val="16"/>
          </w:tcPr>
          <w:p>
            <w:pPr>
              <w:spacing w:after="0"/>
              <w:rPr>
                <w:rFonts w:ascii="Arial" w:cs="Arial" w:eastAsia="Arial" w:hAnsi="Arial"/>
                <w:sz w:val="17"/>
                <w:szCs w:val="17"/>
                <w:color w:val="0000EE"/>
              </w:rPr>
            </w:pPr>
            <w:r>
              <w:rPr>
                <w:rFonts w:ascii="Arial" w:cs="Arial" w:eastAsia="Arial" w:hAnsi="Arial"/>
                <w:sz w:val="17"/>
                <w:szCs w:val="17"/>
                <w:color w:val="0000EE"/>
              </w:rPr>
              <w:t xml:space="preserve">Condensed Consolidated </w:t>
            </w:r>
            <w:hyperlink w:anchor="page4">
              <w:r>
                <w:rPr>
                  <w:rFonts w:ascii="Arial" w:cs="Arial" w:eastAsia="Arial" w:hAnsi="Arial"/>
                  <w:sz w:val="17"/>
                  <w:szCs w:val="17"/>
                  <w:color w:val="0000EE"/>
                </w:rPr>
                <w:t xml:space="preserve">Financial Statements </w:t>
              </w:r>
            </w:hyperlink>
            <w:r>
              <w:rPr>
                <w:rFonts w:ascii="Arial" w:cs="Arial" w:eastAsia="Arial" w:hAnsi="Arial"/>
                <w:sz w:val="17"/>
                <w:szCs w:val="17"/>
                <w:color w:val="0000EE"/>
              </w:rPr>
              <w:t>(Unaudited)</w:t>
            </w:r>
          </w:p>
        </w:tc>
        <w:tc>
          <w:tcPr>
            <w:tcW w:w="500" w:type="dxa"/>
            <w:vAlign w:val="bottom"/>
            <w:gridSpan w:val="2"/>
          </w:tcPr>
          <w:p>
            <w:pPr>
              <w:jc w:val="center"/>
              <w:ind w:left="294"/>
              <w:spacing w:after="0"/>
              <w:rPr>
                <w:rFonts w:ascii="Arial" w:cs="Arial" w:eastAsia="Arial" w:hAnsi="Arial"/>
                <w:sz w:val="17"/>
                <w:szCs w:val="17"/>
                <w:color w:val="0000EE"/>
                <w:w w:val="84"/>
              </w:rPr>
            </w:pPr>
            <w:hyperlink w:anchor="page4">
              <w:r>
                <w:rPr>
                  <w:rFonts w:ascii="Arial" w:cs="Arial" w:eastAsia="Arial" w:hAnsi="Arial"/>
                  <w:sz w:val="17"/>
                  <w:szCs w:val="17"/>
                  <w:color w:val="0000EE"/>
                  <w:w w:val="84"/>
                </w:rPr>
                <w:t>2</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60" w:type="dxa"/>
            <w:vAlign w:val="bottom"/>
            <w:gridSpan w:val="16"/>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 xml:space="preserve">Condensed Consolidated Balance </w:t>
              </w:r>
            </w:hyperlink>
            <w:r>
              <w:rPr>
                <w:rFonts w:ascii="Arial" w:cs="Arial" w:eastAsia="Arial" w:hAnsi="Arial"/>
                <w:sz w:val="17"/>
                <w:szCs w:val="17"/>
                <w:color w:val="0000EE"/>
              </w:rPr>
              <w:t>Sheets as of September 30, 2021 and December 31, 2020</w:t>
            </w:r>
          </w:p>
        </w:tc>
        <w:tc>
          <w:tcPr>
            <w:tcW w:w="500" w:type="dxa"/>
            <w:vAlign w:val="bottom"/>
            <w:gridSpan w:val="2"/>
          </w:tcPr>
          <w:p>
            <w:pPr>
              <w:jc w:val="center"/>
              <w:ind w:left="294"/>
              <w:spacing w:after="0"/>
              <w:rPr>
                <w:rFonts w:ascii="Arial" w:cs="Arial" w:eastAsia="Arial" w:hAnsi="Arial"/>
                <w:sz w:val="17"/>
                <w:szCs w:val="17"/>
                <w:color w:val="0000EE"/>
                <w:w w:val="84"/>
              </w:rPr>
            </w:pPr>
            <w:hyperlink w:anchor="page4">
              <w:r>
                <w:rPr>
                  <w:rFonts w:ascii="Arial" w:cs="Arial" w:eastAsia="Arial" w:hAnsi="Arial"/>
                  <w:sz w:val="17"/>
                  <w:szCs w:val="17"/>
                  <w:color w:val="0000EE"/>
                  <w:w w:val="84"/>
                </w:rPr>
                <w:t>3</w:t>
              </w:r>
            </w:hyperlink>
          </w:p>
        </w:tc>
        <w:tc>
          <w:tcPr>
            <w:tcW w:w="360" w:type="dxa"/>
            <w:vAlign w:val="bottom"/>
          </w:tcPr>
          <w:p>
            <w:pPr>
              <w:spacing w:after="0"/>
              <w:rPr>
                <w:sz w:val="18"/>
                <w:szCs w:val="18"/>
                <w:color w:val="auto"/>
              </w:rPr>
            </w:pPr>
          </w:p>
        </w:tc>
      </w:tr>
      <w:tr>
        <w:trPr>
          <w:trHeight w:val="26"/>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40" w:type="dxa"/>
            <w:vAlign w:val="bottom"/>
            <w:tcBorders>
              <w:left w:val="single" w:sz="8" w:color="0000EE"/>
            </w:tcBorders>
            <w:shd w:val="clear" w:color="auto" w:fill="0000EE"/>
          </w:tcPr>
          <w:p>
            <w:pPr>
              <w:spacing w:after="0"/>
              <w:rPr>
                <w:sz w:val="2"/>
                <w:szCs w:val="2"/>
                <w:color w:val="auto"/>
              </w:rPr>
            </w:pPr>
          </w:p>
        </w:tc>
        <w:tc>
          <w:tcPr>
            <w:tcW w:w="520" w:type="dxa"/>
            <w:vAlign w:val="bottom"/>
            <w:gridSpan w:val="2"/>
            <w:shd w:val="clear" w:color="auto" w:fill="0000EE"/>
          </w:tcPr>
          <w:p>
            <w:pPr>
              <w:spacing w:after="0"/>
              <w:rPr>
                <w:sz w:val="2"/>
                <w:szCs w:val="2"/>
                <w:color w:val="auto"/>
              </w:rPr>
            </w:pPr>
          </w:p>
        </w:tc>
        <w:tc>
          <w:tcPr>
            <w:tcW w:w="1600" w:type="dxa"/>
            <w:vAlign w:val="bottom"/>
            <w:shd w:val="clear" w:color="auto" w:fill="0000EE"/>
          </w:tcPr>
          <w:p>
            <w:pPr>
              <w:spacing w:after="0"/>
              <w:rPr>
                <w:sz w:val="2"/>
                <w:szCs w:val="2"/>
                <w:color w:val="auto"/>
              </w:rPr>
            </w:pPr>
          </w:p>
        </w:tc>
        <w:tc>
          <w:tcPr>
            <w:tcW w:w="340" w:type="dxa"/>
            <w:vAlign w:val="bottom"/>
            <w:gridSpan w:val="2"/>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9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360" w:type="dxa"/>
            <w:vAlign w:val="bottom"/>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60" w:type="dxa"/>
            <w:vAlign w:val="bottom"/>
            <w:gridSpan w:val="16"/>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 xml:space="preserve">Condensed Consolidated Statements of Income </w:t>
              </w:r>
            </w:hyperlink>
            <w:r>
              <w:rPr>
                <w:rFonts w:ascii="Arial" w:cs="Arial" w:eastAsia="Arial" w:hAnsi="Arial"/>
                <w:sz w:val="17"/>
                <w:szCs w:val="17"/>
                <w:color w:val="0000EE"/>
              </w:rPr>
              <w:t>for the Three and Nine Months Ended September 30, 2021 and 2020</w:t>
            </w:r>
          </w:p>
        </w:tc>
        <w:tc>
          <w:tcPr>
            <w:tcW w:w="500" w:type="dxa"/>
            <w:vAlign w:val="bottom"/>
            <w:gridSpan w:val="2"/>
          </w:tcPr>
          <w:p>
            <w:pPr>
              <w:jc w:val="center"/>
              <w:ind w:left="294"/>
              <w:spacing w:after="0"/>
              <w:rPr>
                <w:rFonts w:ascii="Arial" w:cs="Arial" w:eastAsia="Arial" w:hAnsi="Arial"/>
                <w:sz w:val="17"/>
                <w:szCs w:val="17"/>
                <w:color w:val="0000EE"/>
                <w:w w:val="84"/>
              </w:rPr>
            </w:pPr>
            <w:hyperlink w:anchor="page5">
              <w:r>
                <w:rPr>
                  <w:rFonts w:ascii="Arial" w:cs="Arial" w:eastAsia="Arial" w:hAnsi="Arial"/>
                  <w:sz w:val="17"/>
                  <w:szCs w:val="17"/>
                  <w:color w:val="0000EE"/>
                  <w:w w:val="84"/>
                </w:rPr>
                <w:t>4</w:t>
              </w:r>
            </w:hyperlink>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60" w:type="dxa"/>
            <w:vAlign w:val="bottom"/>
            <w:gridSpan w:val="16"/>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 xml:space="preserve">Condensed Consolidated Statements of Equity </w:t>
              </w:r>
            </w:hyperlink>
            <w:r>
              <w:rPr>
                <w:rFonts w:ascii="Arial" w:cs="Arial" w:eastAsia="Arial" w:hAnsi="Arial"/>
                <w:sz w:val="17"/>
                <w:szCs w:val="17"/>
                <w:color w:val="0000EE"/>
              </w:rPr>
              <w:t>for the Three and Nine Months Ended September 30, 2021 and 2020</w:t>
            </w:r>
          </w:p>
        </w:tc>
        <w:tc>
          <w:tcPr>
            <w:tcW w:w="500" w:type="dxa"/>
            <w:vAlign w:val="bottom"/>
            <w:gridSpan w:val="2"/>
          </w:tcPr>
          <w:p>
            <w:pPr>
              <w:jc w:val="center"/>
              <w:ind w:left="294"/>
              <w:spacing w:after="0"/>
              <w:rPr>
                <w:rFonts w:ascii="Arial" w:cs="Arial" w:eastAsia="Arial" w:hAnsi="Arial"/>
                <w:sz w:val="17"/>
                <w:szCs w:val="17"/>
                <w:color w:val="0000EE"/>
                <w:w w:val="84"/>
              </w:rPr>
            </w:pPr>
            <w:hyperlink w:anchor="page6">
              <w:r>
                <w:rPr>
                  <w:rFonts w:ascii="Arial" w:cs="Arial" w:eastAsia="Arial" w:hAnsi="Arial"/>
                  <w:sz w:val="17"/>
                  <w:szCs w:val="17"/>
                  <w:color w:val="0000EE"/>
                  <w:w w:val="84"/>
                </w:rPr>
                <w:t>5</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580" w:type="dxa"/>
            <w:vAlign w:val="bottom"/>
            <w:gridSpan w:val="13"/>
          </w:tcPr>
          <w:p>
            <w:pPr>
              <w:spacing w:after="0"/>
              <w:rPr>
                <w:rFonts w:ascii="Arial" w:cs="Arial" w:eastAsia="Arial" w:hAnsi="Arial"/>
                <w:sz w:val="17"/>
                <w:szCs w:val="17"/>
                <w:color w:val="0000EE"/>
                <w:w w:val="90"/>
              </w:rPr>
            </w:pPr>
            <w:hyperlink w:anchor="page8">
              <w:r>
                <w:rPr>
                  <w:rFonts w:ascii="Arial" w:cs="Arial" w:eastAsia="Arial" w:hAnsi="Arial"/>
                  <w:sz w:val="17"/>
                  <w:szCs w:val="17"/>
                  <w:color w:val="0000EE"/>
                  <w:w w:val="90"/>
                </w:rPr>
                <w:t xml:space="preserve">Condensed Consolidated Statements of Cash Flows </w:t>
              </w:r>
            </w:hyperlink>
            <w:r>
              <w:rPr>
                <w:rFonts w:ascii="Arial" w:cs="Arial" w:eastAsia="Arial" w:hAnsi="Arial"/>
                <w:sz w:val="17"/>
                <w:szCs w:val="17"/>
                <w:color w:val="0000EE"/>
                <w:w w:val="90"/>
              </w:rPr>
              <w:t>for the Nine Months Ended September 30, 2021 and 2020</w:t>
            </w:r>
          </w:p>
        </w:tc>
        <w:tc>
          <w:tcPr>
            <w:tcW w:w="3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500" w:type="dxa"/>
            <w:vAlign w:val="bottom"/>
            <w:gridSpan w:val="2"/>
          </w:tcPr>
          <w:p>
            <w:pPr>
              <w:jc w:val="center"/>
              <w:ind w:left="294"/>
              <w:spacing w:after="0"/>
              <w:rPr>
                <w:rFonts w:ascii="Arial" w:cs="Arial" w:eastAsia="Arial" w:hAnsi="Arial"/>
                <w:sz w:val="17"/>
                <w:szCs w:val="17"/>
                <w:color w:val="0000EE"/>
                <w:w w:val="84"/>
              </w:rPr>
            </w:pPr>
            <w:hyperlink w:anchor="page8">
              <w:r>
                <w:rPr>
                  <w:rFonts w:ascii="Arial" w:cs="Arial" w:eastAsia="Arial" w:hAnsi="Arial"/>
                  <w:sz w:val="17"/>
                  <w:szCs w:val="17"/>
                  <w:color w:val="0000EE"/>
                  <w:w w:val="84"/>
                </w:rPr>
                <w:t>7</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580" w:type="dxa"/>
            <w:vAlign w:val="bottom"/>
            <w:gridSpan w:val="13"/>
          </w:tcPr>
          <w:p>
            <w:pPr>
              <w:spacing w:after="0"/>
              <w:rPr>
                <w:rFonts w:ascii="Arial" w:cs="Arial" w:eastAsia="Arial" w:hAnsi="Arial"/>
                <w:sz w:val="17"/>
                <w:szCs w:val="17"/>
                <w:color w:val="0000EE"/>
              </w:rPr>
            </w:pPr>
            <w:hyperlink w:anchor="page9">
              <w:r>
                <w:rPr>
                  <w:rFonts w:ascii="Arial" w:cs="Arial" w:eastAsia="Arial" w:hAnsi="Arial"/>
                  <w:sz w:val="17"/>
                  <w:szCs w:val="17"/>
                  <w:color w:val="0000EE"/>
                </w:rPr>
                <w:t>Notes to Condensed Consolidated Financial Statements</w:t>
              </w:r>
            </w:hyperlink>
          </w:p>
        </w:tc>
        <w:tc>
          <w:tcPr>
            <w:tcW w:w="1680" w:type="dxa"/>
            <w:vAlign w:val="bottom"/>
            <w:gridSpan w:val="3"/>
          </w:tcPr>
          <w:p>
            <w:pPr>
              <w:spacing w:after="0"/>
              <w:rPr>
                <w:sz w:val="18"/>
                <w:szCs w:val="18"/>
                <w:color w:val="auto"/>
              </w:rPr>
            </w:pPr>
          </w:p>
        </w:tc>
        <w:tc>
          <w:tcPr>
            <w:tcW w:w="500" w:type="dxa"/>
            <w:vAlign w:val="bottom"/>
            <w:gridSpan w:val="2"/>
          </w:tcPr>
          <w:p>
            <w:pPr>
              <w:jc w:val="center"/>
              <w:ind w:left="294"/>
              <w:spacing w:after="0"/>
              <w:rPr>
                <w:rFonts w:ascii="Arial" w:cs="Arial" w:eastAsia="Arial" w:hAnsi="Arial"/>
                <w:sz w:val="17"/>
                <w:szCs w:val="17"/>
                <w:color w:val="0000EE"/>
                <w:w w:val="84"/>
              </w:rPr>
            </w:pPr>
            <w:hyperlink w:anchor="page9">
              <w:r>
                <w:rPr>
                  <w:rFonts w:ascii="Arial" w:cs="Arial" w:eastAsia="Arial" w:hAnsi="Arial"/>
                  <w:sz w:val="17"/>
                  <w:szCs w:val="17"/>
                  <w:color w:val="0000EE"/>
                  <w:w w:val="84"/>
                </w:rPr>
                <w:t>8</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2.</w:t>
              </w:r>
            </w:hyperlink>
          </w:p>
        </w:tc>
        <w:tc>
          <w:tcPr>
            <w:tcW w:w="9260" w:type="dxa"/>
            <w:vAlign w:val="bottom"/>
            <w:gridSpan w:val="16"/>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Management's Discussion and Analysis of Financial Condition and Results of Operations</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30">
              <w:r>
                <w:rPr>
                  <w:rFonts w:ascii="Arial" w:cs="Arial" w:eastAsia="Arial" w:hAnsi="Arial"/>
                  <w:sz w:val="17"/>
                  <w:szCs w:val="17"/>
                  <w:color w:val="0000EE"/>
                  <w:w w:val="94"/>
                </w:rPr>
                <w:t>29</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1100" w:type="dxa"/>
            <w:vAlign w:val="bottom"/>
            <w:gridSpan w:val="4"/>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Item 3.</w:t>
              </w:r>
            </w:hyperlink>
          </w:p>
        </w:tc>
        <w:tc>
          <w:tcPr>
            <w:tcW w:w="9260" w:type="dxa"/>
            <w:vAlign w:val="bottom"/>
            <w:gridSpan w:val="16"/>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Quantitative and Qualitative Disclosures About Market Risk</w:t>
              </w:r>
            </w:hyperlink>
          </w:p>
        </w:tc>
        <w:tc>
          <w:tcPr>
            <w:tcW w:w="420" w:type="dxa"/>
            <w:vAlign w:val="bottom"/>
          </w:tcPr>
          <w:p>
            <w:pPr>
              <w:spacing w:after="0"/>
              <w:rPr>
                <w:sz w:val="20"/>
                <w:szCs w:val="20"/>
                <w:color w:val="auto"/>
              </w:rPr>
            </w:pPr>
          </w:p>
        </w:tc>
        <w:tc>
          <w:tcPr>
            <w:tcW w:w="80" w:type="dxa"/>
            <w:vAlign w:val="bottom"/>
            <w:tcBorders>
              <w:bottom w:val="single" w:sz="8" w:color="0000EE"/>
            </w:tcBorders>
          </w:tcPr>
          <w:p>
            <w:pPr>
              <w:jc w:val="center"/>
              <w:spacing w:after="0"/>
              <w:rPr>
                <w:rFonts w:ascii="Arial" w:cs="Arial" w:eastAsia="Arial" w:hAnsi="Arial"/>
                <w:sz w:val="12"/>
                <w:szCs w:val="12"/>
                <w:color w:val="0000EE"/>
                <w:w w:val="74"/>
              </w:rPr>
            </w:pPr>
            <w:hyperlink w:anchor="page49">
              <w:r>
                <w:rPr>
                  <w:rFonts w:ascii="Arial" w:cs="Arial" w:eastAsia="Arial" w:hAnsi="Arial"/>
                  <w:sz w:val="12"/>
                  <w:szCs w:val="12"/>
                  <w:color w:val="0000EE"/>
                  <w:w w:val="74"/>
                </w:rPr>
                <w:t>47</w:t>
              </w:r>
            </w:hyperlink>
          </w:p>
        </w:tc>
        <w:tc>
          <w:tcPr>
            <w:tcW w:w="3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gridSpan w:val="4"/>
          </w:tcPr>
          <w:p>
            <w:pPr>
              <w:spacing w:after="0" w:line="172" w:lineRule="exact"/>
              <w:rPr>
                <w:rFonts w:ascii="Arial" w:cs="Arial" w:eastAsia="Arial" w:hAnsi="Arial"/>
                <w:sz w:val="17"/>
                <w:szCs w:val="17"/>
                <w:color w:val="0000EE"/>
              </w:rPr>
            </w:pPr>
            <w:hyperlink w:anchor="page49">
              <w:r>
                <w:rPr>
                  <w:rFonts w:ascii="Arial" w:cs="Arial" w:eastAsia="Arial" w:hAnsi="Arial"/>
                  <w:sz w:val="17"/>
                  <w:szCs w:val="17"/>
                  <w:color w:val="0000EE"/>
                </w:rPr>
                <w:t>Item 4.</w:t>
              </w:r>
            </w:hyperlink>
          </w:p>
        </w:tc>
        <w:tc>
          <w:tcPr>
            <w:tcW w:w="9260" w:type="dxa"/>
            <w:vAlign w:val="bottom"/>
            <w:gridSpan w:val="16"/>
          </w:tcPr>
          <w:p>
            <w:pPr>
              <w:spacing w:after="0" w:line="172" w:lineRule="exact"/>
              <w:rPr>
                <w:rFonts w:ascii="Arial" w:cs="Arial" w:eastAsia="Arial" w:hAnsi="Arial"/>
                <w:sz w:val="17"/>
                <w:szCs w:val="17"/>
                <w:color w:val="0000EE"/>
              </w:rPr>
            </w:pPr>
            <w:hyperlink w:anchor="page49">
              <w:r>
                <w:rPr>
                  <w:rFonts w:ascii="Arial" w:cs="Arial" w:eastAsia="Arial" w:hAnsi="Arial"/>
                  <w:sz w:val="17"/>
                  <w:szCs w:val="17"/>
                  <w:color w:val="0000EE"/>
                </w:rPr>
                <w:t>Controls and Procedures</w:t>
              </w:r>
            </w:hyperlink>
          </w:p>
        </w:tc>
        <w:tc>
          <w:tcPr>
            <w:tcW w:w="500" w:type="dxa"/>
            <w:vAlign w:val="bottom"/>
            <w:gridSpan w:val="2"/>
          </w:tcPr>
          <w:p>
            <w:pPr>
              <w:jc w:val="center"/>
              <w:ind w:left="234"/>
              <w:spacing w:after="0" w:line="172" w:lineRule="exact"/>
              <w:rPr>
                <w:rFonts w:ascii="Arial" w:cs="Arial" w:eastAsia="Arial" w:hAnsi="Arial"/>
                <w:sz w:val="17"/>
                <w:szCs w:val="17"/>
                <w:color w:val="0000EE"/>
                <w:w w:val="94"/>
              </w:rPr>
            </w:pPr>
            <w:hyperlink w:anchor="page49">
              <w:r>
                <w:rPr>
                  <w:rFonts w:ascii="Arial" w:cs="Arial" w:eastAsia="Arial" w:hAnsi="Arial"/>
                  <w:sz w:val="17"/>
                  <w:szCs w:val="17"/>
                  <w:color w:val="0000EE"/>
                  <w:w w:val="94"/>
                </w:rPr>
                <w:t>47</w:t>
              </w:r>
            </w:hyperlink>
          </w:p>
        </w:tc>
        <w:tc>
          <w:tcPr>
            <w:tcW w:w="3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360" w:type="dxa"/>
            <w:vAlign w:val="bottom"/>
            <w:gridSpan w:val="20"/>
          </w:tcPr>
          <w:p>
            <w:pPr>
              <w:spacing w:after="0"/>
              <w:rPr>
                <w:rFonts w:ascii="Arial" w:cs="Arial" w:eastAsia="Arial" w:hAnsi="Arial"/>
                <w:sz w:val="17"/>
                <w:szCs w:val="17"/>
                <w:b w:val="1"/>
                <w:bCs w:val="1"/>
                <w:color w:val="auto"/>
              </w:rPr>
            </w:pPr>
            <w:hyperlink w:anchor="page50">
              <w:r>
                <w:rPr>
                  <w:rFonts w:ascii="Arial" w:cs="Arial" w:eastAsia="Arial" w:hAnsi="Arial"/>
                  <w:sz w:val="17"/>
                  <w:szCs w:val="17"/>
                  <w:b w:val="1"/>
                  <w:bCs w:val="1"/>
                  <w:color w:val="auto"/>
                </w:rPr>
                <w:t>Part II - Other Information</w:t>
              </w:r>
            </w:hyperlink>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2"/>
                <w:szCs w:val="12"/>
                <w:color w:val="0000EE"/>
                <w:w w:val="74"/>
              </w:rPr>
            </w:pPr>
            <w:hyperlink w:anchor="page50">
              <w:r>
                <w:rPr>
                  <w:rFonts w:ascii="Arial" w:cs="Arial" w:eastAsia="Arial" w:hAnsi="Arial"/>
                  <w:sz w:val="12"/>
                  <w:szCs w:val="12"/>
                  <w:color w:val="0000EE"/>
                  <w:w w:val="74"/>
                </w:rPr>
                <w:t>49</w:t>
              </w:r>
            </w:hyperlink>
          </w:p>
        </w:tc>
        <w:tc>
          <w:tcPr>
            <w:tcW w:w="3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Item 1.</w:t>
              </w:r>
            </w:hyperlink>
          </w:p>
        </w:tc>
        <w:tc>
          <w:tcPr>
            <w:tcW w:w="9260" w:type="dxa"/>
            <w:vAlign w:val="bottom"/>
            <w:gridSpan w:val="16"/>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Legal Proceedings</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51">
              <w:r>
                <w:rPr>
                  <w:rFonts w:ascii="Arial" w:cs="Arial" w:eastAsia="Arial" w:hAnsi="Arial"/>
                  <w:sz w:val="17"/>
                  <w:szCs w:val="17"/>
                  <w:color w:val="0000EE"/>
                  <w:w w:val="94"/>
                </w:rPr>
                <w:t>49</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tcBorders>
              <w:bottom w:val="single" w:sz="8" w:color="0000EE"/>
            </w:tcBorders>
            <w:gridSpan w:val="2"/>
          </w:tcPr>
          <w:p>
            <w:pPr>
              <w:spacing w:after="0"/>
              <w:rPr>
                <w:rFonts w:ascii="Arial" w:cs="Arial" w:eastAsia="Arial" w:hAnsi="Arial"/>
                <w:sz w:val="17"/>
                <w:szCs w:val="17"/>
                <w:color w:val="0000EE"/>
                <w:w w:val="94"/>
              </w:rPr>
            </w:pPr>
            <w:hyperlink w:anchor="page51">
              <w:r>
                <w:rPr>
                  <w:rFonts w:ascii="Arial" w:cs="Arial" w:eastAsia="Arial" w:hAnsi="Arial"/>
                  <w:sz w:val="17"/>
                  <w:szCs w:val="17"/>
                  <w:color w:val="0000EE"/>
                  <w:w w:val="94"/>
                </w:rPr>
                <w:t>Item 1A.</w:t>
              </w:r>
            </w:hyperlink>
          </w:p>
        </w:tc>
        <w:tc>
          <w:tcPr>
            <w:tcW w:w="480" w:type="dxa"/>
            <w:vAlign w:val="bottom"/>
            <w:gridSpan w:val="2"/>
          </w:tcPr>
          <w:p>
            <w:pPr>
              <w:spacing w:after="0"/>
              <w:rPr>
                <w:sz w:val="18"/>
                <w:szCs w:val="18"/>
                <w:color w:val="auto"/>
              </w:rPr>
            </w:pPr>
          </w:p>
        </w:tc>
        <w:tc>
          <w:tcPr>
            <w:tcW w:w="880" w:type="dxa"/>
            <w:vAlign w:val="bottom"/>
            <w:tcBorders>
              <w:bottom w:val="single" w:sz="8" w:color="0000EE"/>
            </w:tcBorders>
            <w:gridSpan w:val="2"/>
          </w:tcPr>
          <w:p>
            <w:pPr>
              <w:spacing w:after="0"/>
              <w:rPr>
                <w:rFonts w:ascii="Arial" w:cs="Arial" w:eastAsia="Arial" w:hAnsi="Arial"/>
                <w:sz w:val="17"/>
                <w:szCs w:val="17"/>
                <w:color w:val="0000EE"/>
                <w:w w:val="90"/>
              </w:rPr>
            </w:pPr>
            <w:hyperlink w:anchor="page51">
              <w:r>
                <w:rPr>
                  <w:rFonts w:ascii="Arial" w:cs="Arial" w:eastAsia="Arial" w:hAnsi="Arial"/>
                  <w:sz w:val="17"/>
                  <w:szCs w:val="17"/>
                  <w:color w:val="0000EE"/>
                  <w:w w:val="90"/>
                </w:rPr>
                <w:t>Risk Factors</w:t>
              </w:r>
            </w:hyperlink>
          </w:p>
        </w:tc>
        <w:tc>
          <w:tcPr>
            <w:tcW w:w="8380" w:type="dxa"/>
            <w:vAlign w:val="bottom"/>
            <w:gridSpan w:val="14"/>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0000EE"/>
            </w:tcBorders>
          </w:tcPr>
          <w:p>
            <w:pPr>
              <w:jc w:val="center"/>
              <w:spacing w:after="0"/>
              <w:rPr>
                <w:rFonts w:ascii="Arial" w:cs="Arial" w:eastAsia="Arial" w:hAnsi="Arial"/>
                <w:sz w:val="12"/>
                <w:szCs w:val="12"/>
                <w:color w:val="0000EE"/>
                <w:w w:val="74"/>
              </w:rPr>
            </w:pPr>
            <w:hyperlink w:anchor="page51">
              <w:r>
                <w:rPr>
                  <w:rFonts w:ascii="Arial" w:cs="Arial" w:eastAsia="Arial" w:hAnsi="Arial"/>
                  <w:sz w:val="12"/>
                  <w:szCs w:val="12"/>
                  <w:color w:val="0000EE"/>
                  <w:w w:val="74"/>
                </w:rPr>
                <w:t>49</w:t>
              </w:r>
            </w:hyperlink>
          </w:p>
        </w:tc>
        <w:tc>
          <w:tcPr>
            <w:tcW w:w="3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Item 2.</w:t>
              </w:r>
            </w:hyperlink>
          </w:p>
        </w:tc>
        <w:tc>
          <w:tcPr>
            <w:tcW w:w="9260" w:type="dxa"/>
            <w:vAlign w:val="bottom"/>
            <w:gridSpan w:val="16"/>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Unregistered Sales of Equity Securities and Use of Proceeds</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51">
              <w:r>
                <w:rPr>
                  <w:rFonts w:ascii="Arial" w:cs="Arial" w:eastAsia="Arial" w:hAnsi="Arial"/>
                  <w:sz w:val="17"/>
                  <w:szCs w:val="17"/>
                  <w:color w:val="0000EE"/>
                  <w:w w:val="94"/>
                </w:rPr>
                <w:t>49</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Item 3.</w:t>
              </w:r>
            </w:hyperlink>
          </w:p>
        </w:tc>
        <w:tc>
          <w:tcPr>
            <w:tcW w:w="9260" w:type="dxa"/>
            <w:vAlign w:val="bottom"/>
            <w:gridSpan w:val="16"/>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Defaults Upon Senior Securities</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52">
              <w:r>
                <w:rPr>
                  <w:rFonts w:ascii="Arial" w:cs="Arial" w:eastAsia="Arial" w:hAnsi="Arial"/>
                  <w:sz w:val="17"/>
                  <w:szCs w:val="17"/>
                  <w:color w:val="0000EE"/>
                  <w:w w:val="94"/>
                </w:rPr>
                <w:t>50</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7040" w:type="dxa"/>
            <w:vAlign w:val="bottom"/>
            <w:gridSpan w:val="10"/>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Item 4.</w:t>
              </w:r>
            </w:hyperlink>
          </w:p>
        </w:tc>
        <w:tc>
          <w:tcPr>
            <w:tcW w:w="9260" w:type="dxa"/>
            <w:vAlign w:val="bottom"/>
            <w:gridSpan w:val="16"/>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Mine Safety Disclosures</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52">
              <w:r>
                <w:rPr>
                  <w:rFonts w:ascii="Arial" w:cs="Arial" w:eastAsia="Arial" w:hAnsi="Arial"/>
                  <w:sz w:val="17"/>
                  <w:szCs w:val="17"/>
                  <w:color w:val="0000EE"/>
                  <w:w w:val="94"/>
                </w:rPr>
                <w:t>50</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560" w:type="dxa"/>
            <w:vAlign w:val="bottom"/>
            <w:gridSpan w:val="1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Item 5.</w:t>
              </w:r>
            </w:hyperlink>
          </w:p>
        </w:tc>
        <w:tc>
          <w:tcPr>
            <w:tcW w:w="9260" w:type="dxa"/>
            <w:vAlign w:val="bottom"/>
            <w:gridSpan w:val="16"/>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Other Information</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52">
              <w:r>
                <w:rPr>
                  <w:rFonts w:ascii="Arial" w:cs="Arial" w:eastAsia="Arial" w:hAnsi="Arial"/>
                  <w:sz w:val="17"/>
                  <w:szCs w:val="17"/>
                  <w:color w:val="0000EE"/>
                  <w:w w:val="94"/>
                </w:rPr>
                <w:t>50</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Item 6.</w:t>
              </w:r>
            </w:hyperlink>
          </w:p>
        </w:tc>
        <w:tc>
          <w:tcPr>
            <w:tcW w:w="9260" w:type="dxa"/>
            <w:vAlign w:val="bottom"/>
            <w:gridSpan w:val="16"/>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Exhibits</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52">
              <w:r>
                <w:rPr>
                  <w:rFonts w:ascii="Arial" w:cs="Arial" w:eastAsia="Arial" w:hAnsi="Arial"/>
                  <w:sz w:val="17"/>
                  <w:szCs w:val="17"/>
                  <w:color w:val="0000EE"/>
                  <w:w w:val="94"/>
                </w:rPr>
                <w:t>51</w:t>
              </w:r>
            </w:hyperlink>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Signatures</w:t>
              </w:r>
            </w:hyperlink>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gridSpan w:val="2"/>
          </w:tcPr>
          <w:p>
            <w:pPr>
              <w:jc w:val="center"/>
              <w:ind w:left="234"/>
              <w:spacing w:after="0"/>
              <w:rPr>
                <w:rFonts w:ascii="Arial" w:cs="Arial" w:eastAsia="Arial" w:hAnsi="Arial"/>
                <w:sz w:val="17"/>
                <w:szCs w:val="17"/>
                <w:color w:val="0000EE"/>
                <w:w w:val="94"/>
              </w:rPr>
            </w:pPr>
            <w:hyperlink w:anchor="page53">
              <w:r>
                <w:rPr>
                  <w:rFonts w:ascii="Arial" w:cs="Arial" w:eastAsia="Arial" w:hAnsi="Arial"/>
                  <w:sz w:val="17"/>
                  <w:szCs w:val="17"/>
                  <w:color w:val="0000EE"/>
                  <w:w w:val="94"/>
                </w:rPr>
                <w:t>52</w:t>
              </w:r>
            </w:hyperlink>
          </w:p>
        </w:tc>
        <w:tc>
          <w:tcPr>
            <w:tcW w:w="360" w:type="dxa"/>
            <w:vAlign w:val="bottom"/>
          </w:tcPr>
          <w:p>
            <w:pPr>
              <w:spacing w:after="0"/>
              <w:rPr>
                <w:sz w:val="18"/>
                <w:szCs w:val="18"/>
                <w:color w:val="auto"/>
              </w:rPr>
            </w:pPr>
          </w:p>
        </w:tc>
      </w:tr>
      <w:tr>
        <w:trPr>
          <w:trHeight w:val="1004"/>
        </w:trPr>
        <w:tc>
          <w:tcPr>
            <w:tcW w:w="20" w:type="dxa"/>
            <w:vAlign w:val="bottom"/>
            <w:tcBorders>
              <w:bottom w:val="single" w:sz="8" w:color="9A9A9A"/>
            </w:tcBorders>
          </w:tcPr>
          <w:p>
            <w:pPr>
              <w:spacing w:after="0"/>
              <w:rPr>
                <w:sz w:val="24"/>
                <w:szCs w:val="24"/>
                <w:color w:val="auto"/>
              </w:rPr>
            </w:pPr>
          </w:p>
        </w:tc>
        <w:tc>
          <w:tcPr>
            <w:tcW w:w="48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23" w:lineRule="exact"/>
        <w:rPr>
          <w:sz w:val="20"/>
          <w:szCs w:val="20"/>
          <w:color w:val="auto"/>
        </w:rPr>
      </w:pPr>
    </w:p>
    <w:p>
      <w:pPr>
        <w:jc w:val="both"/>
        <w:ind w:firstLine="344"/>
        <w:spacing w:after="0" w:line="22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195" w:lineRule="exact"/>
        <w:rPr>
          <w:sz w:val="20"/>
          <w:szCs w:val="20"/>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financial and business performance, including key business metrics and any underlying assumptions thereunder;</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market opportunity and our ability to acquire new customers and retain existing customers;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and timing related to commercial product launches;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success of our go-to-market strategy;</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scale our business and expand our offerings;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competitive advantages and growth strategies;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future capital requirements and sources and uses of cash;</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obtain funding for our future operations;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outcome of any known and unknown litigation and regulatory proceedings;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domestic and foreign business, market, financial, political and legal conditions;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future global, regional or local economic and market conditions affecting the cannabis industry;</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development, effects and enforcement of and changes to laws and regulations, including with respect to the cannabis industry;</w:t>
      </w:r>
    </w:p>
    <w:p>
      <w:pPr>
        <w:ind w:left="620" w:hanging="307"/>
        <w:spacing w:after="0"/>
        <w:tabs>
          <w:tab w:leader="none" w:pos="62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successfully capitalize on new and existing cannabis markets, including our ability to successfully monetize our solutions in those markets;</w:t>
      </w:r>
    </w:p>
    <w:p>
      <w:pPr>
        <w:spacing w:after="0" w:line="8" w:lineRule="exact"/>
        <w:rPr>
          <w:rFonts w:ascii="Arial" w:cs="Arial" w:eastAsia="Arial" w:hAnsi="Arial"/>
          <w:sz w:val="15"/>
          <w:szCs w:val="15"/>
          <w:color w:val="auto"/>
        </w:rPr>
      </w:pP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manage future growth;</w:t>
      </w:r>
    </w:p>
    <w:p>
      <w:pPr>
        <w:ind w:left="620" w:hanging="307"/>
        <w:spacing w:after="0" w:line="221" w:lineRule="auto"/>
        <w:tabs>
          <w:tab w:leader="none" w:pos="616"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effects of competition on our future business;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success in retaining or recruiting, or changes required in, officers, key employees or directors;</w:t>
      </w:r>
    </w:p>
    <w:p>
      <w:pPr>
        <w:ind w:left="620" w:hanging="307"/>
        <w:spacing w:after="0" w:line="221" w:lineRule="auto"/>
        <w:tabs>
          <w:tab w:leader="none" w:pos="616" w:val="left"/>
        </w:tabs>
        <w:numPr>
          <w:ilvl w:val="0"/>
          <w:numId w:val="1"/>
        </w:numPr>
        <w:rPr>
          <w:rFonts w:ascii="Arial" w:cs="Arial" w:eastAsia="Arial" w:hAnsi="Arial"/>
          <w:sz w:val="17"/>
          <w:szCs w:val="17"/>
          <w:color w:val="auto"/>
        </w:rPr>
      </w:pPr>
      <w:r>
        <w:rPr>
          <w:rFonts w:ascii="Arial" w:cs="Arial" w:eastAsia="Arial" w:hAnsi="Arial"/>
          <w:sz w:val="17"/>
          <w:szCs w:val="17"/>
          <w:color w:val="auto"/>
        </w:rPr>
        <w:t>that we have identified a material weakness in our internal control over financial reporting which, if not corrected, could affect the reliability of our consolidated financial statements; and</w:t>
      </w: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possibility that we may be adversely affected by other economic, business or competitive factors.</w:t>
      </w:r>
    </w:p>
    <w:p>
      <w:pPr>
        <w:spacing w:after="0" w:line="203" w:lineRule="exact"/>
        <w:rPr>
          <w:sz w:val="20"/>
          <w:szCs w:val="20"/>
          <w:color w:val="auto"/>
        </w:rPr>
      </w:pPr>
    </w:p>
    <w:p>
      <w:pPr>
        <w:jc w:val="both"/>
        <w:ind w:firstLine="344"/>
        <w:spacing w:after="0" w:line="227"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included in our Quarterly Report on Form 10-Q filed with the SEC on August 13, 2021.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97" w:lineRule="exact"/>
        <w:rPr>
          <w:sz w:val="20"/>
          <w:szCs w:val="20"/>
          <w:color w:val="auto"/>
        </w:rPr>
      </w:pPr>
    </w:p>
    <w:p>
      <w:pPr>
        <w:jc w:val="both"/>
        <w:ind w:firstLine="344"/>
        <w:spacing w:after="0" w:line="249"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90" w:lineRule="exact"/>
        <w:rPr>
          <w:sz w:val="20"/>
          <w:szCs w:val="20"/>
          <w:color w:val="auto"/>
        </w:rPr>
      </w:pPr>
    </w:p>
    <w:p>
      <w:pPr>
        <w:jc w:val="both"/>
        <w:ind w:firstLine="344"/>
        <w:spacing w:after="0" w:line="246"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534035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11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384" w:lineRule="exact"/>
        <w:rPr>
          <w:sz w:val="20"/>
          <w:szCs w:val="20"/>
          <w:color w:val="auto"/>
        </w:rPr>
      </w:pPr>
    </w:p>
    <w:p>
      <w:pPr>
        <w:jc w:val="right"/>
        <w:ind w:right="44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724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4"/>
        </w:trPr>
        <w:tc>
          <w:tcPr>
            <w:tcW w:w="1220" w:type="dxa"/>
            <w:vAlign w:val="bottom"/>
            <w:tcBorders>
              <w:top w:val="single" w:sz="8" w:color="0000FF"/>
            </w:tcBorders>
          </w:tcPr>
          <w:p>
            <w:pPr>
              <w:spacing w:after="0"/>
              <w:rPr>
                <w:sz w:val="24"/>
                <w:szCs w:val="24"/>
                <w:color w:val="auto"/>
              </w:rPr>
            </w:pPr>
          </w:p>
        </w:tc>
        <w:tc>
          <w:tcPr>
            <w:tcW w:w="6280" w:type="dxa"/>
            <w:vAlign w:val="bottom"/>
            <w:gridSpan w:val="2"/>
          </w:tcPr>
          <w:p>
            <w:pPr>
              <w:jc w:val="center"/>
              <w:ind w:left="2434"/>
              <w:spacing w:after="0"/>
              <w:rPr>
                <w:sz w:val="20"/>
                <w:szCs w:val="20"/>
                <w:color w:val="auto"/>
              </w:rPr>
            </w:pPr>
            <w:r>
              <w:rPr>
                <w:rFonts w:ascii="Arial" w:cs="Arial" w:eastAsia="Arial" w:hAnsi="Arial"/>
                <w:sz w:val="17"/>
                <w:szCs w:val="17"/>
                <w:b w:val="1"/>
                <w:bCs w:val="1"/>
                <w:color w:val="auto"/>
              </w:rPr>
              <w:t>WM TECHNOLOGY, INC. AND SUBSIDIARIES</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8060" w:type="dxa"/>
            <w:vAlign w:val="bottom"/>
            <w:gridSpan w:val="4"/>
          </w:tcPr>
          <w:p>
            <w:pPr>
              <w:jc w:val="center"/>
              <w:ind w:left="674"/>
              <w:spacing w:after="0"/>
              <w:rPr>
                <w:sz w:val="20"/>
                <w:szCs w:val="20"/>
                <w:color w:val="auto"/>
              </w:rPr>
            </w:pPr>
            <w:r>
              <w:rPr>
                <w:rFonts w:ascii="Arial" w:cs="Arial" w:eastAsia="Arial" w:hAnsi="Arial"/>
                <w:sz w:val="17"/>
                <w:szCs w:val="17"/>
                <w:b w:val="1"/>
                <w:bCs w:val="1"/>
                <w:color w:val="auto"/>
              </w:rPr>
              <w:t>CONDENSED CONSOLIDATED BALANCE SHEETS</w:t>
            </w: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6020" w:type="dxa"/>
            <w:vAlign w:val="bottom"/>
          </w:tcPr>
          <w:p>
            <w:pPr>
              <w:jc w:val="center"/>
              <w:ind w:left="2694"/>
              <w:spacing w:after="0"/>
              <w:rPr>
                <w:sz w:val="20"/>
                <w:szCs w:val="20"/>
                <w:color w:val="auto"/>
              </w:rPr>
            </w:pPr>
            <w:r>
              <w:rPr>
                <w:rFonts w:ascii="Arial" w:cs="Arial" w:eastAsia="Arial" w:hAnsi="Arial"/>
                <w:sz w:val="17"/>
                <w:szCs w:val="17"/>
                <w:b w:val="1"/>
                <w:bCs w:val="1"/>
                <w:color w:val="auto"/>
                <w:w w:val="93"/>
              </w:rPr>
              <w:t>(Unaudited)</w:t>
            </w: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6020" w:type="dxa"/>
            <w:vAlign w:val="bottom"/>
          </w:tcPr>
          <w:p>
            <w:pPr>
              <w:jc w:val="center"/>
              <w:ind w:left="2694"/>
              <w:spacing w:after="0"/>
              <w:rPr>
                <w:sz w:val="20"/>
                <w:szCs w:val="20"/>
                <w:color w:val="auto"/>
              </w:rPr>
            </w:pPr>
            <w:r>
              <w:rPr>
                <w:rFonts w:ascii="Arial" w:cs="Arial" w:eastAsia="Arial" w:hAnsi="Arial"/>
                <w:sz w:val="17"/>
                <w:szCs w:val="17"/>
                <w:b w:val="1"/>
                <w:bCs w:val="1"/>
                <w:color w:val="auto"/>
                <w:w w:val="90"/>
              </w:rPr>
              <w:t>(In thousands, except for share data)</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12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7"/>
                <w:szCs w:val="17"/>
                <w:b w:val="1"/>
                <w:bCs w:val="1"/>
                <w:color w:val="auto"/>
              </w:rPr>
              <w:t>September 30, 2021</w:t>
            </w:r>
          </w:p>
        </w:tc>
        <w:tc>
          <w:tcPr>
            <w:tcW w:w="200" w:type="dxa"/>
            <w:vAlign w:val="bottom"/>
          </w:tcPr>
          <w:p>
            <w:pPr>
              <w:spacing w:after="0"/>
              <w:rPr>
                <w:sz w:val="24"/>
                <w:szCs w:val="24"/>
                <w:color w:val="auto"/>
              </w:rPr>
            </w:pPr>
          </w:p>
        </w:tc>
        <w:tc>
          <w:tcPr>
            <w:tcW w:w="1760" w:type="dxa"/>
            <w:vAlign w:val="bottom"/>
          </w:tcPr>
          <w:p>
            <w:pPr>
              <w:jc w:val="right"/>
              <w:ind w:right="194"/>
              <w:spacing w:after="0"/>
              <w:rPr>
                <w:sz w:val="20"/>
                <w:szCs w:val="20"/>
                <w:color w:val="auto"/>
              </w:rPr>
            </w:pPr>
            <w:r>
              <w:rPr>
                <w:rFonts w:ascii="Arial" w:cs="Arial" w:eastAsia="Arial" w:hAnsi="Arial"/>
                <w:sz w:val="17"/>
                <w:szCs w:val="17"/>
                <w:b w:val="1"/>
                <w:bCs w:val="1"/>
                <w:color w:val="auto"/>
                <w:w w:val="95"/>
              </w:rPr>
              <w:t>December 31, 2020</w:t>
            </w:r>
          </w:p>
        </w:tc>
        <w:tc>
          <w:tcPr>
            <w:tcW w:w="0" w:type="dxa"/>
            <w:vAlign w:val="bottom"/>
          </w:tcPr>
          <w:p>
            <w:pPr>
              <w:spacing w:after="0"/>
              <w:rPr>
                <w:sz w:val="1"/>
                <w:szCs w:val="1"/>
                <w:color w:val="auto"/>
              </w:rPr>
            </w:pPr>
          </w:p>
        </w:tc>
      </w:tr>
      <w:tr>
        <w:trPr>
          <w:trHeight w:val="200"/>
        </w:trPr>
        <w:tc>
          <w:tcPr>
            <w:tcW w:w="7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Cash</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19,919</w:t>
            </w:r>
          </w:p>
        </w:tc>
        <w:tc>
          <w:tcPr>
            <w:tcW w:w="0" w:type="dxa"/>
            <w:vAlign w:val="bottom"/>
          </w:tcPr>
          <w:p>
            <w:pPr>
              <w:spacing w:after="0"/>
              <w:rPr>
                <w:sz w:val="1"/>
                <w:szCs w:val="1"/>
                <w:color w:val="auto"/>
              </w:rPr>
            </w:pPr>
          </w:p>
        </w:tc>
      </w:tr>
      <w:tr>
        <w:trPr>
          <w:trHeight w:val="218"/>
        </w:trPr>
        <w:tc>
          <w:tcPr>
            <w:tcW w:w="7240" w:type="dxa"/>
            <w:vAlign w:val="bottom"/>
            <w:gridSpan w:val="2"/>
          </w:tcPr>
          <w:p>
            <w:pPr>
              <w:ind w:left="220"/>
              <w:spacing w:after="0"/>
              <w:rPr>
                <w:sz w:val="20"/>
                <w:szCs w:val="20"/>
                <w:color w:val="auto"/>
              </w:rPr>
            </w:pPr>
            <w:r>
              <w:rPr>
                <w:rFonts w:ascii="Arial" w:cs="Arial" w:eastAsia="Arial" w:hAnsi="Arial"/>
                <w:sz w:val="17"/>
                <w:szCs w:val="17"/>
                <w:color w:val="auto"/>
              </w:rPr>
              <w:t>Accounts receivable, net</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12,784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9,428</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15,338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4,820</w:t>
            </w:r>
          </w:p>
        </w:tc>
        <w:tc>
          <w:tcPr>
            <w:tcW w:w="0" w:type="dxa"/>
            <w:vAlign w:val="bottom"/>
          </w:tcPr>
          <w:p>
            <w:pPr>
              <w:spacing w:after="0"/>
              <w:rPr>
                <w:sz w:val="1"/>
                <w:szCs w:val="1"/>
                <w:color w:val="auto"/>
              </w:rPr>
            </w:pPr>
          </w:p>
        </w:tc>
      </w:tr>
      <w:tr>
        <w:trPr>
          <w:trHeight w:val="211"/>
        </w:trPr>
        <w:tc>
          <w:tcPr>
            <w:tcW w:w="7240" w:type="dxa"/>
            <w:vAlign w:val="bottom"/>
            <w:gridSpan w:val="2"/>
          </w:tcPr>
          <w:p>
            <w:pPr>
              <w:ind w:left="320"/>
              <w:spacing w:after="0"/>
              <w:rPr>
                <w:sz w:val="20"/>
                <w:szCs w:val="20"/>
                <w:color w:val="auto"/>
              </w:rPr>
            </w:pPr>
            <w:r>
              <w:rPr>
                <w:rFonts w:ascii="Arial" w:cs="Arial" w:eastAsia="Arial" w:hAnsi="Arial"/>
                <w:sz w:val="17"/>
                <w:szCs w:val="17"/>
                <w:color w:val="auto"/>
              </w:rPr>
              <w:t>Total current assets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106,057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34,167</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7,387</w:t>
            </w:r>
          </w:p>
        </w:tc>
        <w:tc>
          <w:tcPr>
            <w:tcW w:w="0" w:type="dxa"/>
            <w:vAlign w:val="bottom"/>
          </w:tcPr>
          <w:p>
            <w:pPr>
              <w:spacing w:after="0"/>
              <w:rPr>
                <w:sz w:val="1"/>
                <w:szCs w:val="1"/>
                <w:color w:val="auto"/>
              </w:rPr>
            </w:pPr>
          </w:p>
        </w:tc>
      </w:tr>
      <w:tr>
        <w:trPr>
          <w:trHeight w:val="218"/>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Goodwill</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45,658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3,961</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4,505</w:t>
            </w:r>
          </w:p>
        </w:tc>
        <w:tc>
          <w:tcPr>
            <w:tcW w:w="0" w:type="dxa"/>
            <w:vAlign w:val="bottom"/>
          </w:tcPr>
          <w:p>
            <w:pPr>
              <w:spacing w:after="0"/>
              <w:rPr>
                <w:sz w:val="1"/>
                <w:szCs w:val="1"/>
                <w:color w:val="auto"/>
              </w:rPr>
            </w:pPr>
          </w:p>
        </w:tc>
      </w:tr>
      <w:tr>
        <w:trPr>
          <w:trHeight w:val="218"/>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Right-of-use assets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37,673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assets</w:t>
            </w: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3,874</w:t>
            </w:r>
          </w:p>
        </w:tc>
        <w:tc>
          <w:tcPr>
            <w:tcW w:w="0" w:type="dxa"/>
            <w:vAlign w:val="bottom"/>
          </w:tcPr>
          <w:p>
            <w:pPr>
              <w:spacing w:after="0"/>
              <w:rPr>
                <w:sz w:val="1"/>
                <w:szCs w:val="1"/>
                <w:color w:val="auto"/>
              </w:rPr>
            </w:pPr>
          </w:p>
        </w:tc>
      </w:tr>
      <w:tr>
        <w:trPr>
          <w:trHeight w:val="238"/>
        </w:trPr>
        <w:tc>
          <w:tcPr>
            <w:tcW w:w="72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362,624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53,894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40" w:type="dxa"/>
            <w:vAlign w:val="bottom"/>
            <w:gridSpan w:val="2"/>
          </w:tcPr>
          <w:p>
            <w:pPr>
              <w:ind w:left="220"/>
              <w:spacing w:after="0"/>
              <w:rPr>
                <w:sz w:val="20"/>
                <w:szCs w:val="20"/>
                <w:color w:val="auto"/>
              </w:rPr>
            </w:pPr>
            <w:r>
              <w:rPr>
                <w:rFonts w:ascii="Arial" w:cs="Arial" w:eastAsia="Arial" w:hAnsi="Arial"/>
                <w:sz w:val="17"/>
                <w:szCs w:val="17"/>
                <w:color w:val="auto"/>
              </w:rPr>
              <w:t>Accounts payable and accrued expenses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23,881</w:t>
            </w:r>
          </w:p>
        </w:tc>
        <w:tc>
          <w:tcPr>
            <w:tcW w:w="8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12,651</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5,264</w:t>
            </w:r>
          </w:p>
        </w:tc>
        <w:tc>
          <w:tcPr>
            <w:tcW w:w="0" w:type="dxa"/>
            <w:vAlign w:val="bottom"/>
          </w:tcPr>
          <w:p>
            <w:pPr>
              <w:spacing w:after="0"/>
              <w:rPr>
                <w:sz w:val="1"/>
                <w:szCs w:val="1"/>
                <w:color w:val="auto"/>
              </w:rPr>
            </w:pPr>
          </w:p>
        </w:tc>
      </w:tr>
      <w:tr>
        <w:trPr>
          <w:trHeight w:val="218"/>
        </w:trPr>
        <w:tc>
          <w:tcPr>
            <w:tcW w:w="7240" w:type="dxa"/>
            <w:vAlign w:val="bottom"/>
            <w:gridSpan w:val="2"/>
          </w:tcPr>
          <w:p>
            <w:pPr>
              <w:ind w:left="220"/>
              <w:spacing w:after="0"/>
              <w:rPr>
                <w:sz w:val="20"/>
                <w:szCs w:val="20"/>
                <w:color w:val="auto"/>
              </w:rPr>
            </w:pPr>
            <w:r>
              <w:rPr>
                <w:rFonts w:ascii="Arial" w:cs="Arial" w:eastAsia="Arial" w:hAnsi="Arial"/>
                <w:sz w:val="17"/>
                <w:szCs w:val="17"/>
                <w:color w:val="auto"/>
              </w:rPr>
              <w:t>Deferred rent</w:t>
            </w:r>
          </w:p>
        </w:tc>
        <w:tc>
          <w:tcPr>
            <w:tcW w:w="26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5,129</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Operating lease liabilities, current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240" w:type="dxa"/>
            <w:vAlign w:val="bottom"/>
            <w:gridSpan w:val="2"/>
          </w:tcPr>
          <w:p>
            <w:pPr>
              <w:ind w:left="220"/>
              <w:spacing w:after="0"/>
              <w:rPr>
                <w:sz w:val="20"/>
                <w:szCs w:val="20"/>
                <w:color w:val="auto"/>
              </w:rPr>
            </w:pPr>
            <w:r>
              <w:rPr>
                <w:rFonts w:ascii="Arial" w:cs="Arial" w:eastAsia="Arial" w:hAnsi="Arial"/>
                <w:sz w:val="17"/>
                <w:szCs w:val="17"/>
                <w:color w:val="auto"/>
              </w:rPr>
              <w:t>Notes payable to members</w:t>
            </w:r>
          </w:p>
        </w:tc>
        <w:tc>
          <w:tcPr>
            <w:tcW w:w="26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7240" w:type="dxa"/>
            <w:vAlign w:val="bottom"/>
            <w:gridSpan w:val="2"/>
          </w:tcPr>
          <w:p>
            <w:pPr>
              <w:ind w:left="320"/>
              <w:spacing w:after="0"/>
              <w:rPr>
                <w:sz w:val="20"/>
                <w:szCs w:val="20"/>
                <w:color w:val="auto"/>
              </w:rPr>
            </w:pPr>
            <w:r>
              <w:rPr>
                <w:rFonts w:ascii="Arial" w:cs="Arial" w:eastAsia="Arial" w:hAnsi="Arial"/>
                <w:sz w:val="17"/>
                <w:szCs w:val="17"/>
                <w:color w:val="auto"/>
              </w:rPr>
              <w:t>Total current liabilities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37,896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23,249</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liabilities, non-current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Tax receivable agreement liability</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126,150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Warrant liability</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Other long-term liabilities</w:t>
            </w:r>
          </w:p>
        </w:tc>
        <w:tc>
          <w:tcPr>
            <w:tcW w:w="26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1,374</w:t>
            </w:r>
          </w:p>
        </w:tc>
        <w:tc>
          <w:tcPr>
            <w:tcW w:w="0" w:type="dxa"/>
            <w:vAlign w:val="bottom"/>
          </w:tcPr>
          <w:p>
            <w:pPr>
              <w:spacing w:after="0"/>
              <w:rPr>
                <w:sz w:val="1"/>
                <w:szCs w:val="1"/>
                <w:color w:val="auto"/>
              </w:rPr>
            </w:pPr>
          </w:p>
        </w:tc>
      </w:tr>
      <w:tr>
        <w:trPr>
          <w:trHeight w:val="213"/>
        </w:trPr>
        <w:tc>
          <w:tcPr>
            <w:tcW w:w="724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Total liabilities</w:t>
            </w:r>
          </w:p>
        </w:tc>
        <w:tc>
          <w:tcPr>
            <w:tcW w:w="2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315,209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24,623</w:t>
            </w:r>
          </w:p>
        </w:tc>
        <w:tc>
          <w:tcPr>
            <w:tcW w:w="0" w:type="dxa"/>
            <w:vAlign w:val="bottom"/>
          </w:tcPr>
          <w:p>
            <w:pPr>
              <w:spacing w:after="0"/>
              <w:rPr>
                <w:sz w:val="1"/>
                <w:szCs w:val="1"/>
                <w:color w:val="auto"/>
              </w:rPr>
            </w:pPr>
          </w:p>
        </w:tc>
      </w:tr>
      <w:tr>
        <w:trPr>
          <w:trHeight w:val="218"/>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Commitments and contingencies (Note 4)</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Stockholders’ equity/Members’ equity</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240" w:type="dxa"/>
            <w:vAlign w:val="bottom"/>
            <w:gridSpan w:val="2"/>
          </w:tcPr>
          <w:p>
            <w:pPr>
              <w:ind w:left="180"/>
              <w:spacing w:after="0" w:line="168" w:lineRule="exact"/>
              <w:rPr>
                <w:sz w:val="20"/>
                <w:szCs w:val="20"/>
                <w:color w:val="auto"/>
              </w:rPr>
            </w:pPr>
            <w:r>
              <w:rPr>
                <w:rFonts w:ascii="Arial" w:cs="Arial" w:eastAsia="Arial" w:hAnsi="Arial"/>
                <w:sz w:val="17"/>
                <w:szCs w:val="17"/>
                <w:color w:val="auto"/>
                <w:w w:val="91"/>
              </w:rPr>
              <w:t>Preferred Stock - $0.0001 par value; 75,000,000 shares authorized; no shares issued and outstanding</w:t>
            </w:r>
          </w:p>
        </w:tc>
        <w:tc>
          <w:tcPr>
            <w:tcW w:w="260" w:type="dxa"/>
            <w:vAlign w:val="bottom"/>
          </w:tcPr>
          <w:p>
            <w:pPr>
              <w:spacing w:after="0"/>
              <w:rPr>
                <w:sz w:val="14"/>
                <w:szCs w:val="14"/>
                <w:color w:val="auto"/>
              </w:rPr>
            </w:pPr>
          </w:p>
        </w:tc>
        <w:tc>
          <w:tcPr>
            <w:tcW w:w="1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240" w:type="dxa"/>
            <w:vAlign w:val="bottom"/>
            <w:gridSpan w:val="2"/>
          </w:tcPr>
          <w:p>
            <w:pPr>
              <w:ind w:left="320"/>
              <w:spacing w:after="0"/>
              <w:rPr>
                <w:sz w:val="20"/>
                <w:szCs w:val="20"/>
                <w:color w:val="auto"/>
              </w:rPr>
            </w:pPr>
            <w:r>
              <w:rPr>
                <w:rFonts w:ascii="Arial" w:cs="Arial" w:eastAsia="Arial" w:hAnsi="Arial"/>
                <w:sz w:val="17"/>
                <w:szCs w:val="17"/>
                <w:color w:val="auto"/>
              </w:rPr>
              <w:t>at September 30, 2021 and December 31, 2020</w:t>
            </w:r>
          </w:p>
        </w:tc>
        <w:tc>
          <w:tcPr>
            <w:tcW w:w="26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24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7"/>
                <w:szCs w:val="17"/>
                <w:color w:val="auto"/>
                <w:w w:val="95"/>
              </w:rPr>
              <w:t>Class A Common Stock - $0.0001 par value; 1,500,000,000 shares authorized; 65,677,361 shares</w:t>
            </w:r>
          </w:p>
        </w:tc>
        <w:tc>
          <w:tcPr>
            <w:tcW w:w="2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40" w:type="dxa"/>
            <w:vAlign w:val="bottom"/>
            <w:gridSpan w:val="2"/>
            <w:shd w:val="clear" w:color="auto" w:fill="CCEEFF"/>
          </w:tcPr>
          <w:p>
            <w:pPr>
              <w:ind w:left="320"/>
              <w:spacing w:after="0" w:line="167" w:lineRule="exact"/>
              <w:rPr>
                <w:sz w:val="20"/>
                <w:szCs w:val="20"/>
                <w:color w:val="auto"/>
              </w:rPr>
            </w:pPr>
            <w:r>
              <w:rPr>
                <w:rFonts w:ascii="Arial" w:cs="Arial" w:eastAsia="Arial" w:hAnsi="Arial"/>
                <w:sz w:val="17"/>
                <w:szCs w:val="17"/>
                <w:color w:val="auto"/>
              </w:rPr>
              <w:t>issued and outstanding at September 30, 2021 and no shares issued and outstanding at</w:t>
            </w:r>
          </w:p>
        </w:tc>
        <w:tc>
          <w:tcPr>
            <w:tcW w:w="26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7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December 31, 2020</w:t>
            </w:r>
          </w:p>
        </w:tc>
        <w:tc>
          <w:tcPr>
            <w:tcW w:w="26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240" w:type="dxa"/>
            <w:vAlign w:val="bottom"/>
            <w:gridSpan w:val="2"/>
          </w:tcPr>
          <w:p>
            <w:pPr>
              <w:ind w:left="180"/>
              <w:spacing w:after="0" w:line="168" w:lineRule="exact"/>
              <w:rPr>
                <w:sz w:val="20"/>
                <w:szCs w:val="20"/>
                <w:color w:val="auto"/>
              </w:rPr>
            </w:pPr>
            <w:r>
              <w:rPr>
                <w:rFonts w:ascii="Arial" w:cs="Arial" w:eastAsia="Arial" w:hAnsi="Arial"/>
                <w:sz w:val="17"/>
                <w:szCs w:val="17"/>
                <w:color w:val="auto"/>
                <w:w w:val="97"/>
              </w:rPr>
              <w:t>Class V Common Stock - $0.0001 par value; 500,000,000 shares authorized, 65,502,347 shares</w:t>
            </w: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40" w:type="dxa"/>
            <w:vAlign w:val="bottom"/>
            <w:gridSpan w:val="2"/>
          </w:tcPr>
          <w:p>
            <w:pPr>
              <w:ind w:left="320"/>
              <w:spacing w:after="0" w:line="167" w:lineRule="exact"/>
              <w:rPr>
                <w:sz w:val="20"/>
                <w:szCs w:val="20"/>
                <w:color w:val="auto"/>
              </w:rPr>
            </w:pPr>
            <w:r>
              <w:rPr>
                <w:rFonts w:ascii="Arial" w:cs="Arial" w:eastAsia="Arial" w:hAnsi="Arial"/>
                <w:sz w:val="17"/>
                <w:szCs w:val="17"/>
                <w:color w:val="auto"/>
              </w:rPr>
              <w:t>issued and outstanding at September 30, 2021 and no shares issued and outstanding at</w:t>
            </w:r>
          </w:p>
        </w:tc>
        <w:tc>
          <w:tcPr>
            <w:tcW w:w="26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240" w:type="dxa"/>
            <w:vAlign w:val="bottom"/>
            <w:gridSpan w:val="2"/>
          </w:tcPr>
          <w:p>
            <w:pPr>
              <w:ind w:left="320"/>
              <w:spacing w:after="0"/>
              <w:rPr>
                <w:sz w:val="20"/>
                <w:szCs w:val="20"/>
                <w:color w:val="auto"/>
              </w:rPr>
            </w:pPr>
            <w:r>
              <w:rPr>
                <w:rFonts w:ascii="Arial" w:cs="Arial" w:eastAsia="Arial" w:hAnsi="Arial"/>
                <w:sz w:val="17"/>
                <w:szCs w:val="17"/>
                <w:color w:val="auto"/>
              </w:rPr>
              <w:t>December 31, 2020</w:t>
            </w:r>
          </w:p>
        </w:tc>
        <w:tc>
          <w:tcPr>
            <w:tcW w:w="26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Retained earnings</w:t>
            </w: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26,084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7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WM Technology, Inc. stockholders’ equity</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240" w:type="dxa"/>
            <w:vAlign w:val="bottom"/>
            <w:gridSpan w:val="2"/>
          </w:tcPr>
          <w:p>
            <w:pPr>
              <w:ind w:left="220"/>
              <w:spacing w:after="0"/>
              <w:rPr>
                <w:sz w:val="20"/>
                <w:szCs w:val="20"/>
                <w:color w:val="auto"/>
              </w:rPr>
            </w:pPr>
            <w:r>
              <w:rPr>
                <w:rFonts w:ascii="Arial" w:cs="Arial" w:eastAsia="Arial" w:hAnsi="Arial"/>
                <w:sz w:val="17"/>
                <w:szCs w:val="17"/>
                <w:color w:val="auto"/>
              </w:rPr>
              <w:t>Noncontrolling interests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24,909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Members’ equity</w:t>
            </w:r>
          </w:p>
        </w:tc>
        <w:tc>
          <w:tcPr>
            <w:tcW w:w="2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29,271</w:t>
            </w:r>
          </w:p>
        </w:tc>
        <w:tc>
          <w:tcPr>
            <w:tcW w:w="0" w:type="dxa"/>
            <w:vAlign w:val="bottom"/>
          </w:tcPr>
          <w:p>
            <w:pPr>
              <w:spacing w:after="0"/>
              <w:rPr>
                <w:sz w:val="1"/>
                <w:szCs w:val="1"/>
                <w:color w:val="auto"/>
              </w:rPr>
            </w:pPr>
          </w:p>
        </w:tc>
      </w:tr>
      <w:tr>
        <w:trPr>
          <w:trHeight w:val="211"/>
        </w:trPr>
        <w:tc>
          <w:tcPr>
            <w:tcW w:w="724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Total equity</w:t>
            </w: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47,415</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29,271</w:t>
            </w:r>
          </w:p>
        </w:tc>
        <w:tc>
          <w:tcPr>
            <w:tcW w:w="0" w:type="dxa"/>
            <w:vAlign w:val="bottom"/>
          </w:tcPr>
          <w:p>
            <w:pPr>
              <w:spacing w:after="0"/>
              <w:rPr>
                <w:sz w:val="1"/>
                <w:szCs w:val="1"/>
                <w:color w:val="auto"/>
              </w:rPr>
            </w:pPr>
          </w:p>
        </w:tc>
      </w:tr>
      <w:tr>
        <w:trPr>
          <w:trHeight w:val="238"/>
        </w:trPr>
        <w:tc>
          <w:tcPr>
            <w:tcW w:w="72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Total liabilities and stockholders’ equity/members’ equity</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362,624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53,894</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372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774"/>
        </w:trPr>
        <w:tc>
          <w:tcPr>
            <w:tcW w:w="1220" w:type="dxa"/>
            <w:vAlign w:val="bottom"/>
            <w:tcBorders>
              <w:top w:val="single" w:sz="8" w:color="0000FF"/>
            </w:tcBorders>
          </w:tcPr>
          <w:p>
            <w:pPr>
              <w:spacing w:after="0"/>
              <w:rPr>
                <w:sz w:val="24"/>
                <w:szCs w:val="24"/>
                <w:color w:val="auto"/>
              </w:rPr>
            </w:pPr>
          </w:p>
        </w:tc>
        <w:tc>
          <w:tcPr>
            <w:tcW w:w="2500" w:type="dxa"/>
            <w:vAlign w:val="bottom"/>
          </w:tcPr>
          <w:p>
            <w:pPr>
              <w:spacing w:after="0"/>
              <w:rPr>
                <w:sz w:val="24"/>
                <w:szCs w:val="24"/>
                <w:color w:val="auto"/>
              </w:rPr>
            </w:pPr>
          </w:p>
        </w:tc>
        <w:tc>
          <w:tcPr>
            <w:tcW w:w="4580" w:type="dxa"/>
            <w:vAlign w:val="bottom"/>
            <w:gridSpan w:val="7"/>
          </w:tcPr>
          <w:p>
            <w:pPr>
              <w:jc w:val="center"/>
              <w:ind w:right="780"/>
              <w:spacing w:after="0"/>
              <w:rPr>
                <w:sz w:val="20"/>
                <w:szCs w:val="20"/>
                <w:color w:val="auto"/>
              </w:rPr>
            </w:pPr>
            <w:r>
              <w:rPr>
                <w:rFonts w:ascii="Arial" w:cs="Arial" w:eastAsia="Arial" w:hAnsi="Arial"/>
                <w:sz w:val="17"/>
                <w:szCs w:val="17"/>
                <w:b w:val="1"/>
                <w:bCs w:val="1"/>
                <w:color w:val="auto"/>
              </w:rPr>
              <w:t>WM TECHNOLOGY, INC. AND SUBSIDIARIES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080" w:type="dxa"/>
            <w:vAlign w:val="bottom"/>
            <w:gridSpan w:val="8"/>
          </w:tcPr>
          <w:p>
            <w:pPr>
              <w:jc w:val="center"/>
              <w:ind w:left="1654"/>
              <w:spacing w:after="0"/>
              <w:rPr>
                <w:sz w:val="20"/>
                <w:szCs w:val="20"/>
                <w:color w:val="auto"/>
              </w:rPr>
            </w:pPr>
            <w:r>
              <w:rPr>
                <w:rFonts w:ascii="Arial" w:cs="Arial" w:eastAsia="Arial" w:hAnsi="Arial"/>
                <w:sz w:val="17"/>
                <w:szCs w:val="17"/>
                <w:b w:val="1"/>
                <w:bCs w:val="1"/>
                <w:color w:val="auto"/>
              </w:rPr>
              <w:t>CONDENSED CONSOLIDATED STATEMENTS OF INCOME</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12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80" w:type="dxa"/>
            <w:vAlign w:val="bottom"/>
            <w:gridSpan w:val="4"/>
          </w:tcPr>
          <w:p>
            <w:pPr>
              <w:jc w:val="center"/>
              <w:ind w:left="634"/>
              <w:spacing w:after="0"/>
              <w:rPr>
                <w:sz w:val="20"/>
                <w:szCs w:val="20"/>
                <w:color w:val="auto"/>
              </w:rPr>
            </w:pPr>
            <w:r>
              <w:rPr>
                <w:rFonts w:ascii="Arial" w:cs="Arial" w:eastAsia="Arial" w:hAnsi="Arial"/>
                <w:sz w:val="17"/>
                <w:szCs w:val="17"/>
                <w:b w:val="1"/>
                <w:bCs w:val="1"/>
                <w:color w:val="auto"/>
                <w:w w:val="93"/>
              </w:rPr>
              <w:t>(Unaudited)</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3"/>
        </w:trPr>
        <w:tc>
          <w:tcPr>
            <w:tcW w:w="1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440" w:type="dxa"/>
            <w:vAlign w:val="bottom"/>
            <w:gridSpan w:val="5"/>
          </w:tcPr>
          <w:p>
            <w:pPr>
              <w:jc w:val="center"/>
              <w:ind w:left="274"/>
              <w:spacing w:after="0"/>
              <w:rPr>
                <w:sz w:val="20"/>
                <w:szCs w:val="20"/>
                <w:color w:val="auto"/>
              </w:rPr>
            </w:pPr>
            <w:r>
              <w:rPr>
                <w:rFonts w:ascii="Arial" w:cs="Arial" w:eastAsia="Arial" w:hAnsi="Arial"/>
                <w:sz w:val="17"/>
                <w:szCs w:val="17"/>
                <w:b w:val="1"/>
                <w:bCs w:val="1"/>
                <w:color w:val="auto"/>
                <w:w w:val="90"/>
              </w:rPr>
              <w:t>(In thousands, except for share data)</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49"/>
        </w:trPr>
        <w:tc>
          <w:tcPr>
            <w:tcW w:w="1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5"/>
          </w:tcPr>
          <w:p>
            <w:pPr>
              <w:ind w:left="20"/>
              <w:spacing w:after="0"/>
              <w:rPr>
                <w:sz w:val="20"/>
                <w:szCs w:val="20"/>
                <w:color w:val="auto"/>
              </w:rPr>
            </w:pPr>
            <w:r>
              <w:rPr>
                <w:rFonts w:ascii="Arial" w:cs="Arial" w:eastAsia="Arial" w:hAnsi="Arial"/>
                <w:sz w:val="17"/>
                <w:szCs w:val="17"/>
                <w:b w:val="1"/>
                <w:bCs w:val="1"/>
                <w:color w:val="auto"/>
                <w:w w:val="98"/>
              </w:rPr>
              <w:t>Three Months Ended September 30,</w:t>
            </w:r>
          </w:p>
        </w:tc>
        <w:tc>
          <w:tcPr>
            <w:tcW w:w="160" w:type="dxa"/>
            <w:vAlign w:val="bottom"/>
          </w:tcPr>
          <w:p>
            <w:pPr>
              <w:spacing w:after="0"/>
              <w:rPr>
                <w:sz w:val="24"/>
                <w:szCs w:val="24"/>
                <w:color w:val="auto"/>
              </w:rPr>
            </w:pPr>
          </w:p>
        </w:tc>
        <w:tc>
          <w:tcPr>
            <w:tcW w:w="2780" w:type="dxa"/>
            <w:vAlign w:val="bottom"/>
            <w:gridSpan w:val="4"/>
          </w:tcPr>
          <w:p>
            <w:pPr>
              <w:jc w:val="right"/>
              <w:ind w:right="94"/>
              <w:spacing w:after="0"/>
              <w:rPr>
                <w:sz w:val="20"/>
                <w:szCs w:val="20"/>
                <w:color w:val="auto"/>
              </w:rPr>
            </w:pPr>
            <w:r>
              <w:rPr>
                <w:rFonts w:ascii="Arial" w:cs="Arial" w:eastAsia="Arial" w:hAnsi="Arial"/>
                <w:sz w:val="17"/>
                <w:szCs w:val="17"/>
                <w:b w:val="1"/>
                <w:bCs w:val="1"/>
                <w:color w:val="auto"/>
                <w:w w:val="92"/>
              </w:rPr>
              <w:t>Nine Months Ended September 30,</w:t>
            </w:r>
          </w:p>
        </w:tc>
      </w:tr>
      <w:tr>
        <w:trPr>
          <w:trHeight w:val="213"/>
        </w:trPr>
        <w:tc>
          <w:tcPr>
            <w:tcW w:w="122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r>
      <w:tr>
        <w:trPr>
          <w:trHeight w:val="21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117,470</w:t>
            </w:r>
          </w:p>
        </w:tc>
      </w:tr>
      <w:tr>
        <w:trPr>
          <w:trHeight w:val="245"/>
        </w:trPr>
        <w:tc>
          <w:tcPr>
            <w:tcW w:w="3720" w:type="dxa"/>
            <w:vAlign w:val="bottom"/>
            <w:gridSpan w:val="2"/>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3720" w:type="dxa"/>
            <w:vAlign w:val="bottom"/>
            <w:gridSpan w:val="2"/>
          </w:tcPr>
          <w:p>
            <w:pPr>
              <w:ind w:left="120"/>
              <w:spacing w:after="0"/>
              <w:rPr>
                <w:sz w:val="20"/>
                <w:szCs w:val="20"/>
                <w:color w:val="auto"/>
              </w:rPr>
            </w:pPr>
            <w:r>
              <w:rPr>
                <w:rFonts w:ascii="Arial" w:cs="Arial" w:eastAsia="Arial" w:hAnsi="Arial"/>
                <w:sz w:val="17"/>
                <w:szCs w:val="17"/>
                <w:color w:val="auto"/>
              </w:rPr>
              <w:t>Cost of revenues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5,800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5,572</w:t>
            </w:r>
          </w:p>
        </w:tc>
      </w:tr>
      <w:tr>
        <w:trPr>
          <w:trHeight w:val="220"/>
        </w:trPr>
        <w:tc>
          <w:tcPr>
            <w:tcW w:w="37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Sales and marketing</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21,437</w:t>
            </w:r>
          </w:p>
        </w:tc>
      </w:tr>
      <w:tr>
        <w:trPr>
          <w:trHeight w:val="218"/>
        </w:trPr>
        <w:tc>
          <w:tcPr>
            <w:tcW w:w="3720" w:type="dxa"/>
            <w:vAlign w:val="bottom"/>
            <w:gridSpan w:val="2"/>
          </w:tcPr>
          <w:p>
            <w:pPr>
              <w:ind w:left="120"/>
              <w:spacing w:after="0"/>
              <w:rPr>
                <w:sz w:val="20"/>
                <w:szCs w:val="20"/>
                <w:color w:val="auto"/>
              </w:rPr>
            </w:pPr>
            <w:r>
              <w:rPr>
                <w:rFonts w:ascii="Arial" w:cs="Arial" w:eastAsia="Arial" w:hAnsi="Arial"/>
                <w:sz w:val="17"/>
                <w:szCs w:val="17"/>
                <w:color w:val="auto"/>
              </w:rPr>
              <w:t>Product development</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7,782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6,923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25,921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20,325</w:t>
            </w:r>
          </w:p>
        </w:tc>
      </w:tr>
      <w:tr>
        <w:trPr>
          <w:trHeight w:val="220"/>
        </w:trPr>
        <w:tc>
          <w:tcPr>
            <w:tcW w:w="37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General and administrative</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37,147</w:t>
            </w:r>
          </w:p>
        </w:tc>
      </w:tr>
      <w:tr>
        <w:trPr>
          <w:trHeight w:val="218"/>
        </w:trPr>
        <w:tc>
          <w:tcPr>
            <w:tcW w:w="3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Depreciation and amortization</w:t>
            </w:r>
          </w:p>
        </w:tc>
        <w:tc>
          <w:tcPr>
            <w:tcW w:w="1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2,980</w:t>
            </w:r>
          </w:p>
        </w:tc>
      </w:tr>
      <w:tr>
        <w:trPr>
          <w:trHeight w:val="213"/>
        </w:trPr>
        <w:tc>
          <w:tcPr>
            <w:tcW w:w="37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operating expenses</w:t>
            </w:r>
          </w:p>
        </w:tc>
        <w:tc>
          <w:tcPr>
            <w:tcW w:w="1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46,823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30,313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142,241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87,461</w:t>
            </w:r>
          </w:p>
        </w:tc>
      </w:tr>
      <w:tr>
        <w:trPr>
          <w:trHeight w:val="211"/>
        </w:trPr>
        <w:tc>
          <w:tcPr>
            <w:tcW w:w="3720" w:type="dxa"/>
            <w:vAlign w:val="bottom"/>
            <w:gridSpan w:val="2"/>
          </w:tcPr>
          <w:p>
            <w:pPr>
              <w:ind w:left="20"/>
              <w:spacing w:after="0"/>
              <w:rPr>
                <w:sz w:val="20"/>
                <w:szCs w:val="20"/>
                <w:color w:val="auto"/>
              </w:rPr>
            </w:pPr>
            <w:r>
              <w:rPr>
                <w:rFonts w:ascii="Arial" w:cs="Arial" w:eastAsia="Arial" w:hAnsi="Arial"/>
                <w:sz w:val="17"/>
                <w:szCs w:val="17"/>
                <w:color w:val="auto"/>
              </w:rPr>
              <w:t>Operating income (loss)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4,061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16,192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30,009</w:t>
            </w:r>
          </w:p>
        </w:tc>
      </w:tr>
      <w:tr>
        <w:trPr>
          <w:trHeight w:val="22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(expenses)</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3720" w:type="dxa"/>
            <w:vAlign w:val="bottom"/>
            <w:gridSpan w:val="2"/>
          </w:tcPr>
          <w:p>
            <w:pPr>
              <w:ind w:left="120"/>
              <w:spacing w:after="0"/>
              <w:rPr>
                <w:sz w:val="20"/>
                <w:szCs w:val="20"/>
                <w:color w:val="auto"/>
              </w:rPr>
            </w:pPr>
            <w:r>
              <w:rPr>
                <w:rFonts w:ascii="Arial" w:cs="Arial" w:eastAsia="Arial" w:hAnsi="Arial"/>
                <w:sz w:val="17"/>
                <w:szCs w:val="17"/>
                <w:color w:val="auto"/>
              </w:rPr>
              <w:t>Change in fair value of warrant liability</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45,837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83,628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7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expense, net</w:t>
            </w:r>
          </w:p>
        </w:tc>
        <w:tc>
          <w:tcPr>
            <w:tcW w:w="15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34"/>
              <w:spacing w:after="0"/>
              <w:rPr>
                <w:sz w:val="20"/>
                <w:szCs w:val="20"/>
                <w:color w:val="auto"/>
              </w:rPr>
            </w:pPr>
            <w:r>
              <w:rPr>
                <w:rFonts w:ascii="Arial" w:cs="Arial" w:eastAsia="Arial" w:hAnsi="Arial"/>
                <w:sz w:val="17"/>
                <w:szCs w:val="17"/>
                <w:color w:val="auto"/>
                <w:w w:val="90"/>
              </w:rPr>
              <w:t>(662)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(1,277)</w:t>
            </w:r>
          </w:p>
        </w:tc>
      </w:tr>
      <w:tr>
        <w:trPr>
          <w:trHeight w:val="211"/>
        </w:trPr>
        <w:tc>
          <w:tcPr>
            <w:tcW w:w="3720" w:type="dxa"/>
            <w:vAlign w:val="bottom"/>
            <w:gridSpan w:val="2"/>
          </w:tcPr>
          <w:p>
            <w:pPr>
              <w:ind w:left="220"/>
              <w:spacing w:after="0"/>
              <w:rPr>
                <w:sz w:val="20"/>
                <w:szCs w:val="20"/>
                <w:color w:val="auto"/>
              </w:rPr>
            </w:pPr>
            <w:r>
              <w:rPr>
                <w:rFonts w:ascii="Arial" w:cs="Arial" w:eastAsia="Arial" w:hAnsi="Arial"/>
                <w:sz w:val="17"/>
                <w:szCs w:val="17"/>
                <w:color w:val="auto"/>
              </w:rPr>
              <w:t>Income before income taxes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49,598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15,530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74,015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28,732</w:t>
            </w:r>
          </w:p>
        </w:tc>
      </w:tr>
      <w:tr>
        <w:trPr>
          <w:trHeight w:val="220"/>
        </w:trPr>
        <w:tc>
          <w:tcPr>
            <w:tcW w:w="37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Provision for income taxes</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3720" w:type="dxa"/>
            <w:vAlign w:val="bottom"/>
            <w:gridSpan w:val="2"/>
          </w:tcPr>
          <w:p>
            <w:pPr>
              <w:ind w:left="220"/>
              <w:spacing w:after="0"/>
              <w:rPr>
                <w:sz w:val="20"/>
                <w:szCs w:val="20"/>
                <w:color w:val="auto"/>
              </w:rPr>
            </w:pPr>
            <w:r>
              <w:rPr>
                <w:rFonts w:ascii="Arial" w:cs="Arial" w:eastAsia="Arial" w:hAnsi="Arial"/>
                <w:sz w:val="17"/>
                <w:szCs w:val="17"/>
                <w:color w:val="auto"/>
              </w:rPr>
              <w:t>Net income</w:t>
            </w:r>
          </w:p>
        </w:tc>
        <w:tc>
          <w:tcPr>
            <w:tcW w:w="1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49,205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15,530</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73,773</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28,732</w:t>
            </w:r>
          </w:p>
        </w:tc>
      </w:tr>
      <w:tr>
        <w:trPr>
          <w:trHeight w:val="219"/>
        </w:trPr>
        <w:tc>
          <w:tcPr>
            <w:tcW w:w="3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3"/>
              </w:rPr>
              <w:t>Net income attributable to noncontrolling interests</w:t>
            </w:r>
          </w:p>
        </w:tc>
        <w:tc>
          <w:tcPr>
            <w:tcW w:w="15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48,675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3720" w:type="dxa"/>
            <w:vAlign w:val="bottom"/>
            <w:gridSpan w:val="2"/>
          </w:tcPr>
          <w:p>
            <w:pPr>
              <w:ind w:left="220"/>
              <w:spacing w:after="0"/>
              <w:rPr>
                <w:sz w:val="20"/>
                <w:szCs w:val="20"/>
                <w:color w:val="auto"/>
              </w:rPr>
            </w:pPr>
            <w:r>
              <w:rPr>
                <w:rFonts w:ascii="Arial" w:cs="Arial" w:eastAsia="Arial" w:hAnsi="Arial"/>
                <w:sz w:val="17"/>
                <w:szCs w:val="17"/>
                <w:color w:val="auto"/>
                <w:w w:val="97"/>
              </w:rPr>
              <w:t>Net income attributable to WM Technology, Inc.</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20,835</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15,530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25,098</w:t>
            </w:r>
          </w:p>
        </w:tc>
        <w:tc>
          <w:tcPr>
            <w:tcW w:w="8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28,732</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12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8"/>
        </w:trPr>
        <w:tc>
          <w:tcPr>
            <w:tcW w:w="3720" w:type="dxa"/>
            <w:vAlign w:val="bottom"/>
            <w:gridSpan w:val="2"/>
          </w:tcPr>
          <w:p>
            <w:pPr>
              <w:ind w:left="20"/>
              <w:spacing w:after="0"/>
              <w:rPr>
                <w:sz w:val="20"/>
                <w:szCs w:val="20"/>
                <w:color w:val="auto"/>
              </w:rPr>
            </w:pPr>
            <w:r>
              <w:rPr>
                <w:rFonts w:ascii="Arial" w:cs="Arial" w:eastAsia="Arial" w:hAnsi="Arial"/>
                <w:sz w:val="17"/>
                <w:szCs w:val="17"/>
                <w:color w:val="auto"/>
              </w:rPr>
              <w:t>Class A Common Stock:</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37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Basic income per share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514"/>
              <w:spacing w:after="0"/>
              <w:rPr>
                <w:sz w:val="20"/>
                <w:szCs w:val="20"/>
                <w:color w:val="auto"/>
              </w:rPr>
            </w:pPr>
            <w:r>
              <w:rPr>
                <w:rFonts w:ascii="Arial" w:cs="Arial" w:eastAsia="Arial" w:hAnsi="Arial"/>
                <w:sz w:val="17"/>
                <w:szCs w:val="17"/>
                <w:color w:val="auto"/>
                <w:w w:val="99"/>
              </w:rPr>
              <w:t>N/A¹</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N/A¹</w:t>
            </w:r>
          </w:p>
        </w:tc>
      </w:tr>
      <w:tr>
        <w:trPr>
          <w:trHeight w:val="218"/>
        </w:trPr>
        <w:tc>
          <w:tcPr>
            <w:tcW w:w="3720" w:type="dxa"/>
            <w:vAlign w:val="bottom"/>
            <w:gridSpan w:val="2"/>
          </w:tcPr>
          <w:p>
            <w:pPr>
              <w:ind w:left="120"/>
              <w:spacing w:after="0"/>
              <w:rPr>
                <w:sz w:val="20"/>
                <w:szCs w:val="20"/>
                <w:color w:val="auto"/>
              </w:rPr>
            </w:pPr>
            <w:r>
              <w:rPr>
                <w:rFonts w:ascii="Arial" w:cs="Arial" w:eastAsia="Arial" w:hAnsi="Arial"/>
                <w:sz w:val="17"/>
                <w:szCs w:val="17"/>
                <w:color w:val="auto"/>
              </w:rPr>
              <w:t>Diluted income (loss) per share</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center"/>
              <w:ind w:left="514"/>
              <w:spacing w:after="0"/>
              <w:rPr>
                <w:sz w:val="20"/>
                <w:szCs w:val="20"/>
                <w:color w:val="auto"/>
              </w:rPr>
            </w:pPr>
            <w:r>
              <w:rPr>
                <w:rFonts w:ascii="Arial" w:cs="Arial" w:eastAsia="Arial" w:hAnsi="Arial"/>
                <w:sz w:val="17"/>
                <w:szCs w:val="17"/>
                <w:color w:val="auto"/>
                <w:w w:val="99"/>
              </w:rPr>
              <w:t>N/A¹</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N/A¹</w:t>
            </w:r>
          </w:p>
        </w:tc>
      </w:tr>
      <w:tr>
        <w:trPr>
          <w:trHeight w:val="246"/>
        </w:trPr>
        <w:tc>
          <w:tcPr>
            <w:tcW w:w="3720" w:type="dxa"/>
            <w:vAlign w:val="bottom"/>
            <w:gridSpan w:val="2"/>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18"/>
        </w:trPr>
        <w:tc>
          <w:tcPr>
            <w:tcW w:w="3720" w:type="dxa"/>
            <w:vAlign w:val="bottom"/>
            <w:gridSpan w:val="2"/>
          </w:tcPr>
          <w:p>
            <w:pPr>
              <w:ind w:left="20"/>
              <w:spacing w:after="0"/>
              <w:rPr>
                <w:sz w:val="20"/>
                <w:szCs w:val="20"/>
                <w:color w:val="auto"/>
              </w:rPr>
            </w:pPr>
            <w:r>
              <w:rPr>
                <w:rFonts w:ascii="Arial" w:cs="Arial" w:eastAsia="Arial" w:hAnsi="Arial"/>
                <w:sz w:val="17"/>
                <w:szCs w:val="17"/>
                <w:color w:val="auto"/>
              </w:rPr>
              <w:t>Class A Common Stock:</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37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Weighted average basic shares outstanding</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64,216,732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514"/>
              <w:spacing w:after="0"/>
              <w:rPr>
                <w:sz w:val="20"/>
                <w:szCs w:val="20"/>
                <w:color w:val="auto"/>
              </w:rPr>
            </w:pPr>
            <w:r>
              <w:rPr>
                <w:rFonts w:ascii="Arial" w:cs="Arial" w:eastAsia="Arial" w:hAnsi="Arial"/>
                <w:sz w:val="17"/>
                <w:szCs w:val="17"/>
                <w:color w:val="auto"/>
                <w:w w:val="99"/>
              </w:rPr>
              <w:t>N/A¹</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64,149,699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N/A¹</w:t>
            </w:r>
          </w:p>
        </w:tc>
      </w:tr>
      <w:tr>
        <w:trPr>
          <w:trHeight w:val="218"/>
        </w:trPr>
        <w:tc>
          <w:tcPr>
            <w:tcW w:w="3720" w:type="dxa"/>
            <w:vAlign w:val="bottom"/>
            <w:gridSpan w:val="2"/>
          </w:tcPr>
          <w:p>
            <w:pPr>
              <w:ind w:left="120"/>
              <w:spacing w:after="0"/>
              <w:rPr>
                <w:sz w:val="20"/>
                <w:szCs w:val="20"/>
                <w:color w:val="auto"/>
              </w:rPr>
            </w:pPr>
            <w:r>
              <w:rPr>
                <w:rFonts w:ascii="Arial" w:cs="Arial" w:eastAsia="Arial" w:hAnsi="Arial"/>
                <w:sz w:val="17"/>
                <w:szCs w:val="17"/>
                <w:color w:val="auto"/>
              </w:rPr>
              <w:t>Weighted average diluted shares outstanding</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68,304,372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center"/>
              <w:ind w:left="514"/>
              <w:spacing w:after="0"/>
              <w:rPr>
                <w:sz w:val="20"/>
                <w:szCs w:val="20"/>
                <w:color w:val="auto"/>
              </w:rPr>
            </w:pPr>
            <w:r>
              <w:rPr>
                <w:rFonts w:ascii="Arial" w:cs="Arial" w:eastAsia="Arial" w:hAnsi="Arial"/>
                <w:sz w:val="17"/>
                <w:szCs w:val="17"/>
                <w:color w:val="auto"/>
                <w:w w:val="99"/>
              </w:rPr>
              <w:t>N/A¹</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69,950,141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N/A¹</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-3731260</wp:posOffset>
            </wp:positionV>
            <wp:extent cx="57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w:t>
      </w:r>
    </w:p>
    <w:p>
      <w:pPr>
        <w:spacing w:after="0" w:line="108" w:lineRule="exact"/>
        <w:rPr>
          <w:sz w:val="20"/>
          <w:szCs w:val="20"/>
          <w:color w:val="auto"/>
        </w:rPr>
      </w:pPr>
    </w:p>
    <w:p>
      <w:pPr>
        <w:jc w:val="both"/>
        <w:ind w:firstLine="3"/>
        <w:spacing w:after="0"/>
        <w:tabs>
          <w:tab w:leader="none" w:pos="77" w:val="left"/>
        </w:tabs>
        <w:numPr>
          <w:ilvl w:val="0"/>
          <w:numId w:val="2"/>
        </w:numPr>
        <w:rPr>
          <w:rFonts w:ascii="Arial" w:cs="Arial" w:eastAsia="Arial" w:hAnsi="Arial"/>
          <w:sz w:val="14"/>
          <w:szCs w:val="14"/>
          <w:color w:val="auto"/>
        </w:rPr>
      </w:pPr>
      <w:r>
        <w:rPr>
          <w:rFonts w:ascii="Arial" w:cs="Arial" w:eastAsia="Arial" w:hAnsi="Arial"/>
          <w:sz w:val="14"/>
          <w:szCs w:val="14"/>
          <w:color w:val="auto"/>
        </w:rPr>
        <w:t>Prior to the Business Combination,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 (Note 6).</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1"/>
              </w:rPr>
              <w:t>Three and Nine Months Ended September 30, 2021</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500" w:type="dxa"/>
            <w:vAlign w:val="bottom"/>
          </w:tcPr>
          <w:p>
            <w:pPr>
              <w:spacing w:after="0"/>
              <w:rPr>
                <w:sz w:val="18"/>
                <w:szCs w:val="18"/>
                <w:color w:val="auto"/>
              </w:rPr>
            </w:pPr>
          </w:p>
        </w:tc>
        <w:tc>
          <w:tcPr>
            <w:tcW w:w="1620" w:type="dxa"/>
            <w:vAlign w:val="bottom"/>
            <w:gridSpan w:val="4"/>
          </w:tcPr>
          <w:p>
            <w:pPr>
              <w:ind w:left="280"/>
              <w:spacing w:after="0"/>
              <w:rPr>
                <w:sz w:val="20"/>
                <w:szCs w:val="20"/>
                <w:color w:val="auto"/>
              </w:rPr>
            </w:pPr>
            <w:r>
              <w:rPr>
                <w:rFonts w:ascii="Arial" w:cs="Arial" w:eastAsia="Arial" w:hAnsi="Arial"/>
                <w:sz w:val="14"/>
                <w:szCs w:val="14"/>
                <w:b w:val="1"/>
                <w:bCs w:val="1"/>
                <w:color w:val="auto"/>
              </w:rPr>
              <w:t>Common Stock</w:t>
            </w:r>
          </w:p>
        </w:tc>
        <w:tc>
          <w:tcPr>
            <w:tcW w:w="1640" w:type="dxa"/>
            <w:vAlign w:val="bottom"/>
            <w:gridSpan w:val="4"/>
          </w:tcPr>
          <w:p>
            <w:pPr>
              <w:ind w:left="2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Total WM</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500" w:type="dxa"/>
            <w:vAlign w:val="bottom"/>
          </w:tcPr>
          <w:p>
            <w:pPr>
              <w:spacing w:after="0"/>
              <w:rPr>
                <w:sz w:val="11"/>
                <w:szCs w:val="11"/>
                <w:color w:val="auto"/>
              </w:rPr>
            </w:pPr>
          </w:p>
        </w:tc>
        <w:tc>
          <w:tcPr>
            <w:tcW w:w="10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Class A</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Class V</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5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tcPr>
          <w:p>
            <w:pPr>
              <w:jc w:val="center"/>
              <w:ind w:right="240"/>
              <w:spacing w:after="0" w:line="52" w:lineRule="exact"/>
              <w:rPr>
                <w:sz w:val="20"/>
                <w:szCs w:val="20"/>
                <w:color w:val="auto"/>
              </w:rPr>
            </w:pPr>
            <w:r>
              <w:rPr>
                <w:rFonts w:ascii="Arial" w:cs="Arial" w:eastAsia="Arial" w:hAnsi="Arial"/>
                <w:sz w:val="5"/>
                <w:szCs w:val="5"/>
                <w:b w:val="1"/>
                <w:bCs w:val="1"/>
                <w:color w:val="auto"/>
              </w:rPr>
              <w:t>Additional</w:t>
            </w: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tcPr>
          <w:p>
            <w:pPr>
              <w:jc w:val="center"/>
              <w:ind w:right="180"/>
              <w:spacing w:after="0" w:line="52" w:lineRule="exact"/>
              <w:rPr>
                <w:sz w:val="20"/>
                <w:szCs w:val="20"/>
                <w:color w:val="auto"/>
              </w:rPr>
            </w:pPr>
            <w:r>
              <w:rPr>
                <w:rFonts w:ascii="Arial" w:cs="Arial" w:eastAsia="Arial" w:hAnsi="Arial"/>
                <w:sz w:val="5"/>
                <w:szCs w:val="5"/>
                <w:b w:val="1"/>
                <w:bCs w:val="1"/>
                <w:color w:val="auto"/>
              </w:rPr>
              <w:t>Technology, Inc.</w:t>
            </w:r>
          </w:p>
        </w:tc>
        <w:tc>
          <w:tcPr>
            <w:tcW w:w="120" w:type="dxa"/>
            <w:vAlign w:val="bottom"/>
          </w:tcPr>
          <w:p>
            <w:pPr>
              <w:spacing w:after="0"/>
              <w:rPr>
                <w:sz w:val="4"/>
                <w:szCs w:val="4"/>
                <w:color w:val="auto"/>
              </w:rPr>
            </w:pPr>
          </w:p>
        </w:tc>
        <w:tc>
          <w:tcPr>
            <w:tcW w:w="960" w:type="dxa"/>
            <w:vAlign w:val="bottom"/>
            <w:gridSpan w:val="2"/>
          </w:tcPr>
          <w:p>
            <w:pPr>
              <w:jc w:val="center"/>
              <w:ind w:right="260"/>
              <w:spacing w:after="0" w:line="52" w:lineRule="exact"/>
              <w:rPr>
                <w:sz w:val="20"/>
                <w:szCs w:val="20"/>
                <w:color w:val="auto"/>
              </w:rPr>
            </w:pPr>
            <w:r>
              <w:rPr>
                <w:rFonts w:ascii="Arial" w:cs="Arial" w:eastAsia="Arial" w:hAnsi="Arial"/>
                <w:sz w:val="5"/>
                <w:szCs w:val="5"/>
                <w:b w:val="1"/>
                <w:bCs w:val="1"/>
                <w:color w:val="auto"/>
              </w:rPr>
              <w:t>Non-</w:t>
            </w: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9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7"/>
              </w:rPr>
              <w:t>Par</w:t>
            </w:r>
          </w:p>
        </w:tc>
        <w:tc>
          <w:tcPr>
            <w:tcW w:w="90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6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8"/>
              </w:rPr>
              <w:t>Par</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2"/>
                <w:szCs w:val="12"/>
                <w:color w:val="auto"/>
              </w:rPr>
            </w:pPr>
          </w:p>
        </w:tc>
        <w:tc>
          <w:tcPr>
            <w:tcW w:w="8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6"/>
              </w:rPr>
              <w:t>Stockholders’</w:t>
            </w: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8"/>
              </w:rPr>
              <w:t>controlling</w:t>
            </w: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1"/>
              </w:rPr>
              <w:t>Members’</w:t>
            </w:r>
          </w:p>
        </w:tc>
        <w:tc>
          <w:tcPr>
            <w:tcW w:w="140" w:type="dxa"/>
            <w:vAlign w:val="bottom"/>
          </w:tcPr>
          <w:p>
            <w:pPr>
              <w:spacing w:after="0"/>
              <w:rPr>
                <w:sz w:val="12"/>
                <w:szCs w:val="12"/>
                <w:color w:val="auto"/>
              </w:rPr>
            </w:pPr>
          </w:p>
        </w:tc>
        <w:tc>
          <w:tcPr>
            <w:tcW w:w="9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79"/>
        </w:trPr>
        <w:tc>
          <w:tcPr>
            <w:tcW w:w="15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Interests</w:t>
            </w:r>
          </w:p>
        </w:tc>
        <w:tc>
          <w:tcPr>
            <w:tcW w:w="12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88"/>
              </w:rPr>
              <w:t>As of December 31, 2020</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29,271</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29,271</w:t>
            </w: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Arial" w:cs="Arial" w:eastAsia="Arial" w:hAnsi="Arial"/>
                <w:sz w:val="14"/>
                <w:szCs w:val="14"/>
                <w:color w:val="auto"/>
              </w:rPr>
              <w:t>Distributions to</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(10,513)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(10,513)</w:t>
            </w:r>
          </w:p>
        </w:tc>
        <w:tc>
          <w:tcPr>
            <w:tcW w:w="0" w:type="dxa"/>
            <w:vAlign w:val="bottom"/>
          </w:tcPr>
          <w:p>
            <w:pPr>
              <w:spacing w:after="0"/>
              <w:rPr>
                <w:sz w:val="1"/>
                <w:szCs w:val="1"/>
                <w:color w:val="auto"/>
              </w:rPr>
            </w:pPr>
          </w:p>
        </w:tc>
      </w:tr>
      <w:tr>
        <w:trPr>
          <w:trHeight w:val="177"/>
        </w:trPr>
        <w:tc>
          <w:tcPr>
            <w:tcW w:w="1500" w:type="dxa"/>
            <w:vAlign w:val="bottom"/>
          </w:tcPr>
          <w:p>
            <w:pPr>
              <w:ind w:left="120"/>
              <w:spacing w:after="0"/>
              <w:rPr>
                <w:sz w:val="20"/>
                <w:szCs w:val="20"/>
                <w:color w:val="auto"/>
              </w:rPr>
            </w:pPr>
            <w:r>
              <w:rPr>
                <w:rFonts w:ascii="Arial" w:cs="Arial" w:eastAsia="Arial" w:hAnsi="Arial"/>
                <w:sz w:val="14"/>
                <w:szCs w:val="14"/>
                <w:color w:val="auto"/>
              </w:rPr>
              <w:t>members</w:t>
            </w: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500" w:type="dxa"/>
            <w:vAlign w:val="bottom"/>
            <w:shd w:val="clear" w:color="auto" w:fill="CCEEFF"/>
          </w:tcPr>
          <w:p>
            <w:pPr>
              <w:ind w:left="120"/>
              <w:spacing w:after="0" w:line="132" w:lineRule="exact"/>
              <w:rPr>
                <w:sz w:val="20"/>
                <w:szCs w:val="20"/>
                <w:color w:val="auto"/>
              </w:rPr>
            </w:pPr>
            <w:r>
              <w:rPr>
                <w:rFonts w:ascii="Arial" w:cs="Arial" w:eastAsia="Arial" w:hAnsi="Arial"/>
                <w:sz w:val="14"/>
                <w:szCs w:val="14"/>
                <w:color w:val="auto"/>
                <w:w w:val="94"/>
              </w:rPr>
              <w:t>Repurchase of Class B</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5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7,731</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7,731</w:t>
            </w:r>
          </w:p>
        </w:tc>
        <w:tc>
          <w:tcPr>
            <w:tcW w:w="0" w:type="dxa"/>
            <w:vAlign w:val="bottom"/>
          </w:tcPr>
          <w:p>
            <w:pPr>
              <w:spacing w:after="0"/>
              <w:rPr>
                <w:sz w:val="1"/>
                <w:szCs w:val="1"/>
                <w:color w:val="auto"/>
              </w:rPr>
            </w:pPr>
          </w:p>
        </w:tc>
      </w:tr>
      <w:tr>
        <w:trPr>
          <w:trHeight w:val="112"/>
        </w:trPr>
        <w:tc>
          <w:tcPr>
            <w:tcW w:w="150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b w:val="1"/>
                <w:bCs w:val="1"/>
                <w:color w:val="auto"/>
              </w:rPr>
              <w:t>As of</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26,383</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26,383</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March 31, 2021</w:t>
            </w: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Arial" w:cs="Arial" w:eastAsia="Arial" w:hAnsi="Arial"/>
                <w:sz w:val="14"/>
                <w:szCs w:val="14"/>
                <w:color w:val="auto"/>
              </w:rPr>
              <w:t>Stock-based</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19,433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19,433</w:t>
            </w:r>
          </w:p>
        </w:tc>
        <w:tc>
          <w:tcPr>
            <w:tcW w:w="0" w:type="dxa"/>
            <w:vAlign w:val="bottom"/>
          </w:tcPr>
          <w:p>
            <w:pPr>
              <w:spacing w:after="0"/>
              <w:rPr>
                <w:sz w:val="1"/>
                <w:szCs w:val="1"/>
                <w:color w:val="auto"/>
              </w:rPr>
            </w:pPr>
          </w:p>
        </w:tc>
      </w:tr>
      <w:tr>
        <w:trPr>
          <w:trHeight w:val="177"/>
        </w:trPr>
        <w:tc>
          <w:tcPr>
            <w:tcW w:w="1500" w:type="dxa"/>
            <w:vAlign w:val="bottom"/>
          </w:tcPr>
          <w:p>
            <w:pPr>
              <w:ind w:left="120"/>
              <w:spacing w:after="0"/>
              <w:rPr>
                <w:sz w:val="20"/>
                <w:szCs w:val="20"/>
                <w:color w:val="auto"/>
              </w:rPr>
            </w:pPr>
            <w:r>
              <w:rPr>
                <w:rFonts w:ascii="Arial" w:cs="Arial" w:eastAsia="Arial" w:hAnsi="Arial"/>
                <w:sz w:val="14"/>
                <w:szCs w:val="14"/>
                <w:color w:val="auto"/>
              </w:rPr>
              <w:t>compensation</w:t>
            </w: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500" w:type="dxa"/>
            <w:vAlign w:val="bottom"/>
            <w:shd w:val="clear" w:color="auto" w:fill="CCEEFF"/>
          </w:tcPr>
          <w:p>
            <w:pPr>
              <w:ind w:left="120"/>
              <w:spacing w:after="0" w:line="132" w:lineRule="exact"/>
              <w:rPr>
                <w:sz w:val="20"/>
                <w:szCs w:val="20"/>
                <w:color w:val="auto"/>
              </w:rPr>
            </w:pPr>
            <w:r>
              <w:rPr>
                <w:rFonts w:ascii="Arial" w:cs="Arial" w:eastAsia="Arial" w:hAnsi="Arial"/>
                <w:sz w:val="14"/>
                <w:szCs w:val="14"/>
                <w:color w:val="auto"/>
              </w:rPr>
              <w:t>Distributions to</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(7,597)</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(7,597)</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members</w:t>
            </w: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Arial" w:cs="Arial" w:eastAsia="Arial" w:hAnsi="Arial"/>
                <w:sz w:val="14"/>
                <w:szCs w:val="14"/>
                <w:color w:val="auto"/>
                <w:w w:val="94"/>
              </w:rPr>
              <w:t>Repurchase of Class B</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(5,459)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(5,459)</w:t>
            </w:r>
          </w:p>
        </w:tc>
        <w:tc>
          <w:tcPr>
            <w:tcW w:w="0" w:type="dxa"/>
            <w:vAlign w:val="bottom"/>
          </w:tcPr>
          <w:p>
            <w:pPr>
              <w:spacing w:after="0"/>
              <w:rPr>
                <w:sz w:val="1"/>
                <w:szCs w:val="1"/>
                <w:color w:val="auto"/>
              </w:rPr>
            </w:pPr>
          </w:p>
        </w:tc>
      </w:tr>
      <w:tr>
        <w:trPr>
          <w:trHeight w:val="177"/>
        </w:trPr>
        <w:tc>
          <w:tcPr>
            <w:tcW w:w="1500" w:type="dxa"/>
            <w:vAlign w:val="bottom"/>
          </w:tcPr>
          <w:p>
            <w:pPr>
              <w:ind w:left="120"/>
              <w:spacing w:after="0"/>
              <w:rPr>
                <w:sz w:val="20"/>
                <w:szCs w:val="20"/>
                <w:color w:val="auto"/>
              </w:rPr>
            </w:pPr>
            <w:r>
              <w:rPr>
                <w:rFonts w:ascii="Arial" w:cs="Arial" w:eastAsia="Arial" w:hAnsi="Arial"/>
                <w:sz w:val="14"/>
                <w:szCs w:val="14"/>
                <w:color w:val="auto"/>
              </w:rPr>
              <w:t>Units</w:t>
            </w: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500" w:type="dxa"/>
            <w:vAlign w:val="bottom"/>
            <w:shd w:val="clear" w:color="auto" w:fill="CCEEFF"/>
          </w:tcPr>
          <w:p>
            <w:pPr>
              <w:ind w:left="120"/>
              <w:spacing w:after="0" w:line="132" w:lineRule="exact"/>
              <w:rPr>
                <w:sz w:val="20"/>
                <w:szCs w:val="20"/>
                <w:color w:val="auto"/>
              </w:rPr>
            </w:pPr>
            <w:r>
              <w:rPr>
                <w:rFonts w:ascii="Arial" w:cs="Arial" w:eastAsia="Arial" w:hAnsi="Arial"/>
                <w:sz w:val="14"/>
                <w:szCs w:val="14"/>
                <w:color w:val="auto"/>
              </w:rPr>
              <w:t>Proceeds and shares</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500" w:type="dxa"/>
            <w:vAlign w:val="bottom"/>
            <w:shd w:val="clear" w:color="auto" w:fill="CCEEFF"/>
          </w:tcPr>
          <w:p>
            <w:pPr>
              <w:ind w:left="120"/>
              <w:spacing w:after="0" w:line="129" w:lineRule="exact"/>
              <w:rPr>
                <w:sz w:val="20"/>
                <w:szCs w:val="20"/>
                <w:color w:val="auto"/>
              </w:rPr>
            </w:pPr>
            <w:r>
              <w:rPr>
                <w:rFonts w:ascii="Arial" w:cs="Arial" w:eastAsia="Arial" w:hAnsi="Arial"/>
                <w:sz w:val="14"/>
                <w:szCs w:val="14"/>
                <w:color w:val="auto"/>
                <w:w w:val="97"/>
              </w:rPr>
              <w:t>issued in the Business</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63,738,563</w:t>
            </w:r>
          </w:p>
        </w:tc>
        <w:tc>
          <w:tcPr>
            <w:tcW w:w="1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65,502,347</w:t>
            </w: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(20,212)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(19,213)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(45,425)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(20,674)</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(85,312)</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Combination (Note 6)</w:t>
            </w: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5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5,227</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7,347</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16,837</w:t>
            </w:r>
          </w:p>
        </w:tc>
        <w:tc>
          <w:tcPr>
            <w:tcW w:w="0" w:type="dxa"/>
            <w:vAlign w:val="bottom"/>
          </w:tcPr>
          <w:p>
            <w:pPr>
              <w:spacing w:after="0"/>
              <w:rPr>
                <w:sz w:val="1"/>
                <w:szCs w:val="1"/>
                <w:color w:val="auto"/>
              </w:rPr>
            </w:pPr>
          </w:p>
        </w:tc>
      </w:tr>
      <w:tr>
        <w:trPr>
          <w:trHeight w:val="112"/>
        </w:trPr>
        <w:tc>
          <w:tcPr>
            <w:tcW w:w="150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b w:val="1"/>
                <w:bCs w:val="1"/>
                <w:color w:val="auto"/>
              </w:rPr>
              <w:t>As of</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63,738,563</w:t>
            </w:r>
          </w:p>
        </w:tc>
        <w:tc>
          <w:tcPr>
            <w:tcW w:w="1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65,502,347</w:t>
            </w: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(20,212)</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5,249</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(14,950)</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(20,765)</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(35,715)</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June 30, 2021</w:t>
            </w: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Arial" w:cs="Arial" w:eastAsia="Arial" w:hAnsi="Arial"/>
                <w:sz w:val="14"/>
                <w:szCs w:val="14"/>
                <w:color w:val="auto"/>
              </w:rPr>
              <w:t>Stock-based</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4,173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4,173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714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4,887</w:t>
            </w:r>
          </w:p>
        </w:tc>
        <w:tc>
          <w:tcPr>
            <w:tcW w:w="0" w:type="dxa"/>
            <w:vAlign w:val="bottom"/>
          </w:tcPr>
          <w:p>
            <w:pPr>
              <w:spacing w:after="0"/>
              <w:rPr>
                <w:sz w:val="1"/>
                <w:szCs w:val="1"/>
                <w:color w:val="auto"/>
              </w:rPr>
            </w:pPr>
          </w:p>
        </w:tc>
      </w:tr>
      <w:tr>
        <w:trPr>
          <w:trHeight w:val="177"/>
        </w:trPr>
        <w:tc>
          <w:tcPr>
            <w:tcW w:w="1500" w:type="dxa"/>
            <w:vAlign w:val="bottom"/>
          </w:tcPr>
          <w:p>
            <w:pPr>
              <w:ind w:left="120"/>
              <w:spacing w:after="0"/>
              <w:rPr>
                <w:sz w:val="20"/>
                <w:szCs w:val="20"/>
                <w:color w:val="auto"/>
              </w:rPr>
            </w:pPr>
            <w:r>
              <w:rPr>
                <w:rFonts w:ascii="Arial" w:cs="Arial" w:eastAsia="Arial" w:hAnsi="Arial"/>
                <w:sz w:val="14"/>
                <w:szCs w:val="14"/>
                <w:color w:val="auto"/>
              </w:rPr>
              <w:t>compensation</w:t>
            </w: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500" w:type="dxa"/>
            <w:vAlign w:val="bottom"/>
            <w:shd w:val="clear" w:color="auto" w:fill="CCEEFF"/>
          </w:tcPr>
          <w:p>
            <w:pPr>
              <w:ind w:left="120"/>
              <w:spacing w:after="0" w:line="132" w:lineRule="exact"/>
              <w:rPr>
                <w:sz w:val="20"/>
                <w:szCs w:val="20"/>
                <w:color w:val="auto"/>
              </w:rPr>
            </w:pPr>
            <w:r>
              <w:rPr>
                <w:rFonts w:ascii="Arial" w:cs="Arial" w:eastAsia="Arial" w:hAnsi="Arial"/>
                <w:sz w:val="14"/>
                <w:szCs w:val="14"/>
                <w:color w:val="auto"/>
              </w:rPr>
              <w:t>Transaction costs</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500" w:type="dxa"/>
            <w:vAlign w:val="bottom"/>
            <w:shd w:val="clear" w:color="auto" w:fill="CCEEFF"/>
          </w:tcPr>
          <w:p>
            <w:pPr>
              <w:ind w:left="120"/>
              <w:spacing w:after="0" w:line="129" w:lineRule="exact"/>
              <w:rPr>
                <w:sz w:val="20"/>
                <w:szCs w:val="20"/>
                <w:color w:val="auto"/>
              </w:rPr>
            </w:pPr>
            <w:r>
              <w:rPr>
                <w:rFonts w:ascii="Arial" w:cs="Arial" w:eastAsia="Arial" w:hAnsi="Arial"/>
                <w:sz w:val="14"/>
                <w:szCs w:val="14"/>
                <w:color w:val="auto"/>
                <w:w w:val="95"/>
              </w:rPr>
              <w:t>related to the Business</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Combination (Note 6)</w:t>
            </w: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Arial" w:cs="Arial" w:eastAsia="Arial" w:hAnsi="Arial"/>
                <w:sz w:val="14"/>
                <w:szCs w:val="14"/>
                <w:color w:val="auto"/>
              </w:rPr>
              <w:t>Issuance of common</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Arial" w:cs="Arial" w:eastAsia="Arial" w:hAnsi="Arial"/>
                <w:sz w:val="14"/>
                <w:szCs w:val="14"/>
                <w:color w:val="auto"/>
              </w:rPr>
              <w:t>stock for acquisitions</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1,938,798</w:t>
            </w:r>
          </w:p>
        </w:tc>
        <w:tc>
          <w:tcPr>
            <w:tcW w:w="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12,721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12,722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16,590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29,312</w:t>
            </w:r>
          </w:p>
        </w:tc>
        <w:tc>
          <w:tcPr>
            <w:tcW w:w="0" w:type="dxa"/>
            <w:vAlign w:val="bottom"/>
          </w:tcPr>
          <w:p>
            <w:pPr>
              <w:spacing w:after="0"/>
              <w:rPr>
                <w:sz w:val="1"/>
                <w:szCs w:val="1"/>
                <w:color w:val="auto"/>
              </w:rPr>
            </w:pPr>
          </w:p>
        </w:tc>
      </w:tr>
      <w:tr>
        <w:trPr>
          <w:trHeight w:val="177"/>
        </w:trPr>
        <w:tc>
          <w:tcPr>
            <w:tcW w:w="1500" w:type="dxa"/>
            <w:vAlign w:val="bottom"/>
          </w:tcPr>
          <w:p>
            <w:pPr>
              <w:ind w:left="120"/>
              <w:spacing w:after="0"/>
              <w:rPr>
                <w:sz w:val="20"/>
                <w:szCs w:val="20"/>
                <w:color w:val="auto"/>
              </w:rPr>
            </w:pPr>
            <w:r>
              <w:rPr>
                <w:rFonts w:ascii="Arial" w:cs="Arial" w:eastAsia="Arial" w:hAnsi="Arial"/>
                <w:sz w:val="14"/>
                <w:szCs w:val="14"/>
                <w:color w:val="auto"/>
              </w:rPr>
              <w:t>(Note 7)</w:t>
            </w: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20,835</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20,835</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28,370</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49,205</w:t>
            </w:r>
          </w:p>
        </w:tc>
        <w:tc>
          <w:tcPr>
            <w:tcW w:w="0" w:type="dxa"/>
            <w:vAlign w:val="bottom"/>
          </w:tcPr>
          <w:p>
            <w:pPr>
              <w:spacing w:after="0"/>
              <w:rPr>
                <w:sz w:val="1"/>
                <w:szCs w:val="1"/>
                <w:color w:val="auto"/>
              </w:rPr>
            </w:pPr>
          </w:p>
        </w:tc>
      </w:tr>
      <w:tr>
        <w:trPr>
          <w:trHeight w:val="109"/>
        </w:trPr>
        <w:tc>
          <w:tcPr>
            <w:tcW w:w="1500" w:type="dxa"/>
            <w:vAlign w:val="bottom"/>
          </w:tcPr>
          <w:p>
            <w:pPr>
              <w:ind w:left="20"/>
              <w:spacing w:after="0" w:line="109" w:lineRule="exact"/>
              <w:rPr>
                <w:sz w:val="20"/>
                <w:szCs w:val="20"/>
                <w:color w:val="auto"/>
              </w:rPr>
            </w:pPr>
            <w:r>
              <w:rPr>
                <w:rFonts w:ascii="Arial" w:cs="Arial" w:eastAsia="Arial" w:hAnsi="Arial"/>
                <w:sz w:val="11"/>
                <w:szCs w:val="11"/>
                <w:b w:val="1"/>
                <w:bCs w:val="1"/>
                <w:color w:val="auto"/>
              </w:rPr>
              <w:t>As of September 30,</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65,677,361</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65,502,347</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(3,592)</w:t>
            </w:r>
          </w:p>
        </w:tc>
        <w:tc>
          <w:tcPr>
            <w:tcW w:w="14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26,084</w:t>
            </w:r>
          </w:p>
        </w:tc>
        <w:tc>
          <w:tcPr>
            <w:tcW w:w="14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22,506</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24,909</w:t>
            </w:r>
          </w:p>
        </w:tc>
        <w:tc>
          <w:tcPr>
            <w:tcW w:w="14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47,415</w:t>
            </w:r>
          </w:p>
        </w:tc>
        <w:tc>
          <w:tcPr>
            <w:tcW w:w="0" w:type="dxa"/>
            <w:vAlign w:val="bottom"/>
          </w:tcPr>
          <w:p>
            <w:pPr>
              <w:spacing w:after="0"/>
              <w:rPr>
                <w:sz w:val="1"/>
                <w:szCs w:val="1"/>
                <w:color w:val="auto"/>
              </w:rPr>
            </w:pPr>
          </w:p>
        </w:tc>
      </w:tr>
      <w:tr>
        <w:trPr>
          <w:trHeight w:val="155"/>
        </w:trPr>
        <w:tc>
          <w:tcPr>
            <w:tcW w:w="150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2021</w:t>
            </w:r>
          </w:p>
        </w:tc>
        <w:tc>
          <w:tcPr>
            <w:tcW w:w="9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1"/>
              </w:rPr>
              <w:t>Three and Nine Months Ended September 30, 2020</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500" w:type="dxa"/>
            <w:vAlign w:val="bottom"/>
          </w:tcPr>
          <w:p>
            <w:pPr>
              <w:spacing w:after="0"/>
              <w:rPr>
                <w:sz w:val="18"/>
                <w:szCs w:val="18"/>
                <w:color w:val="auto"/>
              </w:rPr>
            </w:pPr>
          </w:p>
        </w:tc>
        <w:tc>
          <w:tcPr>
            <w:tcW w:w="1620" w:type="dxa"/>
            <w:vAlign w:val="bottom"/>
            <w:gridSpan w:val="3"/>
          </w:tcPr>
          <w:p>
            <w:pPr>
              <w:ind w:left="260"/>
              <w:spacing w:after="0"/>
              <w:rPr>
                <w:sz w:val="20"/>
                <w:szCs w:val="20"/>
                <w:color w:val="auto"/>
              </w:rPr>
            </w:pPr>
            <w:r>
              <w:rPr>
                <w:rFonts w:ascii="Arial" w:cs="Arial" w:eastAsia="Arial" w:hAnsi="Arial"/>
                <w:sz w:val="14"/>
                <w:szCs w:val="14"/>
                <w:b w:val="1"/>
                <w:bCs w:val="1"/>
                <w:color w:val="auto"/>
              </w:rPr>
              <w:t>Common Stock</w:t>
            </w:r>
          </w:p>
        </w:tc>
        <w:tc>
          <w:tcPr>
            <w:tcW w:w="1620" w:type="dxa"/>
            <w:vAlign w:val="bottom"/>
            <w:gridSpan w:val="3"/>
          </w:tcPr>
          <w:p>
            <w:pPr>
              <w:ind w:left="2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Total WM</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500" w:type="dxa"/>
            <w:vAlign w:val="bottom"/>
          </w:tcPr>
          <w:p>
            <w:pPr>
              <w:spacing w:after="0"/>
              <w:rPr>
                <w:sz w:val="11"/>
                <w:szCs w:val="11"/>
                <w:color w:val="auto"/>
              </w:rPr>
            </w:pPr>
          </w:p>
        </w:tc>
        <w:tc>
          <w:tcPr>
            <w:tcW w:w="1000" w:type="dxa"/>
            <w:vAlign w:val="bottom"/>
          </w:tcPr>
          <w:p>
            <w:pPr>
              <w:ind w:left="520"/>
              <w:spacing w:after="0" w:line="129" w:lineRule="exact"/>
              <w:rPr>
                <w:sz w:val="20"/>
                <w:szCs w:val="20"/>
                <w:color w:val="auto"/>
              </w:rPr>
            </w:pPr>
            <w:r>
              <w:rPr>
                <w:rFonts w:ascii="Arial" w:cs="Arial" w:eastAsia="Arial" w:hAnsi="Arial"/>
                <w:sz w:val="14"/>
                <w:szCs w:val="14"/>
                <w:b w:val="1"/>
                <w:bCs w:val="1"/>
                <w:color w:val="auto"/>
                <w:w w:val="89"/>
              </w:rPr>
              <w:t>Class A</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ind w:left="500"/>
              <w:spacing w:after="0" w:line="129" w:lineRule="exact"/>
              <w:rPr>
                <w:sz w:val="20"/>
                <w:szCs w:val="20"/>
                <w:color w:val="auto"/>
              </w:rPr>
            </w:pPr>
            <w:r>
              <w:rPr>
                <w:rFonts w:ascii="Arial" w:cs="Arial" w:eastAsia="Arial" w:hAnsi="Arial"/>
                <w:sz w:val="14"/>
                <w:szCs w:val="14"/>
                <w:b w:val="1"/>
                <w:bCs w:val="1"/>
                <w:color w:val="auto"/>
                <w:w w:val="90"/>
              </w:rPr>
              <w:t>Class V</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5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tcPr>
          <w:p>
            <w:pPr>
              <w:ind w:left="40"/>
              <w:spacing w:after="0" w:line="52" w:lineRule="exact"/>
              <w:rPr>
                <w:sz w:val="20"/>
                <w:szCs w:val="20"/>
                <w:color w:val="auto"/>
              </w:rPr>
            </w:pPr>
            <w:r>
              <w:rPr>
                <w:rFonts w:ascii="Arial" w:cs="Arial" w:eastAsia="Arial" w:hAnsi="Arial"/>
                <w:sz w:val="5"/>
                <w:szCs w:val="5"/>
                <w:b w:val="1"/>
                <w:bCs w:val="1"/>
                <w:color w:val="auto"/>
              </w:rPr>
              <w:t>Additional</w:t>
            </w: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tcPr>
          <w:p>
            <w:pPr>
              <w:jc w:val="center"/>
              <w:ind w:right="200"/>
              <w:spacing w:after="0" w:line="52" w:lineRule="exact"/>
              <w:rPr>
                <w:sz w:val="20"/>
                <w:szCs w:val="20"/>
                <w:color w:val="auto"/>
              </w:rPr>
            </w:pPr>
            <w:r>
              <w:rPr>
                <w:rFonts w:ascii="Arial" w:cs="Arial" w:eastAsia="Arial" w:hAnsi="Arial"/>
                <w:sz w:val="5"/>
                <w:szCs w:val="5"/>
                <w:b w:val="1"/>
                <w:bCs w:val="1"/>
                <w:color w:val="auto"/>
              </w:rPr>
              <w:t>Technology, Inc.</w:t>
            </w:r>
          </w:p>
        </w:tc>
        <w:tc>
          <w:tcPr>
            <w:tcW w:w="100" w:type="dxa"/>
            <w:vAlign w:val="bottom"/>
          </w:tcPr>
          <w:p>
            <w:pPr>
              <w:spacing w:after="0"/>
              <w:rPr>
                <w:sz w:val="4"/>
                <w:szCs w:val="4"/>
                <w:color w:val="auto"/>
              </w:rPr>
            </w:pPr>
          </w:p>
        </w:tc>
        <w:tc>
          <w:tcPr>
            <w:tcW w:w="980" w:type="dxa"/>
            <w:vAlign w:val="bottom"/>
            <w:gridSpan w:val="2"/>
          </w:tcPr>
          <w:p>
            <w:pPr>
              <w:jc w:val="center"/>
              <w:ind w:right="260"/>
              <w:spacing w:after="0" w:line="52" w:lineRule="exact"/>
              <w:rPr>
                <w:sz w:val="20"/>
                <w:szCs w:val="20"/>
                <w:color w:val="auto"/>
              </w:rPr>
            </w:pPr>
            <w:r>
              <w:rPr>
                <w:rFonts w:ascii="Arial" w:cs="Arial" w:eastAsia="Arial" w:hAnsi="Arial"/>
                <w:sz w:val="5"/>
                <w:szCs w:val="5"/>
                <w:b w:val="1"/>
                <w:bCs w:val="1"/>
                <w:color w:val="auto"/>
              </w:rPr>
              <w:t>Non-</w:t>
            </w: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Par</w:t>
            </w:r>
          </w:p>
        </w:tc>
        <w:tc>
          <w:tcPr>
            <w:tcW w:w="9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96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8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8"/>
              </w:rPr>
              <w:t>Stockholders’</w:t>
            </w: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8"/>
              </w:rPr>
              <w:t>controlling</w:t>
            </w: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1"/>
              </w:rPr>
              <w:t>Members’</w:t>
            </w:r>
          </w:p>
        </w:tc>
        <w:tc>
          <w:tcPr>
            <w:tcW w:w="140" w:type="dxa"/>
            <w:vAlign w:val="bottom"/>
          </w:tcPr>
          <w:p>
            <w:pPr>
              <w:spacing w:after="0"/>
              <w:rPr>
                <w:sz w:val="12"/>
                <w:szCs w:val="12"/>
                <w:color w:val="auto"/>
              </w:rPr>
            </w:pPr>
          </w:p>
        </w:tc>
        <w:tc>
          <w:tcPr>
            <w:tcW w:w="10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79"/>
        </w:trPr>
        <w:tc>
          <w:tcPr>
            <w:tcW w:w="15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980" w:type="dxa"/>
            <w:vAlign w:val="bottom"/>
            <w:vMerge w:val="continue"/>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88"/>
              </w:rPr>
              <w:t>As of December 31, 2019</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w w:val="93"/>
              </w:rPr>
              <w:t>— $</w:t>
            </w:r>
          </w:p>
        </w:tc>
        <w:tc>
          <w:tcPr>
            <w:tcW w:w="4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5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12,799</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12,799</w:t>
            </w: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Arial" w:cs="Arial" w:eastAsia="Arial" w:hAnsi="Arial"/>
                <w:sz w:val="14"/>
                <w:szCs w:val="14"/>
                <w:color w:val="auto"/>
              </w:rPr>
              <w:t>Distributions to</w:t>
            </w:r>
          </w:p>
        </w:tc>
        <w:tc>
          <w:tcPr>
            <w:tcW w:w="1000" w:type="dxa"/>
            <w:vAlign w:val="bottom"/>
            <w:vMerge w:val="restart"/>
          </w:tcPr>
          <w:p>
            <w:pPr>
              <w:ind w:left="7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(3,123)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(3,123)</w:t>
            </w:r>
          </w:p>
        </w:tc>
        <w:tc>
          <w:tcPr>
            <w:tcW w:w="0" w:type="dxa"/>
            <w:vAlign w:val="bottom"/>
          </w:tcPr>
          <w:p>
            <w:pPr>
              <w:spacing w:after="0"/>
              <w:rPr>
                <w:sz w:val="1"/>
                <w:szCs w:val="1"/>
                <w:color w:val="auto"/>
              </w:rPr>
            </w:pPr>
          </w:p>
        </w:tc>
      </w:tr>
      <w:tr>
        <w:trPr>
          <w:trHeight w:val="177"/>
        </w:trPr>
        <w:tc>
          <w:tcPr>
            <w:tcW w:w="1500" w:type="dxa"/>
            <w:vAlign w:val="bottom"/>
          </w:tcPr>
          <w:p>
            <w:pPr>
              <w:ind w:left="120"/>
              <w:spacing w:after="0"/>
              <w:rPr>
                <w:sz w:val="20"/>
                <w:szCs w:val="20"/>
                <w:color w:val="auto"/>
              </w:rPr>
            </w:pPr>
            <w:r>
              <w:rPr>
                <w:rFonts w:ascii="Arial" w:cs="Arial" w:eastAsia="Arial" w:hAnsi="Arial"/>
                <w:sz w:val="14"/>
                <w:szCs w:val="14"/>
                <w:color w:val="auto"/>
              </w:rPr>
              <w:t>members</w:t>
            </w:r>
          </w:p>
        </w:tc>
        <w:tc>
          <w:tcPr>
            <w:tcW w:w="100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500" w:type="dxa"/>
            <w:vAlign w:val="bottom"/>
            <w:shd w:val="clear" w:color="auto" w:fill="CCEEFF"/>
          </w:tcPr>
          <w:p>
            <w:pPr>
              <w:ind w:left="120"/>
              <w:spacing w:after="0" w:line="132" w:lineRule="exact"/>
              <w:rPr>
                <w:sz w:val="20"/>
                <w:szCs w:val="20"/>
                <w:color w:val="auto"/>
              </w:rPr>
            </w:pPr>
            <w:r>
              <w:rPr>
                <w:rFonts w:ascii="Arial" w:cs="Arial" w:eastAsia="Arial" w:hAnsi="Arial"/>
                <w:sz w:val="14"/>
                <w:szCs w:val="14"/>
                <w:color w:val="auto"/>
                <w:w w:val="94"/>
              </w:rPr>
              <w:t>Repurchase of Class B</w:t>
            </w:r>
          </w:p>
        </w:tc>
        <w:tc>
          <w:tcPr>
            <w:tcW w:w="1000" w:type="dxa"/>
            <w:vAlign w:val="bottom"/>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0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5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income</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3,809</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3,809</w:t>
            </w:r>
          </w:p>
        </w:tc>
        <w:tc>
          <w:tcPr>
            <w:tcW w:w="0" w:type="dxa"/>
            <w:vAlign w:val="bottom"/>
          </w:tcPr>
          <w:p>
            <w:pPr>
              <w:spacing w:after="0"/>
              <w:rPr>
                <w:sz w:val="1"/>
                <w:szCs w:val="1"/>
                <w:color w:val="auto"/>
              </w:rPr>
            </w:pPr>
          </w:p>
        </w:tc>
      </w:tr>
      <w:tr>
        <w:trPr>
          <w:trHeight w:val="112"/>
        </w:trPr>
        <w:tc>
          <w:tcPr>
            <w:tcW w:w="150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b w:val="1"/>
                <w:bCs w:val="1"/>
                <w:color w:val="auto"/>
              </w:rPr>
              <w:t>As of</w:t>
            </w:r>
          </w:p>
        </w:tc>
        <w:tc>
          <w:tcPr>
            <w:tcW w:w="1000" w:type="dxa"/>
            <w:vAlign w:val="bottom"/>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13,395</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13,395</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March 31, 2020</w:t>
            </w:r>
          </w:p>
        </w:tc>
        <w:tc>
          <w:tcPr>
            <w:tcW w:w="100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Arial" w:cs="Arial" w:eastAsia="Arial" w:hAnsi="Arial"/>
                <w:sz w:val="14"/>
                <w:szCs w:val="14"/>
                <w:color w:val="auto"/>
              </w:rPr>
              <w:t>Distributions to</w:t>
            </w:r>
          </w:p>
        </w:tc>
        <w:tc>
          <w:tcPr>
            <w:tcW w:w="1000" w:type="dxa"/>
            <w:vAlign w:val="bottom"/>
            <w:vMerge w:val="restart"/>
          </w:tcPr>
          <w:p>
            <w:pPr>
              <w:ind w:left="7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(2,744)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(2,744)</w:t>
            </w:r>
          </w:p>
        </w:tc>
        <w:tc>
          <w:tcPr>
            <w:tcW w:w="0" w:type="dxa"/>
            <w:vAlign w:val="bottom"/>
          </w:tcPr>
          <w:p>
            <w:pPr>
              <w:spacing w:after="0"/>
              <w:rPr>
                <w:sz w:val="1"/>
                <w:szCs w:val="1"/>
                <w:color w:val="auto"/>
              </w:rPr>
            </w:pPr>
          </w:p>
        </w:tc>
      </w:tr>
      <w:tr>
        <w:trPr>
          <w:trHeight w:val="177"/>
        </w:trPr>
        <w:tc>
          <w:tcPr>
            <w:tcW w:w="1500" w:type="dxa"/>
            <w:vAlign w:val="bottom"/>
          </w:tcPr>
          <w:p>
            <w:pPr>
              <w:ind w:left="120"/>
              <w:spacing w:after="0"/>
              <w:rPr>
                <w:sz w:val="20"/>
                <w:szCs w:val="20"/>
                <w:color w:val="auto"/>
              </w:rPr>
            </w:pPr>
            <w:r>
              <w:rPr>
                <w:rFonts w:ascii="Arial" w:cs="Arial" w:eastAsia="Arial" w:hAnsi="Arial"/>
                <w:sz w:val="14"/>
                <w:szCs w:val="14"/>
                <w:color w:val="auto"/>
              </w:rPr>
              <w:t>members</w:t>
            </w:r>
          </w:p>
        </w:tc>
        <w:tc>
          <w:tcPr>
            <w:tcW w:w="100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500" w:type="dxa"/>
            <w:vAlign w:val="bottom"/>
            <w:shd w:val="clear" w:color="auto" w:fill="CCEEFF"/>
          </w:tcPr>
          <w:p>
            <w:pPr>
              <w:ind w:left="120"/>
              <w:spacing w:after="0" w:line="132" w:lineRule="exact"/>
              <w:rPr>
                <w:sz w:val="20"/>
                <w:szCs w:val="20"/>
                <w:color w:val="auto"/>
              </w:rPr>
            </w:pPr>
            <w:r>
              <w:rPr>
                <w:rFonts w:ascii="Arial" w:cs="Arial" w:eastAsia="Arial" w:hAnsi="Arial"/>
                <w:sz w:val="14"/>
                <w:szCs w:val="14"/>
                <w:color w:val="auto"/>
                <w:w w:val="94"/>
              </w:rPr>
              <w:t>Repurchase of Class B</w:t>
            </w:r>
          </w:p>
        </w:tc>
        <w:tc>
          <w:tcPr>
            <w:tcW w:w="1000" w:type="dxa"/>
            <w:vAlign w:val="bottom"/>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0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5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income</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9,393</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9,393</w:t>
            </w:r>
          </w:p>
        </w:tc>
        <w:tc>
          <w:tcPr>
            <w:tcW w:w="0" w:type="dxa"/>
            <w:vAlign w:val="bottom"/>
          </w:tcPr>
          <w:p>
            <w:pPr>
              <w:spacing w:after="0"/>
              <w:rPr>
                <w:sz w:val="1"/>
                <w:szCs w:val="1"/>
                <w:color w:val="auto"/>
              </w:rPr>
            </w:pPr>
          </w:p>
        </w:tc>
      </w:tr>
      <w:tr>
        <w:trPr>
          <w:trHeight w:val="112"/>
        </w:trPr>
        <w:tc>
          <w:tcPr>
            <w:tcW w:w="150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b w:val="1"/>
                <w:bCs w:val="1"/>
                <w:color w:val="auto"/>
              </w:rPr>
              <w:t>As of</w:t>
            </w:r>
          </w:p>
        </w:tc>
        <w:tc>
          <w:tcPr>
            <w:tcW w:w="1000" w:type="dxa"/>
            <w:vAlign w:val="bottom"/>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19,939</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19,939</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June 30, 2020</w:t>
            </w:r>
          </w:p>
        </w:tc>
        <w:tc>
          <w:tcPr>
            <w:tcW w:w="100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500" w:type="dxa"/>
            <w:vAlign w:val="bottom"/>
          </w:tcPr>
          <w:p>
            <w:pPr>
              <w:ind w:left="20"/>
              <w:spacing w:after="0"/>
              <w:rPr>
                <w:sz w:val="20"/>
                <w:szCs w:val="20"/>
                <w:color w:val="auto"/>
              </w:rPr>
            </w:pPr>
            <w:r>
              <w:rPr>
                <w:rFonts w:ascii="Arial" w:cs="Arial" w:eastAsia="Arial" w:hAnsi="Arial"/>
                <w:sz w:val="14"/>
                <w:szCs w:val="14"/>
                <w:color w:val="auto"/>
                <w:w w:val="94"/>
              </w:rPr>
              <w:t>Distributions to members</w:t>
            </w:r>
          </w:p>
        </w:tc>
        <w:tc>
          <w:tcPr>
            <w:tcW w:w="1000" w:type="dxa"/>
            <w:vAlign w:val="bottom"/>
          </w:tcPr>
          <w:p>
            <w:pPr>
              <w:ind w:left="74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(3,331)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(3,331)</w:t>
            </w:r>
          </w:p>
        </w:tc>
        <w:tc>
          <w:tcPr>
            <w:tcW w:w="0" w:type="dxa"/>
            <w:vAlign w:val="bottom"/>
          </w:tcPr>
          <w:p>
            <w:pPr>
              <w:spacing w:after="0"/>
              <w:rPr>
                <w:sz w:val="1"/>
                <w:szCs w:val="1"/>
                <w:color w:val="auto"/>
              </w:rPr>
            </w:pPr>
          </w:p>
        </w:tc>
      </w:tr>
      <w:tr>
        <w:trPr>
          <w:trHeight w:val="132"/>
        </w:trPr>
        <w:tc>
          <w:tcPr>
            <w:tcW w:w="150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Repurchase of Class B</w:t>
            </w:r>
          </w:p>
        </w:tc>
        <w:tc>
          <w:tcPr>
            <w:tcW w:w="1000" w:type="dxa"/>
            <w:vAlign w:val="bottom"/>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100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15,530</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15,530</w:t>
            </w:r>
          </w:p>
        </w:tc>
        <w:tc>
          <w:tcPr>
            <w:tcW w:w="0" w:type="dxa"/>
            <w:vAlign w:val="bottom"/>
          </w:tcPr>
          <w:p>
            <w:pPr>
              <w:spacing w:after="0"/>
              <w:rPr>
                <w:sz w:val="1"/>
                <w:szCs w:val="1"/>
                <w:color w:val="auto"/>
              </w:rPr>
            </w:pPr>
          </w:p>
        </w:tc>
      </w:tr>
      <w:tr>
        <w:trPr>
          <w:trHeight w:val="112"/>
        </w:trPr>
        <w:tc>
          <w:tcPr>
            <w:tcW w:w="150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b w:val="1"/>
                <w:bCs w:val="1"/>
                <w:color w:val="auto"/>
              </w:rPr>
              <w:t>As of September 30,</w:t>
            </w:r>
          </w:p>
        </w:tc>
        <w:tc>
          <w:tcPr>
            <w:tcW w:w="1000" w:type="dxa"/>
            <w:vAlign w:val="bottom"/>
            <w:vMerge w:val="restart"/>
            <w:shd w:val="clear" w:color="auto" w:fill="CCEEFF"/>
          </w:tcPr>
          <w:p>
            <w:pPr>
              <w:ind w:left="740"/>
              <w:spacing w:after="0"/>
              <w:rPr>
                <w:sz w:val="20"/>
                <w:szCs w:val="20"/>
                <w:color w:val="auto"/>
              </w:rPr>
            </w:pPr>
            <w:r>
              <w:rPr>
                <w:rFonts w:ascii="Arial" w:cs="Arial" w:eastAsia="Arial" w:hAnsi="Arial"/>
                <w:sz w:val="14"/>
                <w:szCs w:val="14"/>
                <w:color w:val="auto"/>
                <w:w w:val="93"/>
              </w:rPr>
              <w:t>— $</w:t>
            </w:r>
          </w:p>
        </w:tc>
        <w:tc>
          <w:tcPr>
            <w:tcW w:w="62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32,032</w:t>
            </w:r>
          </w:p>
        </w:tc>
        <w:tc>
          <w:tcPr>
            <w:tcW w:w="14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32,032</w:t>
            </w: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2020</w:t>
            </w:r>
          </w:p>
        </w:tc>
        <w:tc>
          <w:tcPr>
            <w:tcW w:w="100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5"/>
        </w:trPr>
        <w:tc>
          <w:tcPr>
            <w:tcW w:w="830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774"/>
        </w:trPr>
        <w:tc>
          <w:tcPr>
            <w:tcW w:w="1220" w:type="dxa"/>
            <w:vAlign w:val="bottom"/>
            <w:tcBorders>
              <w:top w:val="single" w:sz="8" w:color="0000FF"/>
            </w:tcBorders>
          </w:tcPr>
          <w:p>
            <w:pPr>
              <w:spacing w:after="0"/>
              <w:rPr>
                <w:sz w:val="24"/>
                <w:szCs w:val="24"/>
                <w:color w:val="auto"/>
              </w:rPr>
            </w:pPr>
          </w:p>
        </w:tc>
        <w:tc>
          <w:tcPr>
            <w:tcW w:w="7080" w:type="dxa"/>
            <w:vAlign w:val="bottom"/>
          </w:tcPr>
          <w:p>
            <w:pPr>
              <w:jc w:val="center"/>
              <w:ind w:left="1634"/>
              <w:spacing w:after="0"/>
              <w:rPr>
                <w:sz w:val="20"/>
                <w:szCs w:val="20"/>
                <w:color w:val="auto"/>
              </w:rPr>
            </w:pPr>
            <w:r>
              <w:rPr>
                <w:rFonts w:ascii="Arial" w:cs="Arial" w:eastAsia="Arial" w:hAnsi="Arial"/>
                <w:sz w:val="17"/>
                <w:szCs w:val="17"/>
                <w:b w:val="1"/>
                <w:bCs w:val="1"/>
                <w:color w:val="auto"/>
              </w:rPr>
              <w:t>WM TECHNOLOGY, INC. AND SUBSIDIARIES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080" w:type="dxa"/>
            <w:vAlign w:val="bottom"/>
          </w:tcPr>
          <w:p>
            <w:pPr>
              <w:jc w:val="center"/>
              <w:ind w:left="1634"/>
              <w:spacing w:after="0"/>
              <w:rPr>
                <w:sz w:val="20"/>
                <w:szCs w:val="20"/>
                <w:color w:val="auto"/>
              </w:rPr>
            </w:pPr>
            <w:r>
              <w:rPr>
                <w:rFonts w:ascii="Arial" w:cs="Arial" w:eastAsia="Arial" w:hAnsi="Arial"/>
                <w:sz w:val="17"/>
                <w:szCs w:val="17"/>
                <w:b w:val="1"/>
                <w:bCs w:val="1"/>
                <w:color w:val="auto"/>
                <w:w w:val="99"/>
              </w:rPr>
              <w:t>CONDENSED CONSOLIDATED STATEMENTS OF CASH FLOWS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1220" w:type="dxa"/>
            <w:vAlign w:val="bottom"/>
          </w:tcPr>
          <w:p>
            <w:pPr>
              <w:spacing w:after="0"/>
              <w:rPr>
                <w:sz w:val="17"/>
                <w:szCs w:val="17"/>
                <w:color w:val="auto"/>
              </w:rPr>
            </w:pPr>
          </w:p>
        </w:tc>
        <w:tc>
          <w:tcPr>
            <w:tcW w:w="7080" w:type="dxa"/>
            <w:vAlign w:val="bottom"/>
          </w:tcPr>
          <w:p>
            <w:pPr>
              <w:jc w:val="center"/>
              <w:ind w:left="1634"/>
              <w:spacing w:after="0"/>
              <w:rPr>
                <w:sz w:val="20"/>
                <w:szCs w:val="20"/>
                <w:color w:val="auto"/>
              </w:rPr>
            </w:pPr>
            <w:r>
              <w:rPr>
                <w:rFonts w:ascii="Arial" w:cs="Arial" w:eastAsia="Arial" w:hAnsi="Arial"/>
                <w:sz w:val="17"/>
                <w:szCs w:val="17"/>
                <w:b w:val="1"/>
                <w:bCs w:val="1"/>
                <w:color w:val="auto"/>
                <w:w w:val="93"/>
              </w:rPr>
              <w:t>(Unaudited)</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3"/>
        </w:trPr>
        <w:tc>
          <w:tcPr>
            <w:tcW w:w="1220" w:type="dxa"/>
            <w:vAlign w:val="bottom"/>
          </w:tcPr>
          <w:p>
            <w:pPr>
              <w:spacing w:after="0"/>
              <w:rPr>
                <w:sz w:val="19"/>
                <w:szCs w:val="19"/>
                <w:color w:val="auto"/>
              </w:rPr>
            </w:pPr>
          </w:p>
        </w:tc>
        <w:tc>
          <w:tcPr>
            <w:tcW w:w="7080" w:type="dxa"/>
            <w:vAlign w:val="bottom"/>
          </w:tcPr>
          <w:p>
            <w:pPr>
              <w:jc w:val="center"/>
              <w:ind w:left="1654"/>
              <w:spacing w:after="0"/>
              <w:rPr>
                <w:sz w:val="20"/>
                <w:szCs w:val="20"/>
                <w:color w:val="auto"/>
              </w:rPr>
            </w:pPr>
            <w:r>
              <w:rPr>
                <w:rFonts w:ascii="Arial" w:cs="Arial" w:eastAsia="Arial" w:hAnsi="Arial"/>
                <w:sz w:val="17"/>
                <w:szCs w:val="17"/>
                <w:b w:val="1"/>
                <w:bCs w:val="1"/>
                <w:color w:val="auto"/>
                <w:w w:val="90"/>
              </w:rPr>
              <w:t>(In thousands)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49"/>
        </w:trPr>
        <w:tc>
          <w:tcPr>
            <w:tcW w:w="12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7"/>
                <w:szCs w:val="17"/>
                <w:b w:val="1"/>
                <w:bCs w:val="1"/>
                <w:color w:val="auto"/>
                <w:w w:val="92"/>
              </w:rPr>
              <w:t>Nine Months Ended September 30,</w:t>
            </w:r>
          </w:p>
        </w:tc>
      </w:tr>
      <w:tr>
        <w:trPr>
          <w:trHeight w:val="213"/>
        </w:trPr>
        <w:tc>
          <w:tcPr>
            <w:tcW w:w="1220" w:type="dxa"/>
            <w:vAlign w:val="bottom"/>
            <w:tcBorders>
              <w:bottom w:val="single" w:sz="8" w:color="CCEEFF"/>
            </w:tcBorders>
          </w:tcPr>
          <w:p>
            <w:pPr>
              <w:spacing w:after="0"/>
              <w:rPr>
                <w:sz w:val="18"/>
                <w:szCs w:val="18"/>
                <w:color w:val="auto"/>
              </w:rPr>
            </w:pPr>
          </w:p>
        </w:tc>
        <w:tc>
          <w:tcPr>
            <w:tcW w:w="7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r>
      <w:tr>
        <w:trPr>
          <w:trHeight w:val="199"/>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8"/>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73,773</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28,732</w:t>
            </w:r>
          </w:p>
        </w:tc>
      </w:tr>
      <w:tr>
        <w:trPr>
          <w:trHeight w:val="220"/>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8300" w:type="dxa"/>
            <w:vAlign w:val="bottom"/>
            <w:gridSpan w:val="2"/>
          </w:tcPr>
          <w:p>
            <w:pPr>
              <w:ind w:left="22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2,970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2,980</w:t>
            </w:r>
          </w:p>
        </w:tc>
      </w:tr>
      <w:tr>
        <w:trPr>
          <w:trHeight w:val="22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Change in fair value of warrant liability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300" w:type="dxa"/>
            <w:vAlign w:val="bottom"/>
            <w:gridSpan w:val="2"/>
          </w:tcPr>
          <w:p>
            <w:pPr>
              <w:ind w:left="220"/>
              <w:spacing w:after="0"/>
              <w:rPr>
                <w:sz w:val="20"/>
                <w:szCs w:val="20"/>
                <w:color w:val="auto"/>
              </w:rPr>
            </w:pPr>
            <w:r>
              <w:rPr>
                <w:rFonts w:ascii="Arial" w:cs="Arial" w:eastAsia="Arial" w:hAnsi="Arial"/>
                <w:sz w:val="17"/>
                <w:szCs w:val="17"/>
                <w:color w:val="auto"/>
              </w:rPr>
              <w:t>Impairment loss on right-of-use asset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Stock-based compensation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300" w:type="dxa"/>
            <w:vAlign w:val="bottom"/>
            <w:gridSpan w:val="2"/>
          </w:tcPr>
          <w:p>
            <w:pPr>
              <w:ind w:left="220"/>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Provision for doubtful accounts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Accounts receivable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w:t>
            </w:r>
          </w:p>
        </w:tc>
      </w:tr>
      <w:tr>
        <w:trPr>
          <w:trHeight w:val="218"/>
        </w:trPr>
        <w:tc>
          <w:tcPr>
            <w:tcW w:w="8300" w:type="dxa"/>
            <w:vAlign w:val="bottom"/>
            <w:gridSpan w:val="2"/>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6,504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(450)</w:t>
            </w:r>
          </w:p>
        </w:tc>
      </w:tr>
      <w:tr>
        <w:trPr>
          <w:trHeight w:val="22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w:t>
            </w:r>
          </w:p>
        </w:tc>
      </w:tr>
      <w:tr>
        <w:trPr>
          <w:trHeight w:val="218"/>
        </w:trPr>
        <w:tc>
          <w:tcPr>
            <w:tcW w:w="8300" w:type="dxa"/>
            <w:vAlign w:val="bottom"/>
            <w:gridSpan w:val="2"/>
          </w:tcPr>
          <w:p>
            <w:pPr>
              <w:ind w:left="220"/>
              <w:spacing w:after="0"/>
              <w:rPr>
                <w:sz w:val="20"/>
                <w:szCs w:val="20"/>
                <w:color w:val="auto"/>
              </w:rPr>
            </w:pPr>
            <w:r>
              <w:rPr>
                <w:rFonts w:ascii="Arial" w:cs="Arial" w:eastAsia="Arial" w:hAnsi="Arial"/>
                <w:sz w:val="17"/>
                <w:szCs w:val="17"/>
                <w:color w:val="auto"/>
              </w:rPr>
              <w:t>Accounts payable and accrued expenses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(1,098)</w:t>
            </w:r>
          </w:p>
        </w:tc>
      </w:tr>
      <w:tr>
        <w:trPr>
          <w:trHeight w:val="22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3,180</w:t>
            </w:r>
          </w:p>
        </w:tc>
      </w:tr>
      <w:tr>
        <w:trPr>
          <w:trHeight w:val="211"/>
        </w:trPr>
        <w:tc>
          <w:tcPr>
            <w:tcW w:w="83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25,173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29,566</w:t>
            </w:r>
          </w:p>
        </w:tc>
      </w:tr>
      <w:tr>
        <w:trPr>
          <w:trHeight w:val="135"/>
        </w:trPr>
        <w:tc>
          <w:tcPr>
            <w:tcW w:w="1220" w:type="dxa"/>
            <w:vAlign w:val="bottom"/>
            <w:shd w:val="clear" w:color="auto" w:fill="CCEEFF"/>
          </w:tcPr>
          <w:p>
            <w:pPr>
              <w:spacing w:after="0"/>
              <w:rPr>
                <w:sz w:val="11"/>
                <w:szCs w:val="11"/>
                <w:color w:val="auto"/>
              </w:rPr>
            </w:pPr>
          </w:p>
        </w:tc>
        <w:tc>
          <w:tcPr>
            <w:tcW w:w="7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Purchases of property and equipment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w:t>
            </w:r>
          </w:p>
        </w:tc>
      </w:tr>
      <w:tr>
        <w:trPr>
          <w:trHeight w:val="218"/>
        </w:trPr>
        <w:tc>
          <w:tcPr>
            <w:tcW w:w="8300" w:type="dxa"/>
            <w:vAlign w:val="bottom"/>
            <w:gridSpan w:val="2"/>
          </w:tcPr>
          <w:p>
            <w:pPr>
              <w:ind w:left="220"/>
              <w:spacing w:after="0"/>
              <w:rPr>
                <w:sz w:val="20"/>
                <w:szCs w:val="20"/>
                <w:color w:val="auto"/>
              </w:rPr>
            </w:pPr>
            <w:r>
              <w:rPr>
                <w:rFonts w:ascii="Arial" w:cs="Arial" w:eastAsia="Arial" w:hAnsi="Arial"/>
                <w:sz w:val="17"/>
                <w:szCs w:val="17"/>
                <w:color w:val="auto"/>
              </w:rPr>
              <w:t>Cash paid for acquisitions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Cash paid for other investments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83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w:t>
            </w:r>
          </w:p>
        </w:tc>
      </w:tr>
      <w:tr>
        <w:trPr>
          <w:trHeight w:val="135"/>
        </w:trPr>
        <w:tc>
          <w:tcPr>
            <w:tcW w:w="1220" w:type="dxa"/>
            <w:vAlign w:val="bottom"/>
            <w:shd w:val="clear" w:color="auto" w:fill="CCEEFF"/>
          </w:tcPr>
          <w:p>
            <w:pPr>
              <w:spacing w:after="0"/>
              <w:rPr>
                <w:sz w:val="11"/>
                <w:szCs w:val="11"/>
                <w:color w:val="auto"/>
              </w:rPr>
            </w:pPr>
          </w:p>
        </w:tc>
        <w:tc>
          <w:tcPr>
            <w:tcW w:w="7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Proceeds from the Business Combination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300" w:type="dxa"/>
            <w:vAlign w:val="bottom"/>
            <w:gridSpan w:val="2"/>
          </w:tcPr>
          <w:p>
            <w:pPr>
              <w:ind w:left="220"/>
              <w:spacing w:after="0"/>
              <w:rPr>
                <w:sz w:val="20"/>
                <w:szCs w:val="20"/>
                <w:color w:val="auto"/>
              </w:rPr>
            </w:pPr>
            <w:r>
              <w:rPr>
                <w:rFonts w:ascii="Arial" w:cs="Arial" w:eastAsia="Arial" w:hAnsi="Arial"/>
                <w:sz w:val="17"/>
                <w:szCs w:val="17"/>
                <w:color w:val="auto"/>
              </w:rPr>
              <w:t>Payment of note payable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Distributions to members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(9,198)</w:t>
            </w:r>
          </w:p>
        </w:tc>
      </w:tr>
      <w:tr>
        <w:trPr>
          <w:trHeight w:val="218"/>
        </w:trPr>
        <w:tc>
          <w:tcPr>
            <w:tcW w:w="830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Repurchase of Class B Units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w:t>
            </w:r>
          </w:p>
        </w:tc>
      </w:tr>
      <w:tr>
        <w:trPr>
          <w:trHeight w:val="212"/>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56,089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(9,499)</w:t>
            </w:r>
          </w:p>
        </w:tc>
      </w:tr>
      <w:tr>
        <w:trPr>
          <w:trHeight w:val="135"/>
        </w:trPr>
        <w:tc>
          <w:tcPr>
            <w:tcW w:w="12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19"/>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increase in cash</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19,164</w:t>
            </w:r>
          </w:p>
        </w:tc>
      </w:tr>
      <w:tr>
        <w:trPr>
          <w:trHeight w:val="218"/>
        </w:trPr>
        <w:tc>
          <w:tcPr>
            <w:tcW w:w="83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Cash – beginning of period</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4,968</w:t>
            </w:r>
          </w:p>
        </w:tc>
      </w:tr>
      <w:tr>
        <w:trPr>
          <w:trHeight w:val="238"/>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Cash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24,132</w:t>
            </w:r>
          </w:p>
        </w:tc>
      </w:tr>
      <w:tr>
        <w:trPr>
          <w:trHeight w:val="20"/>
        </w:trPr>
        <w:tc>
          <w:tcPr>
            <w:tcW w:w="8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12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19"/>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disclosures of noncash activities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8300" w:type="dxa"/>
            <w:vAlign w:val="bottom"/>
            <w:gridSpan w:val="2"/>
          </w:tcPr>
          <w:p>
            <w:pPr>
              <w:ind w:left="120"/>
              <w:spacing w:after="0"/>
              <w:rPr>
                <w:sz w:val="20"/>
                <w:szCs w:val="20"/>
                <w:color w:val="auto"/>
              </w:rPr>
            </w:pPr>
            <w:r>
              <w:rPr>
                <w:rFonts w:ascii="Arial" w:cs="Arial" w:eastAsia="Arial" w:hAnsi="Arial"/>
                <w:sz w:val="17"/>
                <w:szCs w:val="17"/>
                <w:color w:val="auto"/>
              </w:rPr>
              <w:t>Warranty liability assumed from the Business Combination</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193,978</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Tax receivable agreement liability recognized in connection with the Business Combination</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300" w:type="dxa"/>
            <w:vAlign w:val="bottom"/>
            <w:gridSpan w:val="2"/>
          </w:tcPr>
          <w:p>
            <w:pPr>
              <w:ind w:left="120"/>
              <w:spacing w:after="0"/>
              <w:rPr>
                <w:sz w:val="20"/>
                <w:szCs w:val="20"/>
                <w:color w:val="auto"/>
              </w:rPr>
            </w:pPr>
            <w:r>
              <w:rPr>
                <w:rFonts w:ascii="Arial" w:cs="Arial" w:eastAsia="Arial" w:hAnsi="Arial"/>
                <w:sz w:val="17"/>
                <w:szCs w:val="17"/>
                <w:color w:val="auto"/>
              </w:rPr>
              <w:t>Deferred tax assets recognized in connection with the Business Combination</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147,973</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assets assumed from the Business Combination</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300" w:type="dxa"/>
            <w:vAlign w:val="bottom"/>
            <w:gridSpan w:val="2"/>
          </w:tcPr>
          <w:p>
            <w:pPr>
              <w:ind w:left="120"/>
              <w:spacing w:after="0"/>
              <w:rPr>
                <w:sz w:val="20"/>
                <w:szCs w:val="20"/>
                <w:color w:val="auto"/>
              </w:rPr>
            </w:pPr>
            <w:r>
              <w:rPr>
                <w:rFonts w:ascii="Arial" w:cs="Arial" w:eastAsia="Arial" w:hAnsi="Arial"/>
                <w:sz w:val="17"/>
                <w:szCs w:val="17"/>
                <w:color w:val="auto"/>
              </w:rPr>
              <w:t>Issuance of equity for acquisitions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29,312</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Holdback liability recognized in connection with acquisition</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300" w:type="dxa"/>
            <w:vAlign w:val="bottom"/>
            <w:gridSpan w:val="2"/>
          </w:tcPr>
          <w:p>
            <w:pPr>
              <w:ind w:left="120"/>
              <w:spacing w:after="0"/>
              <w:rPr>
                <w:sz w:val="20"/>
                <w:szCs w:val="20"/>
                <w:color w:val="auto"/>
              </w:rPr>
            </w:pPr>
            <w:r>
              <w:rPr>
                <w:rFonts w:ascii="Arial" w:cs="Arial" w:eastAsia="Arial" w:hAnsi="Arial"/>
                <w:sz w:val="17"/>
                <w:szCs w:val="17"/>
                <w:color w:val="auto"/>
              </w:rPr>
              <w:t>Stock-based compensation capitalized for software development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695</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6174740</wp:posOffset>
            </wp:positionH>
            <wp:positionV relativeFrom="paragraph">
              <wp:posOffset>-5728970</wp:posOffset>
            </wp:positionV>
            <wp:extent cx="5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5"/>
          <w:szCs w:val="15"/>
          <w:b w:val="1"/>
          <w:bCs w:val="1"/>
          <w:color w:val="auto"/>
        </w:rPr>
        <w:t>Business and Organization</w:t>
      </w:r>
    </w:p>
    <w:p>
      <w:pPr>
        <w:spacing w:after="0" w:line="120" w:lineRule="exact"/>
        <w:rPr>
          <w:sz w:val="20"/>
          <w:szCs w:val="20"/>
          <w:color w:val="auto"/>
        </w:rPr>
      </w:pPr>
    </w:p>
    <w:p>
      <w:pPr>
        <w:jc w:val="both"/>
        <w:ind w:firstLine="464"/>
        <w:spacing w:after="0" w:line="291" w:lineRule="auto"/>
        <w:rPr>
          <w:sz w:val="20"/>
          <w:szCs w:val="20"/>
          <w:color w:val="auto"/>
        </w:rPr>
      </w:pPr>
      <w:r>
        <w:rPr>
          <w:rFonts w:ascii="Arial" w:cs="Arial" w:eastAsia="Arial" w:hAnsi="Arial"/>
          <w:sz w:val="15"/>
          <w:szCs w:val="15"/>
          <w:color w:val="auto"/>
        </w:rPr>
        <w:t>WM Technology, Inc. (the “Company”) is a technology and software infrastructure provider to retailers and brands in the U.S. state-legal and Canadian cannabis markets. The Company also provides information on the cannabis plant and the industry and advocates for legalization. The Weedmaps listings marketplace provides consumers with information regarding cannabis retailers and brands, as well as the strain, pricing, and other information regarding locally available cannabis products, through the Company’s website and mobile apps, permitting product discovery and reservation of products for pickup by consumers or delivery to consumers by participating retailers. The Company sells its offerings in the United States, and the Company has a limited number of non-monetized listings in several international countries including Austria, Canada, Germany, the Netherlands, Spain, and Switzerland. Through December 31, 2020, the Company offered standard listing subscription clients access to a listing page on weedmaps.com in addition to free access to its SaaS solutions, including WM Orders, WM Dispatch, WM Exchange, WM Retail and WM Store, along with its API integrations with third-party point-of-sale (“POS”) systems. For access to the orders functionality, beginning in September 2019, standard listing clients were also then required to pay a fixed services fee per delivery order submitted which the Company imposed regardless of whether the proposed order was canceled or completed. As of January 1, 2021, the Company migrated all standard listing subscription clients to its new WM Business subscription package. Under this new subscription package, all retailers continue to receive access to a standard listing page and SaaS solutions. In addition, the Company began including access to WM Dashboard and eliminated the technology services fee on delivery orders as part of the transition to the new WM Business subscription package. The Company operates in the United States, Canada, and other foreign jurisdictions where medical and/or adult use cannabis is legal under state or applicable national law. The Company is headquartered in Irvine, California.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Business Combination</w:t>
      </w:r>
    </w:p>
    <w:p>
      <w:pPr>
        <w:spacing w:after="0" w:line="114"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6"/>
          <w:szCs w:val="16"/>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6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w:t>
      </w:r>
    </w:p>
    <w:p>
      <w:pPr>
        <w:spacing w:after="0" w:line="158" w:lineRule="exact"/>
        <w:rPr>
          <w:sz w:val="20"/>
          <w:szCs w:val="20"/>
          <w:color w:val="auto"/>
        </w:rPr>
      </w:pPr>
    </w:p>
    <w:p>
      <w:pPr>
        <w:ind w:left="340" w:hanging="337"/>
        <w:spacing w:after="0"/>
        <w:tabs>
          <w:tab w:leader="none" w:pos="3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120"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summary of significant accounting policies presented below is designed to assist in understanding the Company’s condensed consolidated financial statements. Such condensed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GAAP and applicable rules and regulations of the U.S. Securities and Exchange Commission (“SEC”) for quarterly reports on Form 10-Q and Article 10-1 of Regulation S-X. Accordingly, certain information and footnotes required by GAAP in annual financial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statements have been omitted or condensed and these interim financial statements should be read in conjunction with the Company’s audited financial statements and accompanying notes included in the Company’s Registration Statement on Form S-1 filed with the SEC on July 8, 2021. The condensed financial statements of the Company include all adjustments of a normal recurring nature which, in the opinion of management, are necessary for a fair statement of the Company’s financial position as of September 30, 2021, and results of its operations and its cash flows for the interim periods presented. The results of operations for the nine months ended September 30, 2021 are not necessarily indicative of the results to be expected for the entire year. There have been no significant changes in the Company’s accounting policies from those described in the Company’s audited consolidated financial statements and the related notes to those statements, other than the adoption of the lease accounting guidance.</w:t>
      </w:r>
    </w:p>
    <w:p>
      <w:pPr>
        <w:spacing w:after="0" w:line="82"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72"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Accordingly, for accounting purposes, the Reverse Recapitalization was treated as the equivalent of Legacy WMH issuing stock for the net assets of Silver Spike, accompanied by a recapitalization.</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Legacy WMH was determined to be the accounting acquirer based on evaluation of the following facts and circumstances:</w:t>
      </w:r>
    </w:p>
    <w:p>
      <w:pPr>
        <w:spacing w:after="0" w:line="114" w:lineRule="exact"/>
        <w:rPr>
          <w:sz w:val="20"/>
          <w:szCs w:val="20"/>
          <w:color w:val="auto"/>
        </w:rPr>
      </w:pPr>
    </w:p>
    <w:p>
      <w:pPr>
        <w:ind w:left="1240" w:hanging="309"/>
        <w:spacing w:after="0" w:line="279" w:lineRule="auto"/>
        <w:tabs>
          <w:tab w:leader="none" w:pos="1236" w:val="left"/>
        </w:tabs>
        <w:numPr>
          <w:ilvl w:val="0"/>
          <w:numId w:val="4"/>
        </w:numPr>
        <w:rPr>
          <w:rFonts w:ascii="Arial" w:cs="Arial" w:eastAsia="Arial" w:hAnsi="Arial"/>
          <w:sz w:val="17"/>
          <w:szCs w:val="17"/>
          <w:color w:val="auto"/>
        </w:rPr>
      </w:pPr>
      <w:r>
        <w:rPr>
          <w:rFonts w:ascii="Arial" w:cs="Arial" w:eastAsia="Arial" w:hAnsi="Arial"/>
          <w:sz w:val="17"/>
          <w:szCs w:val="17"/>
          <w:color w:val="auto"/>
        </w:rPr>
        <w:t>Legacy WMH Class A Unit holders, through their ownership of the Class V Common Stock, have the greatest voting interest in the Company with over 50% of the voting interest;</w:t>
      </w:r>
    </w:p>
    <w:p>
      <w:pPr>
        <w:spacing w:after="0" w:line="61" w:lineRule="exact"/>
        <w:rPr>
          <w:rFonts w:ascii="Arial" w:cs="Arial" w:eastAsia="Arial" w:hAnsi="Arial"/>
          <w:sz w:val="17"/>
          <w:szCs w:val="17"/>
          <w:color w:val="auto"/>
        </w:rPr>
      </w:pPr>
    </w:p>
    <w:p>
      <w:pPr>
        <w:ind w:left="1240" w:hanging="3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Legacy WMH selected the majority of the new board of directors of the Company;</w:t>
      </w:r>
    </w:p>
    <w:p>
      <w:pPr>
        <w:spacing w:after="0" w:line="113" w:lineRule="exact"/>
        <w:rPr>
          <w:rFonts w:ascii="Arial" w:cs="Arial" w:eastAsia="Arial" w:hAnsi="Arial"/>
          <w:sz w:val="17"/>
          <w:szCs w:val="17"/>
          <w:color w:val="auto"/>
        </w:rPr>
      </w:pPr>
    </w:p>
    <w:p>
      <w:pPr>
        <w:ind w:left="1240" w:hanging="3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Legacy WMH senior management is the senior management of the Company; and</w:t>
      </w:r>
    </w:p>
    <w:p>
      <w:pPr>
        <w:spacing w:after="0" w:line="113" w:lineRule="exact"/>
        <w:rPr>
          <w:rFonts w:ascii="Arial" w:cs="Arial" w:eastAsia="Arial" w:hAnsi="Arial"/>
          <w:sz w:val="17"/>
          <w:szCs w:val="17"/>
          <w:color w:val="auto"/>
        </w:rPr>
      </w:pPr>
    </w:p>
    <w:p>
      <w:pPr>
        <w:ind w:left="1240" w:hanging="3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Legacy WMH is the larger entity based on historical operating activity and has the larger employee base.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Thus, the financial statements included in this quarterly report reflect (i) the historical operating results of Legacy WMH prior to the Business Combination;</w:t>
      </w:r>
    </w:p>
    <w:p>
      <w:pPr>
        <w:spacing w:after="0" w:line="45" w:lineRule="exact"/>
        <w:rPr>
          <w:sz w:val="20"/>
          <w:szCs w:val="20"/>
          <w:color w:val="auto"/>
        </w:rPr>
      </w:pPr>
    </w:p>
    <w:p>
      <w:pPr>
        <w:ind w:firstLine="3"/>
        <w:spacing w:after="0" w:line="266" w:lineRule="auto"/>
        <w:tabs>
          <w:tab w:leader="none" w:pos="25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combined results of the WMH LLC and Silver Spike following the Business Combination; and (iii) the acquired assets and liabilities of Silver Spike stated at historical cost, with no goodwill or other intangible assets recorded.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The condensed consolidated financial statements include the accounts of WM Technology, Inc. and WM Holding Company, LLC and its subsidiaries, GMG Holdco, Inc., Weedmaps Media, LLC (“Weedmaps”), Ghost Management Group, LLC, WM Canada Holdings, Inc., WM Enterprise, LLC, WM Marketplace, LLC, Weedmaps Spain, S.LU., WM Retail, LLC, Grow One Software (Canada), Inc., Discovery Opco, LLC, WM Museum, LLC, WM Teal, LLC, Weedmaps Germany GmbH, Transport Logistics Holding Company, LLC and WM Loyalty, LLC. All significant intercompany balance and transactions have been eliminated upon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nine months ended September 30, 2021 and 2020.</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4"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5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and tax receivable agreement liability, revenue recognition, stock-based compensation, and the recognition and disclosure of contingent liabilities.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114"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55"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1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Accounts receivable is recorded at the invoiced amount and does not bear interest. The allowance for doubtful accounts is the Company’s best estimate of the amount of probable credit losses in existing accounts receivable. The allowance for doubtful accounts is reviewed on a monthly basis and the Company reserves for all balances outstanding in excess of ninety days. Account balances are written off against the allowance when it is determined that it is probable that the receivable will not be recovered. The Company recorded a provision for doubtful accounts of $3.0 million and $0.9 million as of September 30, 2021 and December 31, 2020,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The Company’s revenues are derived primarily from monthly subscriptions and additional offerings for access to the Company’s Weedmaps platform and the Company’s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65"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Substantially all of the Company’s revenue is generated by providing standard listing and software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The Company may also provide services to its customers, including access to the Company’s orders functionality, which are recognized at a point in time, typically when an order for delivery or pickup is submitted.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 Starting on January 1, 2021, the Company eliminated the technology services fee charge related to the Company’s orders functionality.</w:t>
      </w:r>
    </w:p>
    <w:p>
      <w:pPr>
        <w:spacing w:after="0" w:line="66"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Deferred revenue primarily consists of billings or payments received in advance of revenue recognition from subscription offerings, as described above, and is recognized as the revenue recognition criteria are met. The prior year deferred revenue balance of $5.3 million was fully recognized in the first quarter of fiscal year 2021, and the deferred revenue balance as of September 30, 2021 of $7.8 million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Company’s disaggregated net revenue information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5"/>
          </w:tcPr>
          <w:p>
            <w:pPr>
              <w:ind w:left="40"/>
              <w:spacing w:after="0"/>
              <w:rPr>
                <w:sz w:val="20"/>
                <w:szCs w:val="20"/>
                <w:color w:val="auto"/>
              </w:rPr>
            </w:pPr>
            <w:r>
              <w:rPr>
                <w:rFonts w:ascii="Arial" w:cs="Arial" w:eastAsia="Arial" w:hAnsi="Arial"/>
                <w:sz w:val="17"/>
                <w:szCs w:val="17"/>
                <w:b w:val="1"/>
                <w:bCs w:val="1"/>
                <w:color w:val="auto"/>
                <w:w w:val="97"/>
              </w:rPr>
              <w:t>Three months ended September 30,</w:t>
            </w:r>
          </w:p>
        </w:tc>
        <w:tc>
          <w:tcPr>
            <w:tcW w:w="160" w:type="dxa"/>
            <w:vAlign w:val="bottom"/>
          </w:tcPr>
          <w:p>
            <w:pPr>
              <w:spacing w:after="0"/>
              <w:rPr>
                <w:sz w:val="19"/>
                <w:szCs w:val="19"/>
                <w:color w:val="auto"/>
              </w:rPr>
            </w:pPr>
          </w:p>
        </w:tc>
        <w:tc>
          <w:tcPr>
            <w:tcW w:w="2760" w:type="dxa"/>
            <w:vAlign w:val="bottom"/>
            <w:gridSpan w:val="4"/>
          </w:tcPr>
          <w:p>
            <w:pPr>
              <w:jc w:val="right"/>
              <w:ind w:right="114"/>
              <w:spacing w:after="0"/>
              <w:rPr>
                <w:sz w:val="20"/>
                <w:szCs w:val="20"/>
                <w:color w:val="auto"/>
              </w:rPr>
            </w:pPr>
            <w:r>
              <w:rPr>
                <w:rFonts w:ascii="Arial" w:cs="Arial" w:eastAsia="Arial" w:hAnsi="Arial"/>
                <w:sz w:val="17"/>
                <w:szCs w:val="17"/>
                <w:b w:val="1"/>
                <w:bCs w:val="1"/>
                <w:color w:val="auto"/>
                <w:w w:val="91"/>
              </w:rPr>
              <w:t>Nine months ended September 30,</w:t>
            </w:r>
          </w:p>
        </w:tc>
      </w:tr>
      <w:tr>
        <w:trPr>
          <w:trHeight w:val="213"/>
        </w:trPr>
        <w:tc>
          <w:tcPr>
            <w:tcW w:w="53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r>
      <w:tr>
        <w:trPr>
          <w:trHeight w:val="302"/>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recognized over time</w:t>
            </w:r>
            <w:r>
              <w:rPr>
                <w:rFonts w:ascii="Arial" w:cs="Arial" w:eastAsia="Arial" w:hAnsi="Arial"/>
                <w:sz w:val="22"/>
                <w:szCs w:val="22"/>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138,969</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112,615</w:t>
            </w:r>
          </w:p>
        </w:tc>
      </w:tr>
      <w:tr>
        <w:trPr>
          <w:trHeight w:val="322"/>
        </w:trPr>
        <w:tc>
          <w:tcPr>
            <w:tcW w:w="5320" w:type="dxa"/>
            <w:vAlign w:val="bottom"/>
          </w:tcPr>
          <w:p>
            <w:pPr>
              <w:ind w:left="20"/>
              <w:spacing w:after="0"/>
              <w:rPr>
                <w:sz w:val="20"/>
                <w:szCs w:val="20"/>
                <w:color w:val="auto"/>
              </w:rPr>
            </w:pPr>
            <w:r>
              <w:rPr>
                <w:rFonts w:ascii="Arial" w:cs="Arial" w:eastAsia="Arial" w:hAnsi="Arial"/>
                <w:sz w:val="17"/>
                <w:szCs w:val="17"/>
                <w:color w:val="auto"/>
              </w:rPr>
              <w:t>Revenues recognized at a point in time</w:t>
            </w:r>
            <w:r>
              <w:rPr>
                <w:rFonts w:ascii="Arial" w:cs="Arial" w:eastAsia="Arial" w:hAnsi="Arial"/>
                <w:sz w:val="22"/>
                <w:szCs w:val="22"/>
                <w:color w:val="auto"/>
                <w:vertAlign w:val="superscript"/>
              </w:rPr>
              <w:t>(2)</w:t>
            </w:r>
          </w:p>
        </w:tc>
        <w:tc>
          <w:tcPr>
            <w:tcW w:w="12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2,046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4,855</w:t>
            </w:r>
          </w:p>
        </w:tc>
      </w:tr>
      <w:tr>
        <w:trPr>
          <w:trHeight w:val="237"/>
        </w:trPr>
        <w:tc>
          <w:tcPr>
            <w:tcW w:w="53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138,969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117,470</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6182995</wp:posOffset>
            </wp:positionH>
            <wp:positionV relativeFrom="paragraph">
              <wp:posOffset>-588645</wp:posOffset>
            </wp:positionV>
            <wp:extent cx="5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-588645</wp:posOffset>
            </wp:positionV>
            <wp:extent cx="5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w:t>
      </w:r>
    </w:p>
    <w:p>
      <w:pPr>
        <w:spacing w:after="0" w:line="10" w:lineRule="exact"/>
        <w:rPr>
          <w:sz w:val="20"/>
          <w:szCs w:val="20"/>
          <w:color w:val="auto"/>
        </w:rPr>
      </w:pPr>
    </w:p>
    <w:p>
      <w:pPr>
        <w:ind w:left="300" w:hanging="297"/>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Revenues from listing subscription services, featured listings and other advertising products.</w:t>
      </w:r>
    </w:p>
    <w:p>
      <w:pPr>
        <w:ind w:left="300" w:hanging="297"/>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Revenues from use of orders functionality.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Company’s U.S. and foreign revenues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5"/>
          </w:tcPr>
          <w:p>
            <w:pPr>
              <w:ind w:left="40"/>
              <w:spacing w:after="0"/>
              <w:rPr>
                <w:sz w:val="20"/>
                <w:szCs w:val="20"/>
                <w:color w:val="auto"/>
              </w:rPr>
            </w:pPr>
            <w:r>
              <w:rPr>
                <w:rFonts w:ascii="Arial" w:cs="Arial" w:eastAsia="Arial" w:hAnsi="Arial"/>
                <w:sz w:val="17"/>
                <w:szCs w:val="17"/>
                <w:b w:val="1"/>
                <w:bCs w:val="1"/>
                <w:color w:val="auto"/>
                <w:w w:val="97"/>
              </w:rPr>
              <w:t>Three months ended September 30,</w:t>
            </w:r>
          </w:p>
        </w:tc>
        <w:tc>
          <w:tcPr>
            <w:tcW w:w="160" w:type="dxa"/>
            <w:vAlign w:val="bottom"/>
          </w:tcPr>
          <w:p>
            <w:pPr>
              <w:spacing w:after="0"/>
              <w:rPr>
                <w:sz w:val="19"/>
                <w:szCs w:val="19"/>
                <w:color w:val="auto"/>
              </w:rPr>
            </w:pPr>
          </w:p>
        </w:tc>
        <w:tc>
          <w:tcPr>
            <w:tcW w:w="2760" w:type="dxa"/>
            <w:vAlign w:val="bottom"/>
            <w:gridSpan w:val="4"/>
          </w:tcPr>
          <w:p>
            <w:pPr>
              <w:jc w:val="right"/>
              <w:ind w:right="114"/>
              <w:spacing w:after="0"/>
              <w:rPr>
                <w:sz w:val="20"/>
                <w:szCs w:val="20"/>
                <w:color w:val="auto"/>
              </w:rPr>
            </w:pPr>
            <w:r>
              <w:rPr>
                <w:rFonts w:ascii="Arial" w:cs="Arial" w:eastAsia="Arial" w:hAnsi="Arial"/>
                <w:sz w:val="17"/>
                <w:szCs w:val="17"/>
                <w:b w:val="1"/>
                <w:bCs w:val="1"/>
                <w:color w:val="auto"/>
                <w:w w:val="91"/>
              </w:rPr>
              <w:t>Nine months ended September 30,</w:t>
            </w:r>
          </w:p>
        </w:tc>
      </w:tr>
      <w:tr>
        <w:trPr>
          <w:trHeight w:val="213"/>
        </w:trPr>
        <w:tc>
          <w:tcPr>
            <w:tcW w:w="53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r>
      <w:tr>
        <w:trPr>
          <w:trHeight w:val="212"/>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91,275</w:t>
            </w:r>
          </w:p>
        </w:tc>
      </w:tr>
      <w:tr>
        <w:trPr>
          <w:trHeight w:val="218"/>
        </w:trPr>
        <w:tc>
          <w:tcPr>
            <w:tcW w:w="5320" w:type="dxa"/>
            <w:vAlign w:val="bottom"/>
          </w:tcPr>
          <w:p>
            <w:pPr>
              <w:ind w:left="20"/>
              <w:spacing w:after="0"/>
              <w:rPr>
                <w:sz w:val="20"/>
                <w:szCs w:val="20"/>
                <w:color w:val="auto"/>
              </w:rPr>
            </w:pPr>
            <w:r>
              <w:rPr>
                <w:rFonts w:ascii="Arial" w:cs="Arial" w:eastAsia="Arial" w:hAnsi="Arial"/>
                <w:sz w:val="17"/>
                <w:szCs w:val="17"/>
                <w:color w:val="auto"/>
              </w:rPr>
              <w:t>Foreign revenues</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11,628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26,195</w:t>
            </w:r>
          </w:p>
        </w:tc>
      </w:tr>
      <w:tr>
        <w:trPr>
          <w:trHeight w:val="238"/>
        </w:trPr>
        <w:tc>
          <w:tcPr>
            <w:tcW w:w="53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138,969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117,470</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6182995</wp:posOffset>
            </wp:positionH>
            <wp:positionV relativeFrom="paragraph">
              <wp:posOffset>-466090</wp:posOffset>
            </wp:positionV>
            <wp:extent cx="5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-466090</wp:posOffset>
            </wp:positionV>
            <wp:extent cx="5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6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All foreign revenues were generated in Canada. During the second half of fiscal 2020, the Company discontinued its services to Canada-based retail operator clients who failed to provide valid license information, similar to the transition the Company implemented in California at the end of fiscal 2019. Following the completion of the discontinuation of such services, all revenue has been generated in the United States.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3"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 xml:space="preserve">The Company uses the asset and liability method of accounting for income taxes under ASC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Under the guidance,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more-likely-than-not the deferred tax assets will not be realized.</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and tax law developments.</w:t>
      </w:r>
    </w:p>
    <w:p>
      <w:pPr>
        <w:spacing w:after="0" w:line="20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19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For the three and nine months ended September 30, 2021, the Company recorded a provision for income taxes of $0.4 million and $0.2 million, respectively. The provision for income taxes during the first quarter of 2021 was the result of an audit performed by the Canada Revenue Agency on prior years income taxes paid by the Company’s subsidiary, WM Canada Holdings, Inc. The effective tax rates differ from the federal statutory rate of 21% primarily due to the impact of warrant valuations, non-controlling interests represented by the portion of the flow-through income not subject to tax, permanent stock based compensation, and state taxes.</w:t>
      </w:r>
    </w:p>
    <w:p>
      <w:pPr>
        <w:spacing w:after="0" w:line="209"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cost of revenue primarily consists of web hosting, internet service costs, and credit card processing costs.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Development Costs</w:t>
      </w:r>
    </w:p>
    <w:p>
      <w:pPr>
        <w:spacing w:after="0" w:line="114"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6"/>
          <w:szCs w:val="16"/>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Company expenses the cost of advertising in the period incurred. Advertising expense totaled $4.1 million and $2.4 million for the three months ended September 30, 2021 and 2020, respectively, and $11.9 million and $6.7 million for the nine months ended September 30, 2021 and 2020, respectively, and are included in sales and marketing expense in the accompanying condensed consolidated statements of income.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Political Contributions</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Company expenses the costs of all political contributions in the period incurred. Political contributions totaled $0.2 million and $0.3 million for the three months ended September 30, 2021 and 2020, respectively, and $0.5 million and $0.6 million for the nine months ended September 30, 2021 and 2020, respectively, and are included in other expense in the accompanying condensed consolidated statements of income.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The Company measures fair value of employee stock-based compensation awards on the date of grant and allocates the related expense over the requisite service period. The fair value of the Class P Units are measured using the Black-Scholes-Merton valuation model. When awards include a performance condition that impacts the vesting for exercisability of the award, the Company records compensation cost when it becomes probable that the performance condition will be met and the service is provided. The expected volatility is based on the historical volatility and implied volatilities for comparable companies, the expected life of the award is based on the simplified method.</w:t>
      </w:r>
    </w:p>
    <w:p>
      <w:pPr>
        <w:spacing w:after="0" w:line="8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and its subsidiaries operate in one business segment.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Share</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Basic income (loss) per share is computed by dividing net income (loss) attributable to WM Technology, Inc. by the weighted-average number of shares of Class A Common Stock outstanding during the period.</w:t>
      </w:r>
    </w:p>
    <w:p>
      <w:pPr>
        <w:spacing w:after="0" w:line="6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w:t>
      </w:r>
    </w:p>
    <w:p>
      <w:pPr>
        <w:spacing w:after="0" w:line="72"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Prior to the Business Combination, the membership structure of Legacy WMH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and diluted income (loss) per share for the nine months ended September 30, 2021 represent the period from June 16, 2021 (Closing Date) to September 30, 2021.</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Liability</w:t>
      </w:r>
    </w:p>
    <w:p>
      <w:pPr>
        <w:spacing w:after="0" w:line="243"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6"/>
          <w:szCs w:val="16"/>
          <w:color w:val="auto"/>
        </w:rPr>
        <w:t>The Company assumed 12,499,933 Public Warrants and 7,000,000 Private Placement Warrants (together, the “Warrants”) upon the Closing, all of which were issued in connection with Silver Spike’s initial public offering and entitle the holder to purchase one share of Class A Common Stock at an exercise price of at $11.50 per share. All of the Warrants remained outstanding as of September 30, 2021.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198"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 xml:space="preserve">The Company evaluated the Warrants under ASC 815-40 </w:t>
      </w:r>
      <w:r>
        <w:rPr>
          <w:rFonts w:ascii="Arial" w:cs="Arial" w:eastAsia="Arial" w:hAnsi="Arial"/>
          <w:sz w:val="16"/>
          <w:szCs w:val="16"/>
          <w:i w:val="1"/>
          <w:iCs w:val="1"/>
          <w:color w:val="auto"/>
        </w:rPr>
        <w:t>- Derivatives and Hedging - Contracts in Entity’s Own Equity</w:t>
      </w:r>
      <w:r>
        <w:rPr>
          <w:rFonts w:ascii="Arial" w:cs="Arial" w:eastAsia="Arial" w:hAnsi="Arial"/>
          <w:sz w:val="16"/>
          <w:szCs w:val="16"/>
          <w:color w:val="auto"/>
        </w:rPr>
        <w:t>, and concluded they do not meet the criteria to be classified in stockholders’ equity. Specifically, the 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income at each reporting date.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 xml:space="preserve">The Company follows the guidance in ASC 820 -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for its financial assets and liabilities that are re-measured and reported at fair value at each reporting period.</w:t>
      </w:r>
    </w:p>
    <w:p>
      <w:pPr>
        <w:spacing w:after="0" w:line="61"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0" w:lineRule="exact"/>
        <w:rPr>
          <w:sz w:val="20"/>
          <w:szCs w:val="20"/>
          <w:color w:val="auto"/>
        </w:rPr>
      </w:pPr>
    </w:p>
    <w:p>
      <w:pPr>
        <w:ind w:left="780" w:hanging="313"/>
        <w:spacing w:after="0" w:line="279" w:lineRule="auto"/>
        <w:tabs>
          <w:tab w:leader="none" w:pos="776"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1" w:lineRule="exact"/>
        <w:rPr>
          <w:rFonts w:ascii="Arial" w:cs="Arial" w:eastAsia="Arial" w:hAnsi="Arial"/>
          <w:sz w:val="17"/>
          <w:szCs w:val="17"/>
          <w:color w:val="auto"/>
        </w:rPr>
      </w:pPr>
    </w:p>
    <w:p>
      <w:pPr>
        <w:ind w:left="780" w:hanging="313"/>
        <w:spacing w:after="0" w:line="279" w:lineRule="auto"/>
        <w:tabs>
          <w:tab w:leader="none" w:pos="776"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1" w:lineRule="exact"/>
        <w:rPr>
          <w:rFonts w:ascii="Arial" w:cs="Arial" w:eastAsia="Arial" w:hAnsi="Arial"/>
          <w:sz w:val="17"/>
          <w:szCs w:val="17"/>
          <w:color w:val="auto"/>
        </w:rPr>
      </w:pPr>
    </w:p>
    <w:p>
      <w:pPr>
        <w:ind w:left="780" w:hanging="313"/>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Level 3: Unobservable inputs based on the Company assessment of the assumptions that market participants would use in pricing the asset or liability.</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Business Combination was accomplished through what is commonly referred to as an “Up-C” structure, which is often used by partnerships and limited liability companies undertaking an initial public offering. The Up-C structure allows the Legacy WMH Unit holders to retain their equity ownership in WMH LLC, an entity that is classified as a partnership for U.S.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federal income tax purposes, in the form of Units and provides potential future tax benefits for both the Company and the WMH LLC Unit holders when they ultimately exchange their pass-through interests for shares of Class A Common Stock. Additionally, the Company could obtain future increases in its tax basis of the assets of WMH LLC when such units are redeemed or exchanged by the continuing members. This increase in tax basis may have the effect of reducing the amounts paid in the future to various tax authorities. The increase in tax basis may also decrease gains (or increase losses) on future dispositions of certain capital assets to the extent tax basis is allocated to those capital assets.</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14" w:lineRule="exact"/>
        <w:rPr>
          <w:sz w:val="20"/>
          <w:szCs w:val="20"/>
          <w:color w:val="auto"/>
        </w:rPr>
      </w:pPr>
    </w:p>
    <w:p>
      <w:pPr>
        <w:jc w:val="both"/>
        <w:ind w:firstLine="464"/>
        <w:spacing w:after="0" w:line="299" w:lineRule="auto"/>
        <w:rPr>
          <w:sz w:val="20"/>
          <w:szCs w:val="20"/>
          <w:color w:val="auto"/>
        </w:rPr>
      </w:pPr>
      <w:r>
        <w:rPr>
          <w:rFonts w:ascii="Arial" w:cs="Arial" w:eastAsia="Arial" w:hAnsi="Arial"/>
          <w:sz w:val="15"/>
          <w:szCs w:val="15"/>
          <w:color w:val="auto"/>
        </w:rPr>
        <w:t xml:space="preserve">Effective January 1, 2021, the Company accounts for its leases under ASC 842 - </w:t>
      </w:r>
      <w:r>
        <w:rPr>
          <w:rFonts w:ascii="Arial" w:cs="Arial" w:eastAsia="Arial" w:hAnsi="Arial"/>
          <w:sz w:val="15"/>
          <w:szCs w:val="15"/>
          <w:i w:val="1"/>
          <w:iCs w:val="1"/>
          <w:color w:val="auto"/>
        </w:rPr>
        <w:t>Leases</w:t>
      </w:r>
      <w:r>
        <w:rPr>
          <w:rFonts w:ascii="Arial" w:cs="Arial" w:eastAsia="Arial" w:hAnsi="Arial"/>
          <w:sz w:val="15"/>
          <w:szCs w:val="15"/>
          <w:color w:val="auto"/>
        </w:rPr>
        <w:t>. Under this guidance, lessees classify arrangements meeting the definition of a lease as operating or financing leases, and leases are recorded on the consolidated balance sheet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5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The Company continues to account for leases in the prior period financial statements under ASC 840,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in Equity Security</w:t>
      </w:r>
    </w:p>
    <w:p>
      <w:pPr>
        <w:spacing w:after="0" w:line="243"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 xml:space="preserve">Investments in equity securities that do not have a readily determinable fair value and qualify for the measurement alternative for equity investments provided in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xml:space="preserve"> are accounted for at cost, less any impairment, plus or minus changes resulting from observable price changes in orderly transactions for an identical or similar investment of the same issuer. As of September 30, 2021, the carrying value of the Company’s investment in an equity security without a readily determinable fair value was $3.0 million, which is recorded within Other assets on the Company’s condensed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14"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Company adopted ASC 842 as of January 1, 2021, using the modified retrospective transition approach by recording an ROU asset and lease liability for operating leases of $43.3 million and $48.4 million, respectively, at that date; the Company did not have any finance lease assets and liabilities upon adoption or any arrangements where it acts as a lessor. Adoption of ASC 842 did not have an effect on the Company’s retained earnings. The Company availed itself of the practical expedients provided under ASC 842 regarding identification of leases, lease classification, indirect costs, and the combination of lease and non-lease components for all classes of assets. The Company continues to account for leases in the prior period financial statements under ASC 840.</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4"/>
          <w:szCs w:val="14"/>
          <w:b w:val="1"/>
          <w:bCs w:val="1"/>
          <w:color w:val="auto"/>
        </w:rPr>
        <w:t>Leases</w:t>
      </w:r>
    </w:p>
    <w:p>
      <w:pPr>
        <w:spacing w:after="0" w:line="12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On January 1, 2021, the Company adopted ASC 842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lease related costs for the three and nine months ended September 30, 2021 are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Three Months Ended</w:t>
            </w:r>
          </w:p>
        </w:tc>
        <w:tc>
          <w:tcPr>
            <w:tcW w:w="2340" w:type="dxa"/>
            <w:vAlign w:val="bottom"/>
            <w:gridSpan w:val="2"/>
          </w:tcPr>
          <w:p>
            <w:pPr>
              <w:ind w:left="20"/>
              <w:spacing w:after="0"/>
              <w:rPr>
                <w:sz w:val="20"/>
                <w:szCs w:val="20"/>
                <w:color w:val="auto"/>
              </w:rPr>
            </w:pPr>
            <w:r>
              <w:rPr>
                <w:rFonts w:ascii="Arial" w:cs="Arial" w:eastAsia="Arial" w:hAnsi="Arial"/>
                <w:sz w:val="17"/>
                <w:szCs w:val="17"/>
                <w:b w:val="1"/>
                <w:bCs w:val="1"/>
                <w:color w:val="auto"/>
                <w:w w:val="91"/>
              </w:rPr>
              <w:t>Nine Months Ended September</w:t>
            </w:r>
          </w:p>
        </w:tc>
      </w:tr>
      <w:tr>
        <w:trPr>
          <w:trHeight w:val="219"/>
        </w:trPr>
        <w:tc>
          <w:tcPr>
            <w:tcW w:w="6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September 30, 2021</w:t>
            </w:r>
          </w:p>
        </w:tc>
        <w:tc>
          <w:tcPr>
            <w:tcW w:w="480" w:type="dxa"/>
            <w:vAlign w:val="bottom"/>
          </w:tcPr>
          <w:p>
            <w:pPr>
              <w:spacing w:after="0"/>
              <w:rPr>
                <w:sz w:val="19"/>
                <w:szCs w:val="19"/>
                <w:color w:val="auto"/>
              </w:rPr>
            </w:pPr>
          </w:p>
        </w:tc>
        <w:tc>
          <w:tcPr>
            <w:tcW w:w="1860" w:type="dxa"/>
            <w:vAlign w:val="bottom"/>
          </w:tcPr>
          <w:p>
            <w:pPr>
              <w:jc w:val="right"/>
              <w:ind w:right="774"/>
              <w:spacing w:after="0"/>
              <w:rPr>
                <w:sz w:val="20"/>
                <w:szCs w:val="20"/>
                <w:color w:val="auto"/>
              </w:rPr>
            </w:pPr>
            <w:r>
              <w:rPr>
                <w:rFonts w:ascii="Arial" w:cs="Arial" w:eastAsia="Arial" w:hAnsi="Arial"/>
                <w:sz w:val="17"/>
                <w:szCs w:val="17"/>
                <w:b w:val="1"/>
                <w:bCs w:val="1"/>
                <w:color w:val="auto"/>
              </w:rPr>
              <w:t>30, 2021</w:t>
            </w:r>
          </w:p>
        </w:tc>
      </w:tr>
      <w:tr>
        <w:trPr>
          <w:trHeight w:val="212"/>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2,350</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7,118</w:t>
            </w:r>
          </w:p>
        </w:tc>
      </w:tr>
      <w:tr>
        <w:trPr>
          <w:trHeight w:val="218"/>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Variable lease cost</w:t>
            </w: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1,715</w:t>
            </w:r>
          </w:p>
        </w:tc>
      </w:tr>
      <w:tr>
        <w:trPr>
          <w:trHeight w:val="213"/>
        </w:trPr>
        <w:tc>
          <w:tcPr>
            <w:tcW w:w="6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lease cost</w:t>
            </w:r>
          </w:p>
        </w:tc>
        <w:tc>
          <w:tcPr>
            <w:tcW w:w="2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8,833</w:t>
            </w:r>
          </w:p>
        </w:tc>
      </w:tr>
      <w:tr>
        <w:trPr>
          <w:trHeight w:val="218"/>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Short-term lease cost</w:t>
            </w: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r>
      <w:tr>
        <w:trPr>
          <w:trHeight w:val="238"/>
        </w:trPr>
        <w:tc>
          <w:tcPr>
            <w:tcW w:w="6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lease cost</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8,921</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5593080</wp:posOffset>
            </wp:positionH>
            <wp:positionV relativeFrom="paragraph">
              <wp:posOffset>-752475</wp:posOffset>
            </wp:positionV>
            <wp:extent cx="57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38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For the three and nine months ended September 30, 2021, the Company made cash payments of $2.4 million and $5.9 million, respectively, on its operating leases, all of which were included in cash flows from operating activities within the condensed consolidated statements of cash flows. During the nine months ended September 30, 2021, ROU assets obtained in exchange for operating lease liabilities were $43.3 million.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60" w:type="dxa"/>
            <w:vAlign w:val="bottom"/>
          </w:tcPr>
          <w:p>
            <w:pPr>
              <w:ind w:left="460"/>
              <w:spacing w:after="0"/>
              <w:rPr>
                <w:sz w:val="20"/>
                <w:szCs w:val="20"/>
                <w:color w:val="auto"/>
              </w:rPr>
            </w:pPr>
            <w:r>
              <w:rPr>
                <w:rFonts w:ascii="Arial" w:cs="Arial" w:eastAsia="Arial" w:hAnsi="Arial"/>
                <w:sz w:val="17"/>
                <w:szCs w:val="17"/>
                <w:color w:val="auto"/>
                <w:w w:val="95"/>
              </w:rPr>
              <w:t>As of September 30, 2021, future minimum payments for the next five years and thereafter are as follows (in thousands):</w:t>
            </w: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349"/>
        </w:trPr>
        <w:tc>
          <w:tcPr>
            <w:tcW w:w="91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w w:val="99"/>
              </w:rPr>
              <w:t>Operating Leases</w:t>
            </w:r>
          </w:p>
        </w:tc>
      </w:tr>
      <w:tr>
        <w:trPr>
          <w:trHeight w:val="213"/>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period in 2021 (three months)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w:t>
            </w: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Year ended December 31, 2022</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9,597</w:t>
            </w: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ended December 31, 2023</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9,898</w:t>
            </w: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Year ended December 31, 2024</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9,405</w:t>
            </w: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ended December 31, 2025</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5,830</w:t>
            </w:r>
          </w:p>
        </w:tc>
      </w:tr>
      <w:tr>
        <w:trPr>
          <w:trHeight w:val="218"/>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29,732</w:t>
            </w:r>
          </w:p>
        </w:tc>
      </w:tr>
      <w:tr>
        <w:trPr>
          <w:trHeight w:val="213"/>
        </w:trPr>
        <w:tc>
          <w:tcPr>
            <w:tcW w:w="9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Future minimum lease payments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66,805</w:t>
            </w:r>
          </w:p>
        </w:tc>
      </w:tr>
      <w:tr>
        <w:trPr>
          <w:trHeight w:val="218"/>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present value discount</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(20,736)</w:t>
            </w:r>
          </w:p>
        </w:tc>
      </w:tr>
      <w:tr>
        <w:trPr>
          <w:trHeight w:val="238"/>
        </w:trPr>
        <w:tc>
          <w:tcPr>
            <w:tcW w:w="9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Operating lease liabilities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46,069</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As of September 30, 2021, the Company’s operating leases had a weighted average remaining lease term of 7.6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During the nine months ended September 30, 2021, the Company recognized an impairment charge of $2.4 million related to an ROU asset reducing the carrying value of the lease asset to its estimated fair value. The fair value was estimated using an income approach based on management’s forecast of future cash flows expected to be derived based on current sublease market rent. The impairment charge is included in general and administrative expenses in the condensed consolidated statements of income.</w:t>
      </w:r>
    </w:p>
    <w:p>
      <w:pPr>
        <w:spacing w:after="0" w:line="163"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Commitments and Contingencies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6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In September 2019, the Company received a grand jury subpoena prepared by the United States Attorney’s Office for the Eastern District of California (“DOJ”). The subpoena demanded certain categories of information from the Company, some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which the Company has already provided. Management believes that the outcome of such inquiry will not have a material adverse impact of the Company’s financial position, results of operations, or cash flow. On August 4, 2021, the DOJ notified the Company that the DOJ was withdrawing the subpoena issued in September 2019, and that it had no present plan to exercise its discretion to proceed further in the matter. The DOJ cautioned that its decision not to proceed further did not constitute a grant of immunity, and that its plans could change in the future without notice.</w:t>
      </w:r>
    </w:p>
    <w:p>
      <w:pPr>
        <w:spacing w:after="0" w:line="75" w:lineRule="exact"/>
        <w:rPr>
          <w:sz w:val="20"/>
          <w:szCs w:val="20"/>
          <w:color w:val="auto"/>
        </w:rPr>
      </w:pPr>
    </w:p>
    <w:p>
      <w:pPr>
        <w:jc w:val="both"/>
        <w:ind w:firstLine="464"/>
        <w:spacing w:after="0" w:line="292" w:lineRule="auto"/>
        <w:rPr>
          <w:sz w:val="20"/>
          <w:szCs w:val="20"/>
          <w:color w:val="auto"/>
        </w:rPr>
      </w:pPr>
      <w:r>
        <w:rPr>
          <w:rFonts w:ascii="Arial" w:cs="Arial" w:eastAsia="Arial" w:hAnsi="Arial"/>
          <w:sz w:val="15"/>
          <w:szCs w:val="15"/>
          <w:color w:val="auto"/>
        </w:rPr>
        <w:t>Beginning on January 27, 2021, purported stockholders of Silver Spike filed or threatened to file lawsuits in connection with the Merger,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Merger omits material information related to the proposed transaction, and asserts claims for breach of fiduciary duty against certain of Silver Spike’s then officers and directors and for aiding and abetting breach of fiduciary duty against Silver Spike. The Stout complaint also asserts aiding and abetting claims against Legacy WMH and Merger Sub. Plaintiffs seek injunctive relief to enjoin the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The Company has received similar demands from other purported shareholders of Silver Spike,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Merger, pending dissemination of supplemental disclosures, unspecified damages and attorneys’ fees and costs. The Brait action was voluntarily discontinued on June 29, 2021.The Company believes that these allegations are without merit. These matters are in the early stages and the Company is unable to reasonably determine the outcome or estimate the loss, if any, and as such, have not recorded a loss contingency.</w:t>
      </w:r>
    </w:p>
    <w:p>
      <w:pPr>
        <w:spacing w:after="0" w:line="154"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5"/>
          <w:szCs w:val="15"/>
          <w:b w:val="1"/>
          <w:bCs w:val="1"/>
          <w:color w:val="auto"/>
        </w:rPr>
        <w:t>Fair Value Measurements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the Company’s liabilities that are measured at fair value on a recurring basis at September 30, 2021 and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and indicates the fair value hierarchy of the valuation inputs the Company utilized to determine such fair value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2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1"/>
              </w:rPr>
              <w:t>Level</w:t>
            </w:r>
          </w:p>
        </w:tc>
        <w:tc>
          <w:tcPr>
            <w:tcW w:w="180" w:type="dxa"/>
            <w:vAlign w:val="bottom"/>
          </w:tcPr>
          <w:p>
            <w:pPr>
              <w:spacing w:after="0"/>
              <w:rPr>
                <w:sz w:val="19"/>
                <w:szCs w:val="19"/>
                <w:color w:val="auto"/>
              </w:rPr>
            </w:pPr>
          </w:p>
        </w:tc>
        <w:tc>
          <w:tcPr>
            <w:tcW w:w="1860" w:type="dxa"/>
            <w:vAlign w:val="bottom"/>
            <w:gridSpan w:val="2"/>
          </w:tcPr>
          <w:p>
            <w:pPr>
              <w:ind w:left="80"/>
              <w:spacing w:after="0"/>
              <w:rPr>
                <w:sz w:val="20"/>
                <w:szCs w:val="20"/>
                <w:color w:val="auto"/>
              </w:rPr>
            </w:pPr>
            <w:r>
              <w:rPr>
                <w:rFonts w:ascii="Arial" w:cs="Arial" w:eastAsia="Arial" w:hAnsi="Arial"/>
                <w:sz w:val="17"/>
                <w:szCs w:val="17"/>
                <w:b w:val="1"/>
                <w:bCs w:val="1"/>
                <w:color w:val="auto"/>
              </w:rPr>
              <w:t>September 30, 2021</w:t>
            </w:r>
          </w:p>
        </w:tc>
        <w:tc>
          <w:tcPr>
            <w:tcW w:w="200" w:type="dxa"/>
            <w:vAlign w:val="bottom"/>
          </w:tcPr>
          <w:p>
            <w:pPr>
              <w:spacing w:after="0"/>
              <w:rPr>
                <w:sz w:val="19"/>
                <w:szCs w:val="19"/>
                <w:color w:val="auto"/>
              </w:rPr>
            </w:pPr>
          </w:p>
        </w:tc>
        <w:tc>
          <w:tcPr>
            <w:tcW w:w="1760" w:type="dxa"/>
            <w:vAlign w:val="bottom"/>
          </w:tcPr>
          <w:p>
            <w:pPr>
              <w:ind w:left="80"/>
              <w:spacing w:after="0"/>
              <w:rPr>
                <w:sz w:val="20"/>
                <w:szCs w:val="20"/>
                <w:color w:val="auto"/>
              </w:rPr>
            </w:pPr>
            <w:r>
              <w:rPr>
                <w:rFonts w:ascii="Arial" w:cs="Arial" w:eastAsia="Arial" w:hAnsi="Arial"/>
                <w:sz w:val="17"/>
                <w:szCs w:val="17"/>
                <w:b w:val="1"/>
                <w:bCs w:val="1"/>
                <w:color w:val="auto"/>
              </w:rPr>
              <w:t>December 31, 2020</w:t>
            </w:r>
          </w:p>
        </w:tc>
      </w:tr>
      <w:tr>
        <w:trPr>
          <w:trHeight w:val="200"/>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8"/>
        </w:trPr>
        <w:tc>
          <w:tcPr>
            <w:tcW w:w="5520" w:type="dxa"/>
            <w:vAlign w:val="bottom"/>
          </w:tcPr>
          <w:p>
            <w:pPr>
              <w:ind w:left="20"/>
              <w:spacing w:after="0"/>
              <w:rPr>
                <w:sz w:val="20"/>
                <w:szCs w:val="20"/>
                <w:color w:val="auto"/>
              </w:rPr>
            </w:pPr>
            <w:r>
              <w:rPr>
                <w:rFonts w:ascii="Arial" w:cs="Arial" w:eastAsia="Arial" w:hAnsi="Arial"/>
                <w:sz w:val="17"/>
                <w:szCs w:val="17"/>
                <w:color w:val="auto"/>
              </w:rPr>
              <w:t>Warrant liability – Public Warrants</w:t>
            </w:r>
          </w:p>
        </w:tc>
        <w:tc>
          <w:tcPr>
            <w:tcW w:w="144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54,000</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Pr>
          <w:p>
            <w:pPr>
              <w:ind w:left="1520"/>
              <w:spacing w:after="0"/>
              <w:rPr>
                <w:sz w:val="20"/>
                <w:szCs w:val="20"/>
                <w:color w:val="auto"/>
              </w:rPr>
            </w:pPr>
            <w:r>
              <w:rPr>
                <w:rFonts w:ascii="Arial" w:cs="Arial" w:eastAsia="Arial" w:hAnsi="Arial"/>
                <w:sz w:val="17"/>
                <w:szCs w:val="17"/>
                <w:color w:val="auto"/>
              </w:rPr>
              <w:t>—</w:t>
            </w: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 liability – Private Placement Warrants</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7"/>
                <w:szCs w:val="17"/>
                <w:color w:val="auto"/>
              </w:rPr>
              <w:t>—</w:t>
            </w:r>
          </w:p>
        </w:tc>
      </w:tr>
      <w:tr>
        <w:trPr>
          <w:trHeight w:val="213"/>
        </w:trPr>
        <w:tc>
          <w:tcPr>
            <w:tcW w:w="5520" w:type="dxa"/>
            <w:vAlign w:val="bottom"/>
          </w:tcPr>
          <w:p>
            <w:pPr>
              <w:ind w:left="120"/>
              <w:spacing w:after="0"/>
              <w:rPr>
                <w:sz w:val="20"/>
                <w:szCs w:val="20"/>
                <w:color w:val="auto"/>
              </w:rPr>
            </w:pPr>
            <w:r>
              <w:rPr>
                <w:rFonts w:ascii="Arial" w:cs="Arial" w:eastAsia="Arial" w:hAnsi="Arial"/>
                <w:sz w:val="17"/>
                <w:szCs w:val="17"/>
                <w:color w:val="auto"/>
              </w:rPr>
              <w:t>Total warrant liability</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110,350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ind w:left="1520"/>
              <w:spacing w:after="0"/>
              <w:rPr>
                <w:sz w:val="20"/>
                <w:szCs w:val="20"/>
                <w:color w:val="auto"/>
              </w:rPr>
            </w:pPr>
            <w:r>
              <w:rPr>
                <w:rFonts w:ascii="Arial" w:cs="Arial" w:eastAsia="Arial" w:hAnsi="Arial"/>
                <w:sz w:val="17"/>
                <w:szCs w:val="17"/>
                <w:color w:val="auto"/>
              </w:rPr>
              <w:t>—</w:t>
            </w:r>
          </w:p>
        </w:tc>
      </w:tr>
      <w:tr>
        <w:trPr>
          <w:trHeight w:val="20"/>
        </w:trPr>
        <w:tc>
          <w:tcPr>
            <w:tcW w:w="5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-596900</wp:posOffset>
            </wp:positionV>
            <wp:extent cx="5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-596900</wp:posOffset>
            </wp:positionV>
            <wp:extent cx="57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-596900</wp:posOffset>
            </wp:positionV>
            <wp:extent cx="5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the changes in the fair value of the warrant liabilities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gridSpan w:val="7"/>
          </w:tcPr>
          <w:p>
            <w:pPr>
              <w:jc w:val="center"/>
              <w:ind w:right="14"/>
              <w:spacing w:after="0"/>
              <w:rPr>
                <w:sz w:val="20"/>
                <w:szCs w:val="20"/>
                <w:color w:val="auto"/>
              </w:rPr>
            </w:pPr>
            <w:r>
              <w:rPr>
                <w:rFonts w:ascii="Arial" w:cs="Arial" w:eastAsia="Arial" w:hAnsi="Arial"/>
                <w:sz w:val="17"/>
                <w:szCs w:val="17"/>
                <w:b w:val="1"/>
                <w:bCs w:val="1"/>
                <w:color w:val="auto"/>
                <w:w w:val="90"/>
              </w:rPr>
              <w:t>Three months ended September 30, 2021</w:t>
            </w:r>
          </w:p>
        </w:tc>
        <w:tc>
          <w:tcPr>
            <w:tcW w:w="0" w:type="dxa"/>
            <w:vAlign w:val="bottom"/>
          </w:tcPr>
          <w:p>
            <w:pPr>
              <w:spacing w:after="0"/>
              <w:rPr>
                <w:sz w:val="1"/>
                <w:szCs w:val="1"/>
                <w:color w:val="auto"/>
              </w:rPr>
            </w:pPr>
          </w:p>
        </w:tc>
      </w:tr>
      <w:tr>
        <w:trPr>
          <w:trHeight w:val="16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Public Warrants</w:t>
            </w:r>
          </w:p>
        </w:tc>
        <w:tc>
          <w:tcPr>
            <w:tcW w:w="1520" w:type="dxa"/>
            <w:vAlign w:val="bottom"/>
            <w:gridSpan w:val="3"/>
          </w:tcPr>
          <w:p>
            <w:pPr>
              <w:jc w:val="center"/>
              <w:ind w:right="100"/>
              <w:spacing w:after="0" w:line="162" w:lineRule="exact"/>
              <w:rPr>
                <w:sz w:val="20"/>
                <w:szCs w:val="20"/>
                <w:color w:val="auto"/>
              </w:rPr>
            </w:pPr>
            <w:r>
              <w:rPr>
                <w:rFonts w:ascii="Arial" w:cs="Arial" w:eastAsia="Arial" w:hAnsi="Arial"/>
                <w:sz w:val="17"/>
                <w:szCs w:val="17"/>
                <w:b w:val="1"/>
                <w:bCs w:val="1"/>
                <w:color w:val="auto"/>
                <w:w w:val="91"/>
              </w:rPr>
              <w:t>Private Placement</w:t>
            </w:r>
          </w:p>
        </w:tc>
        <w:tc>
          <w:tcPr>
            <w:tcW w:w="220" w:type="dxa"/>
            <w:vAlign w:val="bottom"/>
          </w:tcPr>
          <w:p>
            <w:pPr>
              <w:spacing w:after="0"/>
              <w:rPr>
                <w:sz w:val="14"/>
                <w:szCs w:val="14"/>
                <w:color w:val="auto"/>
              </w:rPr>
            </w:pPr>
          </w:p>
        </w:tc>
        <w:tc>
          <w:tcPr>
            <w:tcW w:w="1200" w:type="dxa"/>
            <w:vAlign w:val="bottom"/>
          </w:tcPr>
          <w:p>
            <w:pPr>
              <w:jc w:val="center"/>
              <w:ind w:right="154"/>
              <w:spacing w:after="0" w:line="162" w:lineRule="exact"/>
              <w:rPr>
                <w:sz w:val="20"/>
                <w:szCs w:val="20"/>
                <w:color w:val="auto"/>
              </w:rPr>
            </w:pPr>
            <w:r>
              <w:rPr>
                <w:rFonts w:ascii="Arial" w:cs="Arial" w:eastAsia="Arial" w:hAnsi="Arial"/>
                <w:sz w:val="17"/>
                <w:szCs w:val="17"/>
                <w:b w:val="1"/>
                <w:bCs w:val="1"/>
                <w:color w:val="auto"/>
                <w:w w:val="99"/>
              </w:rPr>
              <w:t>Warrant</w:t>
            </w:r>
          </w:p>
        </w:tc>
        <w:tc>
          <w:tcPr>
            <w:tcW w:w="0" w:type="dxa"/>
            <w:vAlign w:val="bottom"/>
          </w:tcPr>
          <w:p>
            <w:pPr>
              <w:spacing w:after="0"/>
              <w:rPr>
                <w:sz w:val="1"/>
                <w:szCs w:val="1"/>
                <w:color w:val="auto"/>
              </w:rPr>
            </w:pPr>
          </w:p>
        </w:tc>
      </w:tr>
      <w:tr>
        <w:trPr>
          <w:trHeight w:val="219"/>
        </w:trPr>
        <w:tc>
          <w:tcPr>
            <w:tcW w:w="6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4"/>
              </w:rPr>
              <w:t>Warrants</w:t>
            </w:r>
          </w:p>
        </w:tc>
        <w:tc>
          <w:tcPr>
            <w:tcW w:w="220" w:type="dxa"/>
            <w:vAlign w:val="bottom"/>
          </w:tcPr>
          <w:p>
            <w:pPr>
              <w:spacing w:after="0"/>
              <w:rPr>
                <w:sz w:val="19"/>
                <w:szCs w:val="19"/>
                <w:color w:val="auto"/>
              </w:rPr>
            </w:pPr>
          </w:p>
        </w:tc>
        <w:tc>
          <w:tcPr>
            <w:tcW w:w="1200" w:type="dxa"/>
            <w:vAlign w:val="bottom"/>
          </w:tcPr>
          <w:p>
            <w:pPr>
              <w:jc w:val="center"/>
              <w:ind w:right="134"/>
              <w:spacing w:after="0"/>
              <w:rPr>
                <w:sz w:val="20"/>
                <w:szCs w:val="20"/>
                <w:color w:val="auto"/>
              </w:rPr>
            </w:pPr>
            <w:r>
              <w:rPr>
                <w:rFonts w:ascii="Arial" w:cs="Arial" w:eastAsia="Arial" w:hAnsi="Arial"/>
                <w:sz w:val="17"/>
                <w:szCs w:val="17"/>
                <w:b w:val="1"/>
                <w:bCs w:val="1"/>
                <w:color w:val="auto"/>
                <w:w w:val="94"/>
              </w:rPr>
              <w:t>Liabilities</w:t>
            </w:r>
          </w:p>
        </w:tc>
        <w:tc>
          <w:tcPr>
            <w:tcW w:w="0" w:type="dxa"/>
            <w:vAlign w:val="bottom"/>
          </w:tcPr>
          <w:p>
            <w:pPr>
              <w:spacing w:after="0"/>
              <w:rPr>
                <w:sz w:val="1"/>
                <w:szCs w:val="1"/>
                <w:color w:val="auto"/>
              </w:rPr>
            </w:pPr>
          </w:p>
        </w:tc>
      </w:tr>
      <w:tr>
        <w:trPr>
          <w:trHeight w:val="212"/>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center"/>
              <w:ind w:left="634"/>
              <w:spacing w:after="0"/>
              <w:rPr>
                <w:sz w:val="20"/>
                <w:szCs w:val="20"/>
                <w:color w:val="auto"/>
              </w:rPr>
            </w:pPr>
            <w:r>
              <w:rPr>
                <w:rFonts w:ascii="Arial" w:cs="Arial" w:eastAsia="Arial" w:hAnsi="Arial"/>
                <w:sz w:val="17"/>
                <w:szCs w:val="17"/>
                <w:color w:val="auto"/>
                <w:w w:val="92"/>
              </w:rPr>
              <w:t>79,375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center"/>
              <w:ind w:left="514"/>
              <w:spacing w:after="0"/>
              <w:rPr>
                <w:sz w:val="20"/>
                <w:szCs w:val="20"/>
                <w:color w:val="auto"/>
              </w:rPr>
            </w:pPr>
            <w:r>
              <w:rPr>
                <w:rFonts w:ascii="Arial" w:cs="Arial" w:eastAsia="Arial" w:hAnsi="Arial"/>
                <w:sz w:val="17"/>
                <w:szCs w:val="17"/>
                <w:color w:val="auto"/>
                <w:w w:val="92"/>
              </w:rPr>
              <w:t>76,812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7"/>
                <w:szCs w:val="17"/>
                <w:color w:val="auto"/>
                <w:w w:val="97"/>
              </w:rPr>
              <w:t>156,187</w:t>
            </w:r>
          </w:p>
        </w:tc>
        <w:tc>
          <w:tcPr>
            <w:tcW w:w="0" w:type="dxa"/>
            <w:vAlign w:val="bottom"/>
          </w:tcPr>
          <w:p>
            <w:pPr>
              <w:spacing w:after="0"/>
              <w:rPr>
                <w:sz w:val="1"/>
                <w:szCs w:val="1"/>
                <w:color w:val="auto"/>
              </w:rPr>
            </w:pPr>
          </w:p>
        </w:tc>
      </w:tr>
      <w:tr>
        <w:trPr>
          <w:trHeight w:val="218"/>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Change in valuation inputs or other assumptions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594"/>
              <w:spacing w:after="0"/>
              <w:rPr>
                <w:sz w:val="20"/>
                <w:szCs w:val="20"/>
                <w:color w:val="auto"/>
              </w:rPr>
            </w:pPr>
            <w:r>
              <w:rPr>
                <w:rFonts w:ascii="Arial" w:cs="Arial" w:eastAsia="Arial" w:hAnsi="Arial"/>
                <w:sz w:val="17"/>
                <w:szCs w:val="17"/>
                <w:color w:val="auto"/>
                <w:w w:val="94"/>
              </w:rPr>
              <w:t>(25,375)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494"/>
              <w:spacing w:after="0"/>
              <w:rPr>
                <w:sz w:val="20"/>
                <w:szCs w:val="20"/>
                <w:color w:val="auto"/>
              </w:rPr>
            </w:pPr>
            <w:r>
              <w:rPr>
                <w:rFonts w:ascii="Arial" w:cs="Arial" w:eastAsia="Arial" w:hAnsi="Arial"/>
                <w:sz w:val="17"/>
                <w:szCs w:val="17"/>
                <w:color w:val="auto"/>
                <w:w w:val="91"/>
              </w:rPr>
              <w:t>(20,462)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600"/>
              <w:spacing w:after="0"/>
              <w:rPr>
                <w:sz w:val="20"/>
                <w:szCs w:val="20"/>
                <w:color w:val="auto"/>
              </w:rPr>
            </w:pPr>
            <w:r>
              <w:rPr>
                <w:rFonts w:ascii="Arial" w:cs="Arial" w:eastAsia="Arial" w:hAnsi="Arial"/>
                <w:sz w:val="17"/>
                <w:szCs w:val="17"/>
                <w:color w:val="auto"/>
                <w:w w:val="91"/>
              </w:rPr>
              <w:t>(45,837)</w:t>
            </w:r>
          </w:p>
        </w:tc>
        <w:tc>
          <w:tcPr>
            <w:tcW w:w="0" w:type="dxa"/>
            <w:vAlign w:val="bottom"/>
          </w:tcPr>
          <w:p>
            <w:pPr>
              <w:spacing w:after="0"/>
              <w:rPr>
                <w:sz w:val="1"/>
                <w:szCs w:val="1"/>
                <w:color w:val="auto"/>
              </w:rPr>
            </w:pPr>
          </w:p>
        </w:tc>
      </w:tr>
      <w:tr>
        <w:trPr>
          <w:trHeight w:val="238"/>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Fair value,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7"/>
                <w:szCs w:val="17"/>
                <w:color w:val="auto"/>
                <w:w w:val="92"/>
              </w:rPr>
              <w:t>54,000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7"/>
                <w:szCs w:val="17"/>
                <w:color w:val="auto"/>
                <w:w w:val="92"/>
              </w:rPr>
              <w:t>56,350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7"/>
                <w:szCs w:val="17"/>
                <w:color w:val="auto"/>
                <w:w w:val="97"/>
              </w:rPr>
              <w:t>110,350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6174740</wp:posOffset>
            </wp:positionH>
            <wp:positionV relativeFrom="paragraph">
              <wp:posOffset>-466090</wp:posOffset>
            </wp:positionV>
            <wp:extent cx="57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gridSpan w:val="7"/>
          </w:tcPr>
          <w:p>
            <w:pPr>
              <w:jc w:val="center"/>
              <w:ind w:right="14"/>
              <w:spacing w:after="0"/>
              <w:rPr>
                <w:sz w:val="20"/>
                <w:szCs w:val="20"/>
                <w:color w:val="auto"/>
              </w:rPr>
            </w:pPr>
            <w:r>
              <w:rPr>
                <w:rFonts w:ascii="Arial" w:cs="Arial" w:eastAsia="Arial" w:hAnsi="Arial"/>
                <w:sz w:val="17"/>
                <w:szCs w:val="17"/>
                <w:b w:val="1"/>
                <w:bCs w:val="1"/>
                <w:color w:val="auto"/>
                <w:w w:val="90"/>
              </w:rPr>
              <w:t>Nine months ended September 30, 2021</w:t>
            </w:r>
          </w:p>
        </w:tc>
        <w:tc>
          <w:tcPr>
            <w:tcW w:w="0" w:type="dxa"/>
            <w:vAlign w:val="bottom"/>
          </w:tcPr>
          <w:p>
            <w:pPr>
              <w:spacing w:after="0"/>
              <w:rPr>
                <w:sz w:val="1"/>
                <w:szCs w:val="1"/>
                <w:color w:val="auto"/>
              </w:rPr>
            </w:pPr>
          </w:p>
        </w:tc>
      </w:tr>
      <w:tr>
        <w:trPr>
          <w:trHeight w:val="16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w w:val="92"/>
              </w:rPr>
              <w:t>Public Warrants</w:t>
            </w:r>
          </w:p>
        </w:tc>
        <w:tc>
          <w:tcPr>
            <w:tcW w:w="100" w:type="dxa"/>
            <w:vAlign w:val="bottom"/>
            <w:vMerge w:val="restart"/>
          </w:tcPr>
          <w:p>
            <w:pPr>
              <w:spacing w:after="0"/>
              <w:rPr>
                <w:sz w:val="14"/>
                <w:szCs w:val="14"/>
                <w:color w:val="auto"/>
              </w:rPr>
            </w:pPr>
          </w:p>
        </w:tc>
        <w:tc>
          <w:tcPr>
            <w:tcW w:w="1520" w:type="dxa"/>
            <w:vAlign w:val="bottom"/>
            <w:gridSpan w:val="3"/>
          </w:tcPr>
          <w:p>
            <w:pPr>
              <w:jc w:val="center"/>
              <w:ind w:right="100"/>
              <w:spacing w:after="0" w:line="162" w:lineRule="exact"/>
              <w:rPr>
                <w:sz w:val="20"/>
                <w:szCs w:val="20"/>
                <w:color w:val="auto"/>
              </w:rPr>
            </w:pPr>
            <w:r>
              <w:rPr>
                <w:rFonts w:ascii="Arial" w:cs="Arial" w:eastAsia="Arial" w:hAnsi="Arial"/>
                <w:sz w:val="17"/>
                <w:szCs w:val="17"/>
                <w:b w:val="1"/>
                <w:bCs w:val="1"/>
                <w:color w:val="auto"/>
                <w:w w:val="91"/>
              </w:rPr>
              <w:t>Private Placement</w:t>
            </w:r>
          </w:p>
        </w:tc>
        <w:tc>
          <w:tcPr>
            <w:tcW w:w="220" w:type="dxa"/>
            <w:vAlign w:val="bottom"/>
          </w:tcPr>
          <w:p>
            <w:pPr>
              <w:spacing w:after="0"/>
              <w:rPr>
                <w:sz w:val="14"/>
                <w:szCs w:val="14"/>
                <w:color w:val="auto"/>
              </w:rPr>
            </w:pPr>
          </w:p>
        </w:tc>
        <w:tc>
          <w:tcPr>
            <w:tcW w:w="1200" w:type="dxa"/>
            <w:vAlign w:val="bottom"/>
          </w:tcPr>
          <w:p>
            <w:pPr>
              <w:jc w:val="right"/>
              <w:ind w:right="314"/>
              <w:spacing w:after="0" w:line="162" w:lineRule="exact"/>
              <w:rPr>
                <w:sz w:val="20"/>
                <w:szCs w:val="20"/>
                <w:color w:val="auto"/>
              </w:rPr>
            </w:pPr>
            <w:r>
              <w:rPr>
                <w:rFonts w:ascii="Arial" w:cs="Arial" w:eastAsia="Arial" w:hAnsi="Arial"/>
                <w:sz w:val="17"/>
                <w:szCs w:val="17"/>
                <w:b w:val="1"/>
                <w:bCs w:val="1"/>
                <w:color w:val="auto"/>
              </w:rPr>
              <w:t>Warrant</w:t>
            </w:r>
          </w:p>
        </w:tc>
        <w:tc>
          <w:tcPr>
            <w:tcW w:w="0" w:type="dxa"/>
            <w:vAlign w:val="bottom"/>
          </w:tcPr>
          <w:p>
            <w:pPr>
              <w:spacing w:after="0"/>
              <w:rPr>
                <w:sz w:val="1"/>
                <w:szCs w:val="1"/>
                <w:color w:val="auto"/>
              </w:rPr>
            </w:pPr>
          </w:p>
        </w:tc>
      </w:tr>
      <w:tr>
        <w:trPr>
          <w:trHeight w:val="219"/>
        </w:trPr>
        <w:tc>
          <w:tcPr>
            <w:tcW w:w="67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4"/>
              </w:rPr>
              <w:t>Warrants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Liabilities</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780" w:type="dxa"/>
            <w:vAlign w:val="bottom"/>
          </w:tcPr>
          <w:p>
            <w:pPr>
              <w:ind w:left="20"/>
              <w:spacing w:after="0"/>
              <w:rPr>
                <w:sz w:val="20"/>
                <w:szCs w:val="20"/>
                <w:color w:val="auto"/>
              </w:rPr>
            </w:pPr>
            <w:r>
              <w:rPr>
                <w:rFonts w:ascii="Arial" w:cs="Arial" w:eastAsia="Arial" w:hAnsi="Arial"/>
                <w:sz w:val="17"/>
                <w:szCs w:val="17"/>
                <w:color w:val="auto"/>
              </w:rPr>
              <w:t>Warrant liability acquired</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100,750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93,228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193,978</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valuation inputs or other assumptions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(83,628)</w:t>
            </w:r>
          </w:p>
        </w:tc>
        <w:tc>
          <w:tcPr>
            <w:tcW w:w="0" w:type="dxa"/>
            <w:vAlign w:val="bottom"/>
          </w:tcPr>
          <w:p>
            <w:pPr>
              <w:spacing w:after="0"/>
              <w:rPr>
                <w:sz w:val="1"/>
                <w:szCs w:val="1"/>
                <w:color w:val="auto"/>
              </w:rPr>
            </w:pPr>
          </w:p>
        </w:tc>
      </w:tr>
      <w:tr>
        <w:trPr>
          <w:trHeight w:val="213"/>
        </w:trPr>
        <w:tc>
          <w:tcPr>
            <w:tcW w:w="6780" w:type="dxa"/>
            <w:vAlign w:val="bottom"/>
          </w:tcPr>
          <w:p>
            <w:pPr>
              <w:ind w:left="120"/>
              <w:spacing w:after="0"/>
              <w:rPr>
                <w:sz w:val="20"/>
                <w:szCs w:val="20"/>
                <w:color w:val="auto"/>
              </w:rPr>
            </w:pPr>
            <w:r>
              <w:rPr>
                <w:rFonts w:ascii="Arial" w:cs="Arial" w:eastAsia="Arial" w:hAnsi="Arial"/>
                <w:sz w:val="17"/>
                <w:szCs w:val="17"/>
                <w:color w:val="auto"/>
              </w:rPr>
              <w:t>Fair value,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54,000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56,350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110,350</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6174740</wp:posOffset>
            </wp:positionH>
            <wp:positionV relativeFrom="paragraph">
              <wp:posOffset>-605155</wp:posOffset>
            </wp:positionV>
            <wp:extent cx="571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Public Warrants</w:t>
      </w:r>
    </w:p>
    <w:p>
      <w:pPr>
        <w:spacing w:after="0" w:line="114"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The Company determined the fair value of its public warrants, which were originally issued in the initial public offering of Silver Spike (the “Public Warrants”) based on the publicly listed trading price of such warrants as of the valuation date. Accordingly, the Public Warrants are classified as Level 1 financial instruments. The fair value of the Public Warrants was $54.0 million and $100.8 million as of September 30, 2021 and June 16, 2021,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Private Placement Warrants</w:t>
      </w:r>
    </w:p>
    <w:p>
      <w:pPr>
        <w:spacing w:after="0" w:line="114"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The estimated fair value of the warrants that were originally issued in a private placement (the “Private Placement Warrants” and together with the Public Warrants, the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quantitative information regarding Level 3 fair value measurements inputs at their measurement dates: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ind w:left="120"/>
              <w:spacing w:after="0"/>
              <w:rPr>
                <w:sz w:val="20"/>
                <w:szCs w:val="20"/>
                <w:color w:val="auto"/>
              </w:rPr>
            </w:pPr>
            <w:r>
              <w:rPr>
                <w:rFonts w:ascii="Arial" w:cs="Arial" w:eastAsia="Arial" w:hAnsi="Arial"/>
                <w:sz w:val="17"/>
                <w:szCs w:val="17"/>
                <w:b w:val="1"/>
                <w:bCs w:val="1"/>
                <w:color w:val="auto"/>
              </w:rPr>
              <w:t>September 30, 2021</w:t>
            </w:r>
          </w:p>
        </w:tc>
        <w:tc>
          <w:tcPr>
            <w:tcW w:w="400" w:type="dxa"/>
            <w:vAlign w:val="bottom"/>
          </w:tcPr>
          <w:p>
            <w:pPr>
              <w:spacing w:after="0"/>
              <w:rPr>
                <w:sz w:val="19"/>
                <w:szCs w:val="19"/>
                <w:color w:val="auto"/>
              </w:rPr>
            </w:pPr>
          </w:p>
        </w:tc>
        <w:tc>
          <w:tcPr>
            <w:tcW w:w="2000" w:type="dxa"/>
            <w:vAlign w:val="bottom"/>
          </w:tcPr>
          <w:p>
            <w:pPr>
              <w:jc w:val="right"/>
              <w:ind w:right="614"/>
              <w:spacing w:after="0"/>
              <w:rPr>
                <w:sz w:val="20"/>
                <w:szCs w:val="20"/>
                <w:color w:val="auto"/>
              </w:rPr>
            </w:pPr>
            <w:r>
              <w:rPr>
                <w:rFonts w:ascii="Arial" w:cs="Arial" w:eastAsia="Arial" w:hAnsi="Arial"/>
                <w:sz w:val="17"/>
                <w:szCs w:val="17"/>
                <w:b w:val="1"/>
                <w:bCs w:val="1"/>
                <w:color w:val="auto"/>
              </w:rPr>
              <w:t>June 16, 2021</w:t>
            </w:r>
          </w:p>
        </w:tc>
      </w:tr>
      <w:tr>
        <w:trPr>
          <w:trHeight w:val="213"/>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Exercise price</w:t>
            </w: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9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11.50</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20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11.50</w:t>
            </w: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Stock price</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900" w:type="dxa"/>
            <w:vAlign w:val="bottom"/>
          </w:tcPr>
          <w:p>
            <w:pPr>
              <w:jc w:val="right"/>
              <w:ind w:right="134"/>
              <w:spacing w:after="0"/>
              <w:rPr>
                <w:sz w:val="20"/>
                <w:szCs w:val="20"/>
                <w:color w:val="auto"/>
              </w:rPr>
            </w:pPr>
            <w:r>
              <w:rPr>
                <w:rFonts w:ascii="Arial" w:cs="Arial" w:eastAsia="Arial" w:hAnsi="Arial"/>
                <w:sz w:val="17"/>
                <w:szCs w:val="17"/>
                <w:color w:val="auto"/>
              </w:rPr>
              <w:t>14.50</w:t>
            </w:r>
          </w:p>
        </w:tc>
        <w:tc>
          <w:tcPr>
            <w:tcW w:w="80" w:type="dxa"/>
            <w:vAlign w:val="bottom"/>
          </w:tcPr>
          <w:p>
            <w:pPr>
              <w:spacing w:after="0"/>
              <w:rPr>
                <w:sz w:val="18"/>
                <w:szCs w:val="18"/>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2000" w:type="dxa"/>
            <w:vAlign w:val="bottom"/>
          </w:tcPr>
          <w:p>
            <w:pPr>
              <w:jc w:val="right"/>
              <w:ind w:right="114"/>
              <w:spacing w:after="0"/>
              <w:rPr>
                <w:sz w:val="20"/>
                <w:szCs w:val="20"/>
                <w:color w:val="auto"/>
              </w:rPr>
            </w:pPr>
            <w:r>
              <w:rPr>
                <w:rFonts w:ascii="Arial" w:cs="Arial" w:eastAsia="Arial" w:hAnsi="Arial"/>
                <w:sz w:val="17"/>
                <w:szCs w:val="17"/>
                <w:color w:val="auto"/>
              </w:rPr>
              <w:t>20.55</w:t>
            </w: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60.0 %</w:t>
            </w: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Term (years)</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4.71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0.92 %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Significant changes in the volatility would result in a significant lower or higher fair value measurement, respectively.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the Private Placement Warrants was $56.4 million and $93.2 million as of September 30, 2021 and June 16, 2020, respectively.</w:t>
      </w:r>
    </w:p>
    <w:p>
      <w:pPr>
        <w:spacing w:after="0" w:line="125"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 xml:space="preserve">The Warrants were accounted for as liabilities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and are presented within warrant liability on the accompanying condensed consolidated balance sheets. The warrant liabilities are measured at fair value at inception and on a recurring basis, with changes in fair value presented within change in fair value of warrant liability in the condensed consolidated statements of income.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were no transfers in or out of Level 3 from other levels in the fair value hierarchy.</w:t>
      </w:r>
    </w:p>
    <w:p>
      <w:pPr>
        <w:spacing w:after="0" w:line="211" w:lineRule="exact"/>
        <w:rPr>
          <w:sz w:val="20"/>
          <w:szCs w:val="20"/>
          <w:color w:val="auto"/>
        </w:rPr>
      </w:pPr>
    </w:p>
    <w:p>
      <w:pPr>
        <w:ind w:left="340" w:hanging="337"/>
        <w:spacing w:after="0"/>
        <w:tabs>
          <w:tab w:leader="none" w:pos="34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further discussed in Note 1, on June 16, 2021, the Company consummated the Business Combination pursuant to the Merger Agreement.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the Closing, the following occurred:</w:t>
      </w:r>
    </w:p>
    <w:p>
      <w:pPr>
        <w:spacing w:after="0" w:line="114" w:lineRule="exact"/>
        <w:rPr>
          <w:sz w:val="20"/>
          <w:szCs w:val="20"/>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Silver Spike was domesticated and continues as a Delaware corporation, changing its name to “WM Technology, Inc.”</w:t>
      </w:r>
    </w:p>
    <w:p>
      <w:pPr>
        <w:spacing w:after="0" w:line="113"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7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61" w:lineRule="exact"/>
        <w:rPr>
          <w:rFonts w:ascii="Arial" w:cs="Arial" w:eastAsia="Arial" w:hAnsi="Arial"/>
          <w:sz w:val="17"/>
          <w:szCs w:val="17"/>
          <w:color w:val="auto"/>
        </w:rPr>
      </w:pPr>
    </w:p>
    <w:p>
      <w:pPr>
        <w:jc w:val="both"/>
        <w:ind w:left="620" w:hanging="307"/>
        <w:spacing w:after="0" w:line="292" w:lineRule="auto"/>
        <w:tabs>
          <w:tab w:leader="none" w:pos="616"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w:t>
      </w:r>
    </w:p>
    <w:p>
      <w:pPr>
        <w:ind w:left="620"/>
        <w:spacing w:after="0"/>
        <w:rPr>
          <w:rFonts w:ascii="Arial" w:cs="Arial" w:eastAsia="Arial" w:hAnsi="Arial"/>
          <w:sz w:val="15"/>
          <w:szCs w:val="15"/>
          <w:color w:val="auto"/>
        </w:rPr>
      </w:pPr>
      <w:r>
        <w:rPr>
          <w:rFonts w:ascii="Arial" w:cs="Arial" w:eastAsia="Arial" w:hAnsi="Arial"/>
          <w:sz w:val="17"/>
          <w:szCs w:val="17"/>
          <w:color w:val="auto"/>
        </w:rPr>
        <w:t>(d) the aggregate amount of transaction expenses incurred by the parties to the Business Combination Agreement.</w:t>
      </w:r>
    </w:p>
    <w:p>
      <w:pPr>
        <w:spacing w:after="0" w:line="103"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transferred $455.2 million to the Legacy WMH equity holders as cash consideration.</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Legacy WMH equity holders retained an aggregate of 65,502,347 Class A Units and 25,896,042 Class P Units.</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issued 65,502,347 shares of Class V Common Stock to Class A Unit holders, representing the same number of Class A Units retained by the Legacy WMH equity holders.</w:t>
      </w:r>
    </w:p>
    <w:p>
      <w:pPr>
        <w:spacing w:after="0" w:line="61" w:lineRule="exact"/>
        <w:rPr>
          <w:rFonts w:ascii="Arial" w:cs="Arial" w:eastAsia="Arial" w:hAnsi="Arial"/>
          <w:sz w:val="17"/>
          <w:szCs w:val="17"/>
          <w:color w:val="auto"/>
        </w:rPr>
      </w:pPr>
    </w:p>
    <w:p>
      <w:pPr>
        <w:jc w:val="both"/>
        <w:ind w:left="620" w:hanging="307"/>
        <w:spacing w:after="0" w:line="302" w:lineRule="auto"/>
        <w:tabs>
          <w:tab w:leader="none" w:pos="616"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49"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5"/>
          <w:szCs w:val="15"/>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the elements of the Business Combination to the condensed consolidated statements of cash flows and the condensed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820" w:type="dxa"/>
            <w:vAlign w:val="bottom"/>
          </w:tcPr>
          <w:p>
            <w:pPr>
              <w:spacing w:after="0"/>
              <w:rPr>
                <w:sz w:val="20"/>
                <w:szCs w:val="20"/>
                <w:color w:val="auto"/>
              </w:rPr>
            </w:pPr>
            <w:r>
              <w:rPr>
                <w:rFonts w:ascii="Arial" w:cs="Arial" w:eastAsia="Arial" w:hAnsi="Arial"/>
                <w:sz w:val="17"/>
                <w:szCs w:val="17"/>
                <w:color w:val="auto"/>
              </w:rPr>
              <w:t>consolidated statements of equity for the nine months ended September 30, 2021 (in thousands):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9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74"/>
              <w:spacing w:after="0"/>
              <w:rPr>
                <w:sz w:val="20"/>
                <w:szCs w:val="20"/>
                <w:color w:val="auto"/>
              </w:rPr>
            </w:pPr>
            <w:r>
              <w:rPr>
                <w:rFonts w:ascii="Arial" w:cs="Arial" w:eastAsia="Arial" w:hAnsi="Arial"/>
                <w:sz w:val="17"/>
                <w:szCs w:val="17"/>
                <w:b w:val="1"/>
                <w:bCs w:val="1"/>
                <w:color w:val="auto"/>
                <w:w w:val="84"/>
              </w:rPr>
              <w:t>Business</w:t>
            </w:r>
          </w:p>
        </w:tc>
        <w:tc>
          <w:tcPr>
            <w:tcW w:w="0" w:type="dxa"/>
            <w:vAlign w:val="bottom"/>
          </w:tcPr>
          <w:p>
            <w:pPr>
              <w:spacing w:after="0"/>
              <w:rPr>
                <w:sz w:val="1"/>
                <w:szCs w:val="1"/>
                <w:color w:val="auto"/>
              </w:rPr>
            </w:pPr>
          </w:p>
        </w:tc>
      </w:tr>
      <w:tr>
        <w:trPr>
          <w:trHeight w:val="219"/>
        </w:trPr>
        <w:tc>
          <w:tcPr>
            <w:tcW w:w="98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w w:val="92"/>
              </w:rPr>
              <w:t>Combination</w:t>
            </w:r>
          </w:p>
        </w:tc>
        <w:tc>
          <w:tcPr>
            <w:tcW w:w="0" w:type="dxa"/>
            <w:vAlign w:val="bottom"/>
          </w:tcPr>
          <w:p>
            <w:pPr>
              <w:spacing w:after="0"/>
              <w:rPr>
                <w:sz w:val="1"/>
                <w:szCs w:val="1"/>
                <w:color w:val="auto"/>
              </w:rPr>
            </w:pPr>
          </w:p>
        </w:tc>
      </w:tr>
      <w:tr>
        <w:trPr>
          <w:trHeight w:val="212"/>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 Silver Spike trust and cash, net of redemptions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254,203</w:t>
            </w:r>
          </w:p>
        </w:tc>
        <w:tc>
          <w:tcPr>
            <w:tcW w:w="0" w:type="dxa"/>
            <w:vAlign w:val="bottom"/>
          </w:tcPr>
          <w:p>
            <w:pPr>
              <w:spacing w:after="0"/>
              <w:rPr>
                <w:sz w:val="1"/>
                <w:szCs w:val="1"/>
                <w:color w:val="auto"/>
              </w:rPr>
            </w:pP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Cash - PIPE Financing</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325,000</w:t>
            </w: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cash consideration paid to Legacy WMH equity holders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(455,182)</w:t>
            </w:r>
          </w:p>
        </w:tc>
        <w:tc>
          <w:tcPr>
            <w:tcW w:w="0" w:type="dxa"/>
            <w:vAlign w:val="bottom"/>
          </w:tcPr>
          <w:p>
            <w:pPr>
              <w:spacing w:after="0"/>
              <w:rPr>
                <w:sz w:val="1"/>
                <w:szCs w:val="1"/>
                <w:color w:val="auto"/>
              </w:rPr>
            </w:pPr>
          </w:p>
        </w:tc>
      </w:tr>
      <w:tr>
        <w:trPr>
          <w:trHeight w:val="218"/>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transaction costs and advisory fees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(44,052)</w:t>
            </w:r>
          </w:p>
        </w:tc>
        <w:tc>
          <w:tcPr>
            <w:tcW w:w="0" w:type="dxa"/>
            <w:vAlign w:val="bottom"/>
          </w:tcPr>
          <w:p>
            <w:pPr>
              <w:spacing w:after="0"/>
              <w:rPr>
                <w:sz w:val="1"/>
                <w:szCs w:val="1"/>
                <w:color w:val="auto"/>
              </w:rPr>
            </w:pPr>
          </w:p>
        </w:tc>
      </w:tr>
      <w:tr>
        <w:trPr>
          <w:trHeight w:val="213"/>
        </w:trPr>
        <w:tc>
          <w:tcPr>
            <w:tcW w:w="9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proceeds from the Business Combination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79,969</w:t>
            </w:r>
          </w:p>
        </w:tc>
        <w:tc>
          <w:tcPr>
            <w:tcW w:w="0" w:type="dxa"/>
            <w:vAlign w:val="bottom"/>
          </w:tcPr>
          <w:p>
            <w:pPr>
              <w:spacing w:after="0"/>
              <w:rPr>
                <w:sz w:val="1"/>
                <w:szCs w:val="1"/>
                <w:color w:val="auto"/>
              </w:rPr>
            </w:pP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Less: initial fair value of warrant liability recognized in the Business Combination</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(193,978)</w:t>
            </w: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 transaction costs allocated to Warrants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5,547</w:t>
            </w:r>
          </w:p>
        </w:tc>
        <w:tc>
          <w:tcPr>
            <w:tcW w:w="0" w:type="dxa"/>
            <w:vAlign w:val="bottom"/>
          </w:tcPr>
          <w:p>
            <w:pPr>
              <w:spacing w:after="0"/>
              <w:rPr>
                <w:sz w:val="1"/>
                <w:szCs w:val="1"/>
                <w:color w:val="auto"/>
              </w:rPr>
            </w:pP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Add: non-cash assets assumed from Silver Spike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1,053</w:t>
            </w: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 deferred tax asset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147,973</w:t>
            </w:r>
          </w:p>
        </w:tc>
        <w:tc>
          <w:tcPr>
            <w:tcW w:w="0" w:type="dxa"/>
            <w:vAlign w:val="bottom"/>
          </w:tcPr>
          <w:p>
            <w:pPr>
              <w:spacing w:after="0"/>
              <w:rPr>
                <w:sz w:val="1"/>
                <w:szCs w:val="1"/>
                <w:color w:val="auto"/>
              </w:rPr>
            </w:pPr>
          </w:p>
        </w:tc>
      </w:tr>
      <w:tr>
        <w:trPr>
          <w:trHeight w:val="218"/>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tax receivable agreement liability</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(126,150)</w:t>
            </w:r>
          </w:p>
        </w:tc>
        <w:tc>
          <w:tcPr>
            <w:tcW w:w="0" w:type="dxa"/>
            <w:vAlign w:val="bottom"/>
          </w:tcPr>
          <w:p>
            <w:pPr>
              <w:spacing w:after="0"/>
              <w:rPr>
                <w:sz w:val="1"/>
                <w:szCs w:val="1"/>
                <w:color w:val="auto"/>
              </w:rPr>
            </w:pPr>
          </w:p>
        </w:tc>
      </w:tr>
      <w:tr>
        <w:trPr>
          <w:trHeight w:val="238"/>
        </w:trPr>
        <w:tc>
          <w:tcPr>
            <w:tcW w:w="9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Net adjustment to total equity from the Business Combination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(85,586)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7"/>
                <w:szCs w:val="17"/>
                <w:color w:val="auto"/>
              </w:rPr>
              <w:t>The number of shares of common stock issued immediately following the Closing: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9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982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1"/>
              </w:rPr>
              <w:t>Number of Shares</w:t>
            </w:r>
          </w:p>
        </w:tc>
        <w:tc>
          <w:tcPr>
            <w:tcW w:w="0" w:type="dxa"/>
            <w:vAlign w:val="bottom"/>
          </w:tcPr>
          <w:p>
            <w:pPr>
              <w:spacing w:after="0"/>
              <w:rPr>
                <w:sz w:val="1"/>
                <w:szCs w:val="1"/>
                <w:color w:val="auto"/>
              </w:rPr>
            </w:pPr>
          </w:p>
        </w:tc>
      </w:tr>
      <w:tr>
        <w:trPr>
          <w:trHeight w:val="213"/>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outstanding prior to the Business Combination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24,998,575</w:t>
            </w:r>
          </w:p>
        </w:tc>
        <w:tc>
          <w:tcPr>
            <w:tcW w:w="0" w:type="dxa"/>
            <w:vAlign w:val="bottom"/>
          </w:tcPr>
          <w:p>
            <w:pPr>
              <w:spacing w:after="0"/>
              <w:rPr>
                <w:sz w:val="1"/>
                <w:szCs w:val="1"/>
                <w:color w:val="auto"/>
              </w:rPr>
            </w:pPr>
          </w:p>
        </w:tc>
      </w:tr>
      <w:tr>
        <w:trPr>
          <w:trHeight w:val="218"/>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redemption of shares of Silver Spike’s Class A common stock</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10,012</w:t>
            </w:r>
          </w:p>
        </w:tc>
        <w:tc>
          <w:tcPr>
            <w:tcW w:w="0" w:type="dxa"/>
            <w:vAlign w:val="bottom"/>
          </w:tcPr>
          <w:p>
            <w:pPr>
              <w:spacing w:after="0"/>
              <w:rPr>
                <w:sz w:val="1"/>
                <w:szCs w:val="1"/>
                <w:color w:val="auto"/>
              </w:rPr>
            </w:pPr>
          </w:p>
        </w:tc>
      </w:tr>
      <w:tr>
        <w:trPr>
          <w:trHeight w:val="213"/>
        </w:trPr>
        <w:tc>
          <w:tcPr>
            <w:tcW w:w="9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Shares of Silver Spike’s Class A common stock</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24,988,563</w:t>
            </w:r>
          </w:p>
        </w:tc>
        <w:tc>
          <w:tcPr>
            <w:tcW w:w="0" w:type="dxa"/>
            <w:vAlign w:val="bottom"/>
          </w:tcPr>
          <w:p>
            <w:pPr>
              <w:spacing w:after="0"/>
              <w:rPr>
                <w:sz w:val="1"/>
                <w:szCs w:val="1"/>
                <w:color w:val="auto"/>
              </w:rPr>
            </w:pP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Shares of Class A Common Stock held by Silver Spike’s Sponsor</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6,250,000</w:t>
            </w: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of Class A Common Stock issued in the PIPE Financing</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32,500,000</w:t>
            </w:r>
          </w:p>
        </w:tc>
        <w:tc>
          <w:tcPr>
            <w:tcW w:w="0" w:type="dxa"/>
            <w:vAlign w:val="bottom"/>
          </w:tcPr>
          <w:p>
            <w:pPr>
              <w:spacing w:after="0"/>
              <w:rPr>
                <w:sz w:val="1"/>
                <w:szCs w:val="1"/>
                <w:color w:val="auto"/>
              </w:rPr>
            </w:pPr>
          </w:p>
        </w:tc>
      </w:tr>
      <w:tr>
        <w:trPr>
          <w:trHeight w:val="211"/>
        </w:trPr>
        <w:tc>
          <w:tcPr>
            <w:tcW w:w="9820" w:type="dxa"/>
            <w:vAlign w:val="bottom"/>
          </w:tcPr>
          <w:p>
            <w:pPr>
              <w:ind w:left="120"/>
              <w:spacing w:after="0"/>
              <w:rPr>
                <w:sz w:val="20"/>
                <w:szCs w:val="20"/>
                <w:color w:val="auto"/>
              </w:rPr>
            </w:pPr>
            <w:r>
              <w:rPr>
                <w:rFonts w:ascii="Arial" w:cs="Arial" w:eastAsia="Arial" w:hAnsi="Arial"/>
                <w:sz w:val="17"/>
                <w:szCs w:val="17"/>
                <w:color w:val="auto"/>
              </w:rPr>
              <w:t>Shares of Class A Common Stock issued in the Business Combination</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63,738,563</w:t>
            </w: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of Class V Common Stock issued to Legacy WMH equity holders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65,502,347</w:t>
            </w:r>
          </w:p>
        </w:tc>
        <w:tc>
          <w:tcPr>
            <w:tcW w:w="0" w:type="dxa"/>
            <w:vAlign w:val="bottom"/>
          </w:tcPr>
          <w:p>
            <w:pPr>
              <w:spacing w:after="0"/>
              <w:rPr>
                <w:sz w:val="1"/>
                <w:szCs w:val="1"/>
                <w:color w:val="auto"/>
              </w:rPr>
            </w:pPr>
          </w:p>
        </w:tc>
      </w:tr>
      <w:tr>
        <w:trPr>
          <w:trHeight w:val="213"/>
        </w:trPr>
        <w:tc>
          <w:tcPr>
            <w:tcW w:w="9820" w:type="dxa"/>
            <w:vAlign w:val="bottom"/>
          </w:tcPr>
          <w:p>
            <w:pPr>
              <w:ind w:left="120"/>
              <w:spacing w:after="0"/>
              <w:rPr>
                <w:sz w:val="20"/>
                <w:szCs w:val="20"/>
                <w:color w:val="auto"/>
              </w:rPr>
            </w:pPr>
            <w:r>
              <w:rPr>
                <w:rFonts w:ascii="Arial" w:cs="Arial" w:eastAsia="Arial" w:hAnsi="Arial"/>
                <w:sz w:val="17"/>
                <w:szCs w:val="17"/>
                <w:color w:val="auto"/>
              </w:rPr>
              <w:t>Total shares of common stock issued in the Business Combination</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129,240,910</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6"/>
          <w:szCs w:val="16"/>
          <w:color w:val="auto"/>
        </w:rPr>
        <w:t>Net income for the period from June 16, 2021 (Closing Date) to September 30, 2021 was $58.7 million, which includes change in fair value of warrant liability of $83.6 million, stock-based compensation expense of $23.6 million and transaction costs related to the warrant liability of $5.5 million. The transaction costs related to the warrant liability is included in other expense, net on the accompanying condensed consolidated statements of income.</w:t>
      </w:r>
    </w:p>
    <w:p>
      <w:pPr>
        <w:spacing w:after="0" w:line="164" w:lineRule="exact"/>
        <w:rPr>
          <w:sz w:val="20"/>
          <w:szCs w:val="20"/>
          <w:color w:val="auto"/>
        </w:rPr>
      </w:pPr>
    </w:p>
    <w:p>
      <w:pPr>
        <w:ind w:left="340" w:hanging="337"/>
        <w:spacing w:after="0"/>
        <w:tabs>
          <w:tab w:leader="none" w:pos="34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Sprout</w:t>
      </w:r>
    </w:p>
    <w:p>
      <w:pPr>
        <w:spacing w:after="0" w:line="230"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 xml:space="preserve">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19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acquired assets of Sprout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components of consideration and the preliminary estimated fair value of assets acquired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20" w:type="dxa"/>
            <w:vAlign w:val="bottom"/>
          </w:tcPr>
          <w:p>
            <w:pPr>
              <w:ind w:left="20"/>
              <w:spacing w:after="0"/>
              <w:rPr>
                <w:sz w:val="20"/>
                <w:szCs w:val="20"/>
                <w:color w:val="auto"/>
              </w:rPr>
            </w:pPr>
            <w:r>
              <w:rPr>
                <w:rFonts w:ascii="Arial" w:cs="Arial" w:eastAsia="Arial" w:hAnsi="Arial"/>
                <w:sz w:val="17"/>
                <w:szCs w:val="17"/>
                <w:b w:val="1"/>
                <w:bCs w:val="1"/>
                <w:color w:val="auto"/>
              </w:rPr>
              <w:t>Consideration Transferred: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consideration</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w:t>
            </w:r>
          </w:p>
        </w:tc>
        <w:tc>
          <w:tcPr>
            <w:tcW w:w="0" w:type="dxa"/>
            <w:vAlign w:val="bottom"/>
          </w:tcPr>
          <w:p>
            <w:pPr>
              <w:spacing w:after="0"/>
              <w:rPr>
                <w:sz w:val="1"/>
                <w:szCs w:val="1"/>
                <w:color w:val="auto"/>
              </w:rPr>
            </w:pPr>
          </w:p>
        </w:tc>
      </w:tr>
      <w:tr>
        <w:trPr>
          <w:trHeight w:val="219"/>
        </w:trPr>
        <w:tc>
          <w:tcPr>
            <w:tcW w:w="982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Share consideration</w:t>
            </w:r>
            <w:r>
              <w:rPr>
                <w:rFonts w:ascii="Arial" w:cs="Arial" w:eastAsia="Arial" w:hAnsi="Arial"/>
                <w:sz w:val="22"/>
                <w:szCs w:val="22"/>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19,186</w:t>
            </w:r>
          </w:p>
        </w:tc>
        <w:tc>
          <w:tcPr>
            <w:tcW w:w="0" w:type="dxa"/>
            <w:vAlign w:val="bottom"/>
          </w:tcPr>
          <w:p>
            <w:pPr>
              <w:spacing w:after="0"/>
              <w:rPr>
                <w:sz w:val="1"/>
                <w:szCs w:val="1"/>
                <w:color w:val="auto"/>
              </w:rPr>
            </w:pPr>
          </w:p>
        </w:tc>
      </w:tr>
      <w:tr>
        <w:trPr>
          <w:trHeight w:val="237"/>
        </w:trPr>
        <w:tc>
          <w:tcPr>
            <w:tcW w:w="9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consideration</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31,186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Estimated Assets Acquired: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98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 technology</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1,976</w:t>
            </w:r>
          </w:p>
        </w:tc>
        <w:tc>
          <w:tcPr>
            <w:tcW w:w="0" w:type="dxa"/>
            <w:vAlign w:val="bottom"/>
          </w:tcPr>
          <w:p>
            <w:pPr>
              <w:spacing w:after="0"/>
              <w:rPr>
                <w:sz w:val="1"/>
                <w:szCs w:val="1"/>
                <w:color w:val="auto"/>
              </w:rPr>
            </w:pP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Trade name</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1,762</w:t>
            </w:r>
          </w:p>
        </w:tc>
        <w:tc>
          <w:tcPr>
            <w:tcW w:w="0" w:type="dxa"/>
            <w:vAlign w:val="bottom"/>
          </w:tcPr>
          <w:p>
            <w:pPr>
              <w:spacing w:after="0"/>
              <w:rPr>
                <w:sz w:val="1"/>
                <w:szCs w:val="1"/>
                <w:color w:val="auto"/>
              </w:rPr>
            </w:pPr>
          </w:p>
        </w:tc>
      </w:tr>
      <w:tr>
        <w:trPr>
          <w:trHeight w:val="218"/>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27,049</w:t>
            </w:r>
          </w:p>
        </w:tc>
        <w:tc>
          <w:tcPr>
            <w:tcW w:w="0" w:type="dxa"/>
            <w:vAlign w:val="bottom"/>
          </w:tcPr>
          <w:p>
            <w:pPr>
              <w:spacing w:after="0"/>
              <w:rPr>
                <w:sz w:val="1"/>
                <w:szCs w:val="1"/>
                <w:color w:val="auto"/>
              </w:rPr>
            </w:pPr>
          </w:p>
        </w:tc>
      </w:tr>
      <w:tr>
        <w:trPr>
          <w:trHeight w:val="238"/>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 acquired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31,186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w:t>
      </w:r>
    </w:p>
    <w:p>
      <w:pPr>
        <w:spacing w:after="0" w:line="12" w:lineRule="exact"/>
        <w:rPr>
          <w:sz w:val="20"/>
          <w:szCs w:val="20"/>
          <w:color w:val="auto"/>
        </w:rPr>
      </w:pPr>
    </w:p>
    <w:p>
      <w:pPr>
        <w:ind w:left="320" w:hanging="317"/>
        <w:spacing w:after="0" w:line="235" w:lineRule="auto"/>
        <w:tabs>
          <w:tab w:leader="none" w:pos="3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fair value of share consideration issued in connection with the Spout acquisition was calculated based on 1,244,258 shares of Class A common stock issued multiplied by the share price on the closing date of $15.42.</w:t>
      </w:r>
    </w:p>
    <w:p>
      <w:pPr>
        <w:spacing w:after="0" w:line="31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20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Sprout’s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208"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During the three and nine months ended September 30, 2021, the Company incurred transaction expenses associated with the Sprout acquisition of $0.8 million, which is included in general and administrative expenses in the condensed consolidated statements of income.</w:t>
      </w:r>
    </w:p>
    <w:p>
      <w:pPr>
        <w:spacing w:after="0" w:line="19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revenue and operating loss from Sprout included the Company’s condensed consolidated statements of income for the period from September 3, 2021 (acquisition date) through September 30, 2021 were not material. Pro forma revenue and earnings amounts on a combined basis have not been presented as they are not material to the Company’s historical pre-acquisition financials.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Transport Logistics Holding</w:t>
      </w:r>
    </w:p>
    <w:p>
      <w:pPr>
        <w:spacing w:after="0" w:line="23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201" w:lineRule="exact"/>
        <w:rPr>
          <w:sz w:val="20"/>
          <w:szCs w:val="20"/>
          <w:color w:val="auto"/>
        </w:rPr>
      </w:pPr>
    </w:p>
    <w:p>
      <w:pPr>
        <w:jc w:val="both"/>
        <w:ind w:firstLine="464"/>
        <w:spacing w:after="0" w:line="318" w:lineRule="auto"/>
        <w:rPr>
          <w:sz w:val="20"/>
          <w:szCs w:val="20"/>
          <w:color w:val="auto"/>
        </w:rPr>
      </w:pPr>
      <w:r>
        <w:rPr>
          <w:rFonts w:ascii="Arial" w:cs="Arial" w:eastAsia="Arial" w:hAnsi="Arial"/>
          <w:sz w:val="15"/>
          <w:szCs w:val="15"/>
          <w:color w:val="auto"/>
        </w:rPr>
        <w:t>The acquired assets of TLH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components of consideration and the preliminary estimated fair value of assets acquired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20" w:type="dxa"/>
            <w:vAlign w:val="bottom"/>
          </w:tcPr>
          <w:p>
            <w:pPr>
              <w:ind w:left="20"/>
              <w:spacing w:after="0"/>
              <w:rPr>
                <w:sz w:val="20"/>
                <w:szCs w:val="20"/>
                <w:color w:val="auto"/>
              </w:rPr>
            </w:pPr>
            <w:r>
              <w:rPr>
                <w:rFonts w:ascii="Arial" w:cs="Arial" w:eastAsia="Arial" w:hAnsi="Arial"/>
                <w:sz w:val="17"/>
                <w:szCs w:val="17"/>
                <w:b w:val="1"/>
                <w:bCs w:val="1"/>
                <w:color w:val="auto"/>
              </w:rPr>
              <w:t>Consideration Transferred: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Cash consideration </w:t>
            </w:r>
            <w:r>
              <w:rPr>
                <w:rFonts w:ascii="Arial" w:cs="Arial" w:eastAsia="Arial" w:hAnsi="Arial"/>
                <w:sz w:val="22"/>
                <w:szCs w:val="22"/>
                <w:color w:val="auto"/>
                <w:vertAlign w:val="superscript"/>
              </w:rPr>
              <w:t>(1)</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219"/>
        </w:trPr>
        <w:tc>
          <w:tcPr>
            <w:tcW w:w="982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Share consideration</w:t>
            </w:r>
            <w:r>
              <w:rPr>
                <w:rFonts w:ascii="Arial" w:cs="Arial" w:eastAsia="Arial" w:hAnsi="Arial"/>
                <w:sz w:val="22"/>
                <w:szCs w:val="22"/>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10,126</w:t>
            </w:r>
          </w:p>
        </w:tc>
        <w:tc>
          <w:tcPr>
            <w:tcW w:w="0" w:type="dxa"/>
            <w:vAlign w:val="bottom"/>
          </w:tcPr>
          <w:p>
            <w:pPr>
              <w:spacing w:after="0"/>
              <w:rPr>
                <w:sz w:val="1"/>
                <w:szCs w:val="1"/>
                <w:color w:val="auto"/>
              </w:rPr>
            </w:pPr>
          </w:p>
        </w:tc>
      </w:tr>
      <w:tr>
        <w:trPr>
          <w:trHeight w:val="237"/>
        </w:trPr>
        <w:tc>
          <w:tcPr>
            <w:tcW w:w="9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consideration</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15,126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Estimated Assets Acquired: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98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 technology</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Trade name</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18"/>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14,648</w:t>
            </w:r>
          </w:p>
        </w:tc>
        <w:tc>
          <w:tcPr>
            <w:tcW w:w="0" w:type="dxa"/>
            <w:vAlign w:val="bottom"/>
          </w:tcPr>
          <w:p>
            <w:pPr>
              <w:spacing w:after="0"/>
              <w:rPr>
                <w:sz w:val="1"/>
                <w:szCs w:val="1"/>
                <w:color w:val="auto"/>
              </w:rPr>
            </w:pPr>
          </w:p>
        </w:tc>
      </w:tr>
      <w:tr>
        <w:trPr>
          <w:trHeight w:val="238"/>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 acquired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15,126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____________________________________</w:t>
      </w:r>
    </w:p>
    <w:p>
      <w:pPr>
        <w:ind w:left="920" w:hanging="298"/>
        <w:spacing w:after="0" w:line="236"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holdback of $1.0 million recorded within other current liabilities on the Company’s condensed consolidated balance sheets.</w:t>
      </w:r>
    </w:p>
    <w:p>
      <w:pPr>
        <w:ind w:left="940" w:hanging="318"/>
        <w:spacing w:after="0" w:line="235" w:lineRule="auto"/>
        <w:tabs>
          <w:tab w:leader="none" w:pos="93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fair value of share consideration issued in connection with the TLH acquisition was calculated based on 694,540 shares of Class A common stock issued multiplied by the share price on the closing date of $14.58.</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201"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TLH’s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20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During the three and nine months ended September 30, 2021, the Company incurred transaction expenses associated with the TLH acquisition of $0.6 million, which is included in general and administrative expenses in the condensed consolidated statements of income</w:t>
      </w:r>
    </w:p>
    <w:p>
      <w:pPr>
        <w:spacing w:after="0" w:line="19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revenue and operating loss from TLH included the Company’s condensed consolidated statements of income for the period from September 29, 2021 (acquisition date) through September 30, 2021 were not material. Pro forma revenue and earnings amounts on a combined basis have not been presented as they are not material to the Company’s historical pre-acquisition financials.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20" w:type="dxa"/>
            <w:vAlign w:val="bottom"/>
          </w:tcPr>
          <w:p>
            <w:pPr>
              <w:spacing w:after="0"/>
              <w:rPr>
                <w:sz w:val="20"/>
                <w:szCs w:val="20"/>
                <w:color w:val="auto"/>
              </w:rPr>
            </w:pPr>
            <w:r>
              <w:rPr>
                <w:rFonts w:ascii="Arial" w:cs="Arial" w:eastAsia="Arial" w:hAnsi="Arial"/>
                <w:sz w:val="17"/>
                <w:szCs w:val="17"/>
                <w:b w:val="1"/>
                <w:bCs w:val="1"/>
                <w:color w:val="auto"/>
              </w:rPr>
              <w:t>8.   Goodwill and Intangible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38"/>
        </w:trPr>
        <w:tc>
          <w:tcPr>
            <w:tcW w:w="9820" w:type="dxa"/>
            <w:vAlign w:val="bottom"/>
          </w:tcPr>
          <w:p>
            <w:pPr>
              <w:ind w:left="620"/>
              <w:spacing w:after="0"/>
              <w:rPr>
                <w:sz w:val="20"/>
                <w:szCs w:val="20"/>
                <w:color w:val="auto"/>
              </w:rPr>
            </w:pPr>
            <w:r>
              <w:rPr>
                <w:rFonts w:ascii="Arial" w:cs="Arial" w:eastAsia="Arial" w:hAnsi="Arial"/>
                <w:sz w:val="17"/>
                <w:szCs w:val="17"/>
                <w:color w:val="auto"/>
              </w:rPr>
              <w:t>A summary of changes in goodwill for the nine months ended September 30, 2021 is as follows (in thousands):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52"/>
        </w:trPr>
        <w:tc>
          <w:tcPr>
            <w:tcW w:w="98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Goodwill</w:t>
            </w:r>
          </w:p>
        </w:tc>
      </w:tr>
      <w:tr>
        <w:trPr>
          <w:trHeight w:val="213"/>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3,961</w:t>
            </w: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Acquisition of Sprout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27,049</w:t>
            </w:r>
          </w:p>
        </w:tc>
      </w:tr>
      <w:tr>
        <w:trPr>
          <w:trHeight w:val="219"/>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of TLH</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14,648</w:t>
            </w:r>
          </w:p>
        </w:tc>
      </w:tr>
      <w:tr>
        <w:trPr>
          <w:trHeight w:val="213"/>
        </w:trPr>
        <w:tc>
          <w:tcPr>
            <w:tcW w:w="9820" w:type="dxa"/>
            <w:vAlign w:val="bottom"/>
          </w:tcPr>
          <w:p>
            <w:pPr>
              <w:ind w:left="20"/>
              <w:spacing w:after="0"/>
              <w:rPr>
                <w:sz w:val="20"/>
                <w:szCs w:val="20"/>
                <w:color w:val="auto"/>
              </w:rPr>
            </w:pPr>
            <w:r>
              <w:rPr>
                <w:rFonts w:ascii="Arial" w:cs="Arial" w:eastAsia="Arial" w:hAnsi="Arial"/>
                <w:sz w:val="17"/>
                <w:szCs w:val="17"/>
                <w:color w:val="auto"/>
              </w:rPr>
              <w:t>Balance at September 30, 2021</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45,658</w:t>
            </w:r>
          </w:p>
        </w:tc>
      </w:tr>
      <w:tr>
        <w:trPr>
          <w:trHeight w:val="20"/>
        </w:trPr>
        <w:tc>
          <w:tcPr>
            <w:tcW w:w="9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Intangible assets consisted of the following as of September 30, 2021 and December 31, 2020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8"/>
          </w:tcPr>
          <w:p>
            <w:pPr>
              <w:ind w:left="700"/>
              <w:spacing w:after="0"/>
              <w:rPr>
                <w:sz w:val="20"/>
                <w:szCs w:val="20"/>
                <w:color w:val="auto"/>
              </w:rPr>
            </w:pPr>
            <w:r>
              <w:rPr>
                <w:rFonts w:ascii="Arial" w:cs="Arial" w:eastAsia="Arial" w:hAnsi="Arial"/>
                <w:sz w:val="17"/>
                <w:szCs w:val="17"/>
                <w:b w:val="1"/>
                <w:bCs w:val="1"/>
                <w:color w:val="auto"/>
              </w:rPr>
              <w:t>September 30, 2021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6"/>
          </w:tcPr>
          <w:p>
            <w:pPr>
              <w:jc w:val="center"/>
              <w:ind w:right="34"/>
              <w:spacing w:after="0" w:line="162" w:lineRule="exact"/>
              <w:rPr>
                <w:sz w:val="20"/>
                <w:szCs w:val="20"/>
                <w:color w:val="auto"/>
              </w:rPr>
            </w:pPr>
            <w:r>
              <w:rPr>
                <w:rFonts w:ascii="Arial" w:cs="Arial" w:eastAsia="Arial" w:hAnsi="Arial"/>
                <w:sz w:val="17"/>
                <w:szCs w:val="17"/>
                <w:b w:val="1"/>
                <w:bCs w:val="1"/>
                <w:color w:val="auto"/>
                <w:w w:val="90"/>
              </w:rPr>
              <w:t>Weighted Average</w:t>
            </w: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b w:val="1"/>
                <w:bCs w:val="1"/>
                <w:color w:val="auto"/>
                <w:w w:val="90"/>
              </w:rPr>
              <w:t>Gross Intangible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w w:val="95"/>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96"/>
              </w:rPr>
              <w:t>Net Intangible</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jc w:val="center"/>
              <w:ind w:left="94"/>
              <w:spacing w:after="0" w:line="167" w:lineRule="exact"/>
              <w:rPr>
                <w:sz w:val="20"/>
                <w:szCs w:val="20"/>
                <w:color w:val="auto"/>
              </w:rPr>
            </w:pPr>
            <w:r>
              <w:rPr>
                <w:rFonts w:ascii="Arial" w:cs="Arial" w:eastAsia="Arial" w:hAnsi="Arial"/>
                <w:sz w:val="17"/>
                <w:szCs w:val="17"/>
                <w:b w:val="1"/>
                <w:bCs w:val="1"/>
                <w:color w:val="auto"/>
                <w:w w:val="94"/>
              </w:rPr>
              <w:t>Amortization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3"/>
          </w:tcPr>
          <w:p>
            <w:pPr>
              <w:jc w:val="center"/>
              <w:ind w:left="94"/>
              <w:spacing w:after="0"/>
              <w:rPr>
                <w:sz w:val="20"/>
                <w:szCs w:val="20"/>
                <w:color w:val="auto"/>
              </w:rPr>
            </w:pPr>
            <w:r>
              <w:rPr>
                <w:rFonts w:ascii="Arial" w:cs="Arial" w:eastAsia="Arial" w:hAnsi="Arial"/>
                <w:sz w:val="17"/>
                <w:szCs w:val="17"/>
                <w:b w:val="1"/>
                <w:bCs w:val="1"/>
                <w:color w:val="auto"/>
                <w:w w:val="91"/>
              </w:rPr>
              <w:t>Period (Years)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2"/>
              </w:rPr>
              <w:t>Assets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b w:val="1"/>
                <w:bCs w:val="1"/>
                <w:color w:val="auto"/>
                <w:w w:val="98"/>
              </w:rPr>
              <w:t>Amortization</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Assets</w:t>
            </w:r>
          </w:p>
        </w:tc>
        <w:tc>
          <w:tcPr>
            <w:tcW w:w="0" w:type="dxa"/>
            <w:vAlign w:val="bottom"/>
          </w:tcPr>
          <w:p>
            <w:pPr>
              <w:spacing w:after="0"/>
              <w:rPr>
                <w:sz w:val="1"/>
                <w:szCs w:val="1"/>
                <w:color w:val="auto"/>
              </w:rPr>
            </w:pPr>
          </w:p>
        </w:tc>
      </w:tr>
      <w:tr>
        <w:trPr>
          <w:trHeight w:val="212"/>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and domain names</w:t>
            </w:r>
          </w:p>
        </w:tc>
        <w:tc>
          <w:tcPr>
            <w:tcW w:w="1440" w:type="dxa"/>
            <w:vAlign w:val="bottom"/>
            <w:gridSpan w:val="2"/>
            <w:shd w:val="clear" w:color="auto" w:fill="CCEEFF"/>
          </w:tcPr>
          <w:p>
            <w:pPr>
              <w:jc w:val="center"/>
              <w:ind w:left="494"/>
              <w:spacing w:after="0"/>
              <w:rPr>
                <w:sz w:val="20"/>
                <w:szCs w:val="20"/>
                <w:color w:val="auto"/>
              </w:rPr>
            </w:pPr>
            <w:r>
              <w:rPr>
                <w:rFonts w:ascii="Arial" w:cs="Arial" w:eastAsia="Arial" w:hAnsi="Arial"/>
                <w:sz w:val="17"/>
                <w:szCs w:val="17"/>
                <w:color w:val="auto"/>
                <w:w w:val="90"/>
              </w:rPr>
              <w:t>14.3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7,713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(3,917)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3,796</w:t>
            </w:r>
          </w:p>
        </w:tc>
        <w:tc>
          <w:tcPr>
            <w:tcW w:w="0" w:type="dxa"/>
            <w:vAlign w:val="bottom"/>
          </w:tcPr>
          <w:p>
            <w:pPr>
              <w:spacing w:after="0"/>
              <w:rPr>
                <w:sz w:val="1"/>
                <w:szCs w:val="1"/>
                <w:color w:val="auto"/>
              </w:rPr>
            </w:pP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Software technology</w:t>
            </w:r>
          </w:p>
        </w:tc>
        <w:tc>
          <w:tcPr>
            <w:tcW w:w="1440" w:type="dxa"/>
            <w:vAlign w:val="bottom"/>
            <w:gridSpan w:val="2"/>
          </w:tcPr>
          <w:p>
            <w:pPr>
              <w:jc w:val="center"/>
              <w:ind w:left="494"/>
              <w:spacing w:after="0"/>
              <w:rPr>
                <w:sz w:val="20"/>
                <w:szCs w:val="20"/>
                <w:color w:val="auto"/>
              </w:rPr>
            </w:pPr>
            <w:r>
              <w:rPr>
                <w:rFonts w:ascii="Arial" w:cs="Arial" w:eastAsia="Arial" w:hAnsi="Arial"/>
                <w:sz w:val="17"/>
                <w:szCs w:val="17"/>
                <w:color w:val="auto"/>
                <w:w w:val="92"/>
              </w:rPr>
              <w:t>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Arial" w:cs="Arial" w:eastAsia="Arial" w:hAnsi="Arial"/>
                <w:sz w:val="17"/>
                <w:szCs w:val="17"/>
                <w:color w:val="auto"/>
              </w:rPr>
              <w:t>5,694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7"/>
                <w:szCs w:val="17"/>
                <w:color w:val="auto"/>
              </w:rPr>
              <w:t>(2,976)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2,718</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440" w:type="dxa"/>
            <w:vAlign w:val="bottom"/>
            <w:gridSpan w:val="2"/>
            <w:shd w:val="clear" w:color="auto" w:fill="CCEEFF"/>
          </w:tcPr>
          <w:p>
            <w:pPr>
              <w:jc w:val="center"/>
              <w:ind w:left="494"/>
              <w:spacing w:after="0"/>
              <w:rPr>
                <w:sz w:val="20"/>
                <w:szCs w:val="20"/>
                <w:color w:val="auto"/>
              </w:rPr>
            </w:pPr>
            <w:r>
              <w:rPr>
                <w:rFonts w:ascii="Arial" w:cs="Arial" w:eastAsia="Arial" w:hAnsi="Arial"/>
                <w:sz w:val="17"/>
                <w:szCs w:val="17"/>
                <w:color w:val="auto"/>
                <w:w w:val="92"/>
              </w:rPr>
              <w:t>3.4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1,932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1,932</w:t>
            </w: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7"/>
                <w:szCs w:val="17"/>
                <w:color w:val="auto"/>
              </w:rPr>
              <w:t>Total intangible assets</w:t>
            </w:r>
          </w:p>
        </w:tc>
        <w:tc>
          <w:tcPr>
            <w:tcW w:w="1440" w:type="dxa"/>
            <w:vAlign w:val="bottom"/>
            <w:gridSpan w:val="2"/>
          </w:tcPr>
          <w:p>
            <w:pPr>
              <w:jc w:val="center"/>
              <w:ind w:left="494"/>
              <w:spacing w:after="0"/>
              <w:rPr>
                <w:sz w:val="20"/>
                <w:szCs w:val="20"/>
                <w:color w:val="auto"/>
              </w:rPr>
            </w:pPr>
            <w:r>
              <w:rPr>
                <w:rFonts w:ascii="Arial" w:cs="Arial" w:eastAsia="Arial" w:hAnsi="Arial"/>
                <w:sz w:val="17"/>
                <w:szCs w:val="17"/>
                <w:color w:val="auto"/>
                <w:w w:val="90"/>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15,339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(6,893)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5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ind w:left="580"/>
              <w:spacing w:after="0"/>
              <w:rPr>
                <w:sz w:val="20"/>
                <w:szCs w:val="20"/>
                <w:color w:val="auto"/>
              </w:rPr>
            </w:pPr>
            <w:r>
              <w:rPr>
                <w:rFonts w:ascii="Arial" w:cs="Arial" w:eastAsia="Arial" w:hAnsi="Arial"/>
                <w:sz w:val="17"/>
                <w:szCs w:val="17"/>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1540" w:type="dxa"/>
            <w:vAlign w:val="bottom"/>
            <w:gridSpan w:val="4"/>
          </w:tcPr>
          <w:p>
            <w:pPr>
              <w:jc w:val="center"/>
              <w:ind w:right="100"/>
              <w:spacing w:after="0" w:line="162" w:lineRule="exact"/>
              <w:rPr>
                <w:sz w:val="20"/>
                <w:szCs w:val="20"/>
                <w:color w:val="auto"/>
              </w:rPr>
            </w:pPr>
            <w:r>
              <w:rPr>
                <w:rFonts w:ascii="Arial" w:cs="Arial" w:eastAsia="Arial" w:hAnsi="Arial"/>
                <w:sz w:val="17"/>
                <w:szCs w:val="17"/>
                <w:b w:val="1"/>
                <w:bCs w:val="1"/>
                <w:color w:val="auto"/>
                <w:w w:val="88"/>
              </w:rPr>
              <w:t>Weighted Average</w:t>
            </w:r>
          </w:p>
        </w:tc>
        <w:tc>
          <w:tcPr>
            <w:tcW w:w="80" w:type="dxa"/>
            <w:vAlign w:val="bottom"/>
          </w:tcPr>
          <w:p>
            <w:pPr>
              <w:spacing w:after="0"/>
              <w:rPr>
                <w:sz w:val="14"/>
                <w:szCs w:val="14"/>
                <w:color w:val="auto"/>
              </w:rPr>
            </w:pPr>
          </w:p>
        </w:tc>
        <w:tc>
          <w:tcPr>
            <w:tcW w:w="1440" w:type="dxa"/>
            <w:vAlign w:val="bottom"/>
            <w:gridSpan w:val="5"/>
            <w:vMerge w:val="restart"/>
          </w:tcPr>
          <w:p>
            <w:pPr>
              <w:jc w:val="center"/>
              <w:ind w:right="200"/>
              <w:spacing w:after="0"/>
              <w:rPr>
                <w:sz w:val="20"/>
                <w:szCs w:val="20"/>
                <w:color w:val="auto"/>
              </w:rPr>
            </w:pPr>
            <w:r>
              <w:rPr>
                <w:rFonts w:ascii="Arial" w:cs="Arial" w:eastAsia="Arial" w:hAnsi="Arial"/>
                <w:sz w:val="17"/>
                <w:szCs w:val="17"/>
                <w:b w:val="1"/>
                <w:bCs w:val="1"/>
                <w:color w:val="auto"/>
                <w:w w:val="92"/>
              </w:rPr>
              <w:t>Gross Intangible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1540" w:type="dxa"/>
            <w:vAlign w:val="bottom"/>
            <w:gridSpan w:val="4"/>
          </w:tcPr>
          <w:p>
            <w:pPr>
              <w:jc w:val="center"/>
              <w:ind w:right="100"/>
              <w:spacing w:after="0" w:line="167" w:lineRule="exact"/>
              <w:rPr>
                <w:sz w:val="20"/>
                <w:szCs w:val="20"/>
                <w:color w:val="auto"/>
              </w:rPr>
            </w:pPr>
            <w:r>
              <w:rPr>
                <w:rFonts w:ascii="Arial" w:cs="Arial" w:eastAsia="Arial" w:hAnsi="Arial"/>
                <w:sz w:val="17"/>
                <w:szCs w:val="17"/>
                <w:b w:val="1"/>
                <w:bCs w:val="1"/>
                <w:color w:val="auto"/>
                <w:w w:val="96"/>
              </w:rPr>
              <w:t>Amortization</w:t>
            </w:r>
          </w:p>
        </w:tc>
        <w:tc>
          <w:tcPr>
            <w:tcW w:w="80" w:type="dxa"/>
            <w:vAlign w:val="bottom"/>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640" w:type="dxa"/>
            <w:vAlign w:val="bottom"/>
            <w:gridSpan w:val="4"/>
            <w:vMerge w:val="restart"/>
          </w:tcPr>
          <w:p>
            <w:pPr>
              <w:jc w:val="right"/>
              <w:spacing w:after="0"/>
              <w:rPr>
                <w:sz w:val="20"/>
                <w:szCs w:val="20"/>
                <w:color w:val="auto"/>
              </w:rPr>
            </w:pPr>
            <w:r>
              <w:rPr>
                <w:rFonts w:ascii="Arial" w:cs="Arial" w:eastAsia="Arial" w:hAnsi="Arial"/>
                <w:sz w:val="17"/>
                <w:szCs w:val="17"/>
                <w:b w:val="1"/>
                <w:bCs w:val="1"/>
                <w:color w:val="auto"/>
                <w:w w:val="91"/>
              </w:rPr>
              <w:t>Net Intangible Assets</w:t>
            </w: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0"/>
              </w:rPr>
              <w:t>Period (Years)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7"/>
                <w:szCs w:val="17"/>
                <w:b w:val="1"/>
                <w:bCs w:val="1"/>
                <w:color w:val="auto"/>
                <w:w w:val="78"/>
              </w:rPr>
              <w:t>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ind w:left="20"/>
              <w:spacing w:after="0"/>
              <w:rPr>
                <w:sz w:val="20"/>
                <w:szCs w:val="20"/>
                <w:color w:val="auto"/>
              </w:rPr>
            </w:pPr>
            <w:r>
              <w:rPr>
                <w:rFonts w:ascii="Arial" w:cs="Arial" w:eastAsia="Arial" w:hAnsi="Arial"/>
                <w:sz w:val="17"/>
                <w:szCs w:val="17"/>
                <w:b w:val="1"/>
                <w:bCs w:val="1"/>
                <w:color w:val="auto"/>
              </w:rPr>
              <w:t>Amortization</w:t>
            </w:r>
          </w:p>
        </w:tc>
        <w:tc>
          <w:tcPr>
            <w:tcW w:w="16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Trade and domain names</w:t>
            </w:r>
          </w:p>
        </w:tc>
        <w:tc>
          <w:tcPr>
            <w:tcW w:w="14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0"/>
              </w:rPr>
              <w:t>15.0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7,255</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3,699</w:t>
            </w:r>
          </w:p>
        </w:tc>
        <w:tc>
          <w:tcPr>
            <w:tcW w:w="0" w:type="dxa"/>
            <w:vAlign w:val="bottom"/>
          </w:tcPr>
          <w:p>
            <w:pPr>
              <w:spacing w:after="0"/>
              <w:rPr>
                <w:sz w:val="1"/>
                <w:szCs w:val="1"/>
                <w:color w:val="auto"/>
              </w:rPr>
            </w:pPr>
          </w:p>
        </w:tc>
      </w:tr>
      <w:tr>
        <w:trPr>
          <w:trHeight w:val="218"/>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Software technology</w:t>
            </w:r>
          </w:p>
        </w:tc>
        <w:tc>
          <w:tcPr>
            <w:tcW w:w="1440" w:type="dxa"/>
            <w:vAlign w:val="bottom"/>
            <w:tcBorders>
              <w:bottom w:val="single" w:sz="8" w:color="CCEEFF"/>
            </w:tcBorders>
            <w:gridSpan w:val="2"/>
          </w:tcPr>
          <w:p>
            <w:pPr>
              <w:jc w:val="center"/>
              <w:spacing w:after="0"/>
              <w:rPr>
                <w:sz w:val="20"/>
                <w:szCs w:val="20"/>
                <w:color w:val="auto"/>
              </w:rPr>
            </w:pPr>
            <w:r>
              <w:rPr>
                <w:rFonts w:ascii="Arial" w:cs="Arial" w:eastAsia="Arial" w:hAnsi="Arial"/>
                <w:sz w:val="17"/>
                <w:szCs w:val="17"/>
                <w:color w:val="auto"/>
                <w:w w:val="84"/>
              </w:rPr>
              <w:t>9.4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3,469</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w:t>
            </w:r>
          </w:p>
        </w:tc>
        <w:tc>
          <w:tcPr>
            <w:tcW w:w="0" w:type="dxa"/>
            <w:vAlign w:val="bottom"/>
          </w:tcPr>
          <w:p>
            <w:pPr>
              <w:spacing w:after="0"/>
              <w:rPr>
                <w:sz w:val="1"/>
                <w:szCs w:val="1"/>
                <w:color w:val="auto"/>
              </w:rPr>
            </w:pPr>
          </w:p>
        </w:tc>
      </w:tr>
      <w:tr>
        <w:trPr>
          <w:trHeight w:val="23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intangible assets</w:t>
            </w:r>
          </w:p>
        </w:tc>
        <w:tc>
          <w:tcPr>
            <w:tcW w:w="14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7"/>
                <w:szCs w:val="17"/>
                <w:color w:val="auto"/>
                <w:w w:val="90"/>
              </w:rPr>
              <w:t>13.2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10,724</w:t>
            </w: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29" w:lineRule="exact"/>
        <w:rPr>
          <w:sz w:val="20"/>
          <w:szCs w:val="20"/>
          <w:color w:val="auto"/>
        </w:rPr>
      </w:pPr>
    </w:p>
    <w:p>
      <w:pPr>
        <w:ind w:right="100" w:firstLine="619"/>
        <w:spacing w:after="0" w:line="248" w:lineRule="auto"/>
        <w:rPr>
          <w:sz w:val="20"/>
          <w:szCs w:val="20"/>
          <w:color w:val="auto"/>
        </w:rPr>
      </w:pPr>
      <w:r>
        <w:rPr>
          <w:rFonts w:ascii="Arial" w:cs="Arial" w:eastAsia="Arial" w:hAnsi="Arial"/>
          <w:sz w:val="17"/>
          <w:szCs w:val="17"/>
          <w:color w:val="auto"/>
        </w:rPr>
        <w:t>Amortization expense for intangible assets was $0.2 million during each of the three months ended September 30, 2021 and 2020, and $0.7 millions during each of the nine months ended September 30, 2021 and 2020.</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estimated future amortization expense of intangible assets as of September 30, 2021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325755</wp:posOffset>
            </wp:positionV>
            <wp:extent cx="6805930" cy="139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Remaining period in 2021 (three months)</w:t>
      </w:r>
    </w:p>
    <w:p>
      <w:pPr>
        <w:spacing w:after="0" w:line="4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ended December 31, 2023</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ended December 31, 2025</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63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5930" cy="16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60960</wp:posOffset>
            </wp:positionV>
            <wp:extent cx="13455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40" w:space="720"/>
            <w:col w:w="1480"/>
          </w:cols>
          <w:pgMar w:left="320" w:top="127" w:right="239" w:bottom="1440" w:gutter="0" w:footer="0" w:header="0"/>
          <w:type w:val="continuous"/>
        </w:sectPr>
      </w:pPr>
    </w:p>
    <w:p>
      <w:pPr>
        <w:spacing w:after="0" w:line="187" w:lineRule="exact"/>
        <w:rPr>
          <w:sz w:val="20"/>
          <w:szCs w:val="20"/>
          <w:color w:val="auto"/>
        </w:rPr>
      </w:pPr>
    </w:p>
    <w:p>
      <w:pPr>
        <w:ind w:left="340" w:hanging="337"/>
        <w:spacing w:after="0"/>
        <w:tabs>
          <w:tab w:leader="none" w:pos="34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Accounts Payable and Accrued Expenses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Accounts payable and accrued liabilities as of September 30, 2021 and December 31, 2020 consisted of the following (in thousands):</w:t>
      </w:r>
    </w:p>
    <w:p>
      <w:pPr>
        <w:spacing w:after="0" w:line="43" w:lineRule="exact"/>
        <w:rPr>
          <w:sz w:val="20"/>
          <w:szCs w:val="20"/>
          <w:color w:val="auto"/>
        </w:rPr>
      </w:pPr>
    </w:p>
    <w:tbl>
      <w:tblPr>
        <w:tblLayout w:type="fixed"/>
        <w:tblInd w:w="620" w:type="dxa"/>
        <w:tblCellMar>
          <w:top w:w="0" w:type="dxa"/>
          <w:left w:w="0" w:type="dxa"/>
          <w:bottom w:w="0" w:type="dxa"/>
          <w:right w:w="0" w:type="dxa"/>
        </w:tblCellMar>
      </w:tblPr>
      <w:tr>
        <w:trPr>
          <w:trHeight w:val="224"/>
        </w:trPr>
        <w:tc>
          <w:tcPr>
            <w:tcW w:w="6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b w:val="1"/>
                <w:bCs w:val="1"/>
                <w:color w:val="auto"/>
              </w:rPr>
              <w:t>September 30, 2021</w:t>
            </w:r>
          </w:p>
        </w:tc>
        <w:tc>
          <w:tcPr>
            <w:tcW w:w="1940" w:type="dxa"/>
            <w:vAlign w:val="bottom"/>
          </w:tcPr>
          <w:p>
            <w:pPr>
              <w:jc w:val="right"/>
              <w:spacing w:after="0"/>
              <w:rPr>
                <w:sz w:val="20"/>
                <w:szCs w:val="20"/>
                <w:color w:val="auto"/>
              </w:rPr>
            </w:pPr>
            <w:r>
              <w:rPr>
                <w:rFonts w:ascii="Arial" w:cs="Arial" w:eastAsia="Arial" w:hAnsi="Arial"/>
                <w:sz w:val="17"/>
                <w:szCs w:val="17"/>
                <w:b w:val="1"/>
                <w:bCs w:val="1"/>
                <w:color w:val="auto"/>
              </w:rPr>
              <w:t>December 31, 2</w:t>
            </w:r>
          </w:p>
        </w:tc>
      </w:tr>
      <w:tr>
        <w:trPr>
          <w:trHeight w:val="213"/>
        </w:trPr>
        <w:tc>
          <w:tcPr>
            <w:tcW w:w="62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Accounts payable</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6,362</w:t>
            </w:r>
          </w:p>
        </w:tc>
        <w:tc>
          <w:tcPr>
            <w:tcW w:w="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1134"/>
              <w:spacing w:after="0"/>
              <w:rPr>
                <w:sz w:val="20"/>
                <w:szCs w:val="20"/>
                <w:color w:val="auto"/>
              </w:rPr>
            </w:pPr>
            <w:r>
              <w:rPr>
                <w:rFonts w:ascii="Arial" w:cs="Arial" w:eastAsia="Arial" w:hAnsi="Arial"/>
                <w:sz w:val="17"/>
                <w:szCs w:val="17"/>
                <w:color w:val="auto"/>
              </w:rPr>
              <w:t>$</w:t>
            </w:r>
          </w:p>
        </w:tc>
      </w:tr>
      <w:tr>
        <w:trPr>
          <w:trHeight w:val="218"/>
        </w:trPr>
        <w:tc>
          <w:tcPr>
            <w:tcW w:w="6220" w:type="dxa"/>
            <w:vAlign w:val="bottom"/>
          </w:tcPr>
          <w:p>
            <w:pPr>
              <w:ind w:left="640"/>
              <w:spacing w:after="0"/>
              <w:rPr>
                <w:sz w:val="20"/>
                <w:szCs w:val="20"/>
                <w:color w:val="auto"/>
              </w:rPr>
            </w:pPr>
            <w:r>
              <w:rPr>
                <w:rFonts w:ascii="Arial" w:cs="Arial" w:eastAsia="Arial" w:hAnsi="Arial"/>
                <w:sz w:val="17"/>
                <w:szCs w:val="17"/>
                <w:color w:val="auto"/>
              </w:rPr>
              <w:t>Accrued employee expenses</w:t>
            </w:r>
          </w:p>
        </w:tc>
        <w:tc>
          <w:tcPr>
            <w:tcW w:w="7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6,500</w:t>
            </w: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9"/>
        </w:trPr>
        <w:tc>
          <w:tcPr>
            <w:tcW w:w="62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Other accrued liabilities</w:t>
            </w:r>
          </w:p>
        </w:tc>
        <w:tc>
          <w:tcPr>
            <w:tcW w:w="7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11,019</w:t>
            </w:r>
          </w:p>
        </w:tc>
        <w:tc>
          <w:tcPr>
            <w:tcW w:w="8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spacing w:after="0"/>
              <w:rPr>
                <w:sz w:val="19"/>
                <w:szCs w:val="19"/>
                <w:color w:val="auto"/>
              </w:rPr>
            </w:pPr>
          </w:p>
        </w:tc>
      </w:tr>
      <w:tr>
        <w:trPr>
          <w:trHeight w:val="212"/>
        </w:trPr>
        <w:tc>
          <w:tcPr>
            <w:tcW w:w="6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23,881</w:t>
            </w:r>
          </w:p>
        </w:tc>
        <w:tc>
          <w:tcPr>
            <w:tcW w:w="80" w:type="dxa"/>
            <w:vAlign w:val="bottom"/>
          </w:tcPr>
          <w:p>
            <w:pPr>
              <w:spacing w:after="0"/>
              <w:rPr>
                <w:sz w:val="18"/>
                <w:szCs w:val="18"/>
                <w:color w:val="auto"/>
              </w:rPr>
            </w:pPr>
          </w:p>
        </w:tc>
        <w:tc>
          <w:tcPr>
            <w:tcW w:w="1940" w:type="dxa"/>
            <w:vAlign w:val="bottom"/>
            <w:tcBorders>
              <w:bottom w:val="single" w:sz="8" w:color="auto"/>
            </w:tcBorders>
          </w:tcPr>
          <w:p>
            <w:pPr>
              <w:jc w:val="right"/>
              <w:ind w:right="1134"/>
              <w:spacing w:after="0"/>
              <w:rPr>
                <w:sz w:val="20"/>
                <w:szCs w:val="20"/>
                <w:color w:val="auto"/>
              </w:rPr>
            </w:pPr>
            <w:r>
              <w:rPr>
                <w:rFonts w:ascii="Arial" w:cs="Arial" w:eastAsia="Arial" w:hAnsi="Arial"/>
                <w:sz w:val="17"/>
                <w:szCs w:val="17"/>
                <w:color w:val="auto"/>
              </w:rPr>
              <w:t>$</w:t>
            </w:r>
          </w:p>
        </w:tc>
      </w:tr>
      <w:tr>
        <w:trPr>
          <w:trHeight w:val="20"/>
        </w:trPr>
        <w:tc>
          <w:tcPr>
            <w:tcW w:w="6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5912485</wp:posOffset>
            </wp:positionH>
            <wp:positionV relativeFrom="paragraph">
              <wp:posOffset>-605155</wp:posOffset>
            </wp:positionV>
            <wp:extent cx="571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-605155</wp:posOffset>
            </wp:positionV>
            <wp:extent cx="5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45" w:lineRule="exact"/>
        <w:rPr>
          <w:sz w:val="20"/>
          <w:szCs w:val="20"/>
          <w:color w:val="auto"/>
        </w:rPr>
      </w:pPr>
    </w:p>
    <w:p>
      <w:pPr>
        <w:ind w:left="420" w:hanging="417"/>
        <w:spacing w:after="0"/>
        <w:tabs>
          <w:tab w:leader="none" w:pos="42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Warrant Liability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September 30, 2021, there were 12,499,933 Public Warrants outstanding and 7,000,000 Private Placement Warrants outstanding.</w:t>
      </w:r>
    </w:p>
    <w:p>
      <w:pPr>
        <w:spacing w:after="0" w:line="114" w:lineRule="exact"/>
        <w:rPr>
          <w:sz w:val="20"/>
          <w:szCs w:val="20"/>
          <w:color w:val="auto"/>
        </w:rPr>
      </w:pPr>
    </w:p>
    <w:p>
      <w:pPr>
        <w:jc w:val="both"/>
        <w:ind w:right="100" w:firstLine="464"/>
        <w:spacing w:after="0" w:line="283" w:lineRule="auto"/>
        <w:rPr>
          <w:sz w:val="20"/>
          <w:szCs w:val="20"/>
          <w:color w:val="auto"/>
        </w:rPr>
      </w:pPr>
      <w:r>
        <w:rPr>
          <w:rFonts w:ascii="Arial" w:cs="Arial" w:eastAsia="Arial" w:hAnsi="Arial"/>
          <w:sz w:val="16"/>
          <w:szCs w:val="16"/>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60" w:lineRule="exact"/>
        <w:rPr>
          <w:sz w:val="20"/>
          <w:szCs w:val="20"/>
          <w:color w:val="auto"/>
        </w:rPr>
      </w:pPr>
    </w:p>
    <w:p>
      <w:pPr>
        <w:jc w:val="both"/>
        <w:ind w:right="100" w:firstLine="464"/>
        <w:spacing w:after="0" w:line="259" w:lineRule="auto"/>
        <w:rPr>
          <w:sz w:val="20"/>
          <w:szCs w:val="20"/>
          <w:color w:val="auto"/>
        </w:rPr>
      </w:pPr>
      <w:r>
        <w:rPr>
          <w:rFonts w:ascii="Arial" w:cs="Arial" w:eastAsia="Arial" w:hAnsi="Arial"/>
          <w:sz w:val="17"/>
          <w:szCs w:val="17"/>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209" w:lineRule="exact"/>
        <w:rPr>
          <w:sz w:val="20"/>
          <w:szCs w:val="20"/>
          <w:color w:val="auto"/>
        </w:rPr>
      </w:pPr>
    </w:p>
    <w:p>
      <w:pPr>
        <w:jc w:val="both"/>
        <w:ind w:right="100" w:firstLine="464"/>
        <w:spacing w:after="0" w:line="274" w:lineRule="auto"/>
        <w:rPr>
          <w:sz w:val="20"/>
          <w:szCs w:val="20"/>
          <w:color w:val="auto"/>
        </w:rPr>
      </w:pPr>
      <w:r>
        <w:rPr>
          <w:rFonts w:ascii="Arial" w:cs="Arial" w:eastAsia="Arial" w:hAnsi="Arial"/>
          <w:sz w:val="16"/>
          <w:szCs w:val="16"/>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200" w:lineRule="exact"/>
        <w:rPr>
          <w:sz w:val="20"/>
          <w:szCs w:val="20"/>
          <w:color w:val="auto"/>
        </w:rPr>
      </w:pPr>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07"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Company may exercise its redemption right even if it is unable to register or qualify the underlying securities for sale under all applicable state securities laws.</w:t>
      </w:r>
    </w:p>
    <w:p>
      <w:pPr>
        <w:spacing w:after="0" w:line="19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209"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09"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The Company concluded the Public Warrants and Private Placement Warrants, or the Warrants, meet the definition of a derivative under ASC 815-</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 described in Note 2) and are recorded as liabilities. Upon the Closing, the fair value of the Warrants was recorded on the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 The fair value of the Warrants was remeasured as of September 30, 2021, resulting in a non-cash change in fair Warrant liabilities of $45.8 million and $83.6 million in the condensed consolidated statements of income for the three and nine months ended September 30, 2021, respectively.</w:t>
      </w:r>
    </w:p>
    <w:p>
      <w:pPr>
        <w:spacing w:after="0" w:line="158" w:lineRule="exact"/>
        <w:rPr>
          <w:sz w:val="20"/>
          <w:szCs w:val="20"/>
          <w:color w:val="auto"/>
        </w:rPr>
      </w:pPr>
    </w:p>
    <w:p>
      <w:pPr>
        <w:ind w:left="420" w:hanging="417"/>
        <w:spacing w:after="0"/>
        <w:tabs>
          <w:tab w:leader="none" w:pos="42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Equity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Voting Rights</w:t>
      </w:r>
    </w:p>
    <w:p>
      <w:pPr>
        <w:spacing w:after="0" w:line="23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Dividend Rights</w:t>
      </w:r>
    </w:p>
    <w:p>
      <w:pPr>
        <w:spacing w:after="0" w:line="23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Rights upon Liquidation, Dissolution and Winding-Up</w:t>
      </w:r>
    </w:p>
    <w:p>
      <w:pPr>
        <w:spacing w:after="0" w:line="23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9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Preemptive or Other Rights</w:t>
      </w:r>
    </w:p>
    <w:p>
      <w:pPr>
        <w:spacing w:after="0" w:line="217"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V Common Stock</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Voting Rights</w:t>
      </w:r>
    </w:p>
    <w:p>
      <w:pPr>
        <w:spacing w:after="0" w:line="230" w:lineRule="exact"/>
        <w:rPr>
          <w:sz w:val="20"/>
          <w:szCs w:val="20"/>
          <w:color w:val="auto"/>
        </w:rPr>
      </w:pPr>
    </w:p>
    <w:p>
      <w:pPr>
        <w:jc w:val="both"/>
        <w:ind w:firstLine="619"/>
        <w:spacing w:after="0" w:line="242"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Dividend Rights</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holders of the Class V Common Stock will not participate in any dividends declared by the Company’s board of directors.</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Rights upon Liquidation, Dissolution and Winding-Up</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Class V Common Stock are not entitled to receive any of the Company’s assets.</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Preemptive or Other Rights</w:t>
      </w:r>
    </w:p>
    <w:p>
      <w:pPr>
        <w:spacing w:after="0" w:line="217"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color w:val="auto"/>
        </w:rPr>
        <w:t>The holders of shares of Class V Common Stock do not have preemptive, subscription, redemption or conversion rights. There will be no redemption or sinking fund provisions applicable to the Class V Common Stock.</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Issuance and Retirement of Class V Common Stock</w:t>
      </w:r>
    </w:p>
    <w:p>
      <w:pPr>
        <w:spacing w:after="0" w:line="217"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September 30, 2021, there were no shares of preferred stock issued or outstanding.</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Interests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noncontrolling interest represents the Units held by holders other than the Company. As of September 30, 2021, the noncontrolling interests owned 56.6% of the Units outstanding. The noncontrolling interests’ ownership percentage can fluctuate over time, including as the WMH LLC equity holders elect to exchange Units for Class A Common Stock.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0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accompanying condensed consolidated statements of income for the nine months ended September 30, 2021.</w:t>
      </w:r>
    </w:p>
    <w:p>
      <w:pPr>
        <w:spacing w:after="0" w:line="133" w:lineRule="exact"/>
        <w:rPr>
          <w:sz w:val="20"/>
          <w:szCs w:val="20"/>
          <w:color w:val="auto"/>
        </w:rPr>
      </w:pPr>
    </w:p>
    <w:p>
      <w:pPr>
        <w:ind w:left="440" w:hanging="437"/>
        <w:spacing w:after="0"/>
        <w:tabs>
          <w:tab w:leader="none" w:pos="44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WM Holding Company, LLC Equity Incentive Plan</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 xml:space="preserve">The Company has accounted for the issuance of Class A-3 and Class B Units issued under WM Holding Company, LLC’s Equity Incentive Plan in accordance with ASC 718 - </w:t>
      </w:r>
      <w:r>
        <w:rPr>
          <w:rFonts w:ascii="Arial" w:cs="Arial" w:eastAsia="Arial" w:hAnsi="Arial"/>
          <w:sz w:val="17"/>
          <w:szCs w:val="17"/>
          <w:i w:val="1"/>
          <w:iCs w:val="1"/>
          <w:color w:val="auto"/>
        </w:rPr>
        <w:t>Stock Based Compensation</w:t>
      </w:r>
      <w:r>
        <w:rPr>
          <w:rFonts w:ascii="Arial" w:cs="Arial" w:eastAsia="Arial" w:hAnsi="Arial"/>
          <w:sz w:val="17"/>
          <w:szCs w:val="17"/>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7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6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the Class P Unit activity for the nine months ended September 30, 2021 is as follows: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02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Number of Units</w:t>
            </w:r>
          </w:p>
        </w:tc>
      </w:tr>
      <w:tr>
        <w:trPr>
          <w:trHeight w:val="213"/>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Class A-3 and Class B Units, December 31, 2020</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274,816</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Repurchases</w:t>
            </w:r>
          </w:p>
        </w:tc>
        <w:tc>
          <w:tcPr>
            <w:tcW w:w="2220" w:type="dxa"/>
            <w:vAlign w:val="bottom"/>
          </w:tcPr>
          <w:p>
            <w:pPr>
              <w:jc w:val="right"/>
              <w:spacing w:after="0"/>
              <w:rPr>
                <w:sz w:val="20"/>
                <w:szCs w:val="20"/>
                <w:color w:val="auto"/>
              </w:rPr>
            </w:pPr>
            <w:r>
              <w:rPr>
                <w:rFonts w:ascii="Arial" w:cs="Arial" w:eastAsia="Arial" w:hAnsi="Arial"/>
                <w:sz w:val="17"/>
                <w:szCs w:val="17"/>
                <w:color w:val="auto"/>
              </w:rPr>
              <w:t>(8,279)</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Cancellations</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(4,288)</w:t>
            </w:r>
          </w:p>
        </w:tc>
      </w:tr>
      <w:tr>
        <w:trPr>
          <w:trHeight w:val="211"/>
        </w:trPr>
        <w:tc>
          <w:tcPr>
            <w:tcW w:w="9020" w:type="dxa"/>
            <w:vAlign w:val="bottom"/>
          </w:tcPr>
          <w:p>
            <w:pPr>
              <w:ind w:left="20"/>
              <w:spacing w:after="0"/>
              <w:rPr>
                <w:sz w:val="20"/>
                <w:szCs w:val="20"/>
                <w:color w:val="auto"/>
              </w:rPr>
            </w:pPr>
            <w:r>
              <w:rPr>
                <w:rFonts w:ascii="Arial" w:cs="Arial" w:eastAsia="Arial" w:hAnsi="Arial"/>
                <w:sz w:val="17"/>
                <w:szCs w:val="17"/>
                <w:color w:val="auto"/>
              </w:rPr>
              <w:t>Outstanding Class A-3 and Class B Units, June 15, 2021 (Pre-Business Combination)</w:t>
            </w:r>
          </w:p>
        </w:tc>
        <w:tc>
          <w:tcPr>
            <w:tcW w:w="2220" w:type="dxa"/>
            <w:vAlign w:val="bottom"/>
          </w:tcPr>
          <w:p>
            <w:pPr>
              <w:jc w:val="right"/>
              <w:spacing w:after="0"/>
              <w:rPr>
                <w:sz w:val="20"/>
                <w:szCs w:val="20"/>
                <w:color w:val="auto"/>
              </w:rPr>
            </w:pPr>
            <w:r>
              <w:rPr>
                <w:rFonts w:ascii="Arial" w:cs="Arial" w:eastAsia="Arial" w:hAnsi="Arial"/>
                <w:sz w:val="17"/>
                <w:szCs w:val="17"/>
                <w:color w:val="auto"/>
              </w:rPr>
              <w:t>262,249</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A-3 Units outstanding exchanged for Class A Units in connection with the Business Combination</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(53,333)</w:t>
            </w:r>
          </w:p>
        </w:tc>
      </w:tr>
      <w:tr>
        <w:trPr>
          <w:trHeight w:val="218"/>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Recapitalization in connection with the Business Combination</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25,687,126</w:t>
            </w:r>
          </w:p>
        </w:tc>
      </w:tr>
      <w:tr>
        <w:trPr>
          <w:trHeight w:val="213"/>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Class P Units, June 16, 2021</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25,896,042</w:t>
            </w:r>
          </w:p>
        </w:tc>
      </w:tr>
      <w:tr>
        <w:trPr>
          <w:trHeight w:val="218"/>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Cancellations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(216,920)</w:t>
            </w:r>
          </w:p>
        </w:tc>
      </w:tr>
      <w:tr>
        <w:trPr>
          <w:trHeight w:val="23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Class P Units, September 30, 2021</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25,679,122</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9020" w:type="dxa"/>
            <w:vAlign w:val="bottom"/>
          </w:tcPr>
          <w:p>
            <w:pPr>
              <w:ind w:left="20"/>
              <w:spacing w:after="0" w:line="191" w:lineRule="exact"/>
              <w:rPr>
                <w:sz w:val="20"/>
                <w:szCs w:val="20"/>
                <w:color w:val="auto"/>
              </w:rPr>
            </w:pPr>
            <w:r>
              <w:rPr>
                <w:rFonts w:ascii="Arial" w:cs="Arial" w:eastAsia="Arial" w:hAnsi="Arial"/>
                <w:sz w:val="17"/>
                <w:szCs w:val="17"/>
                <w:color w:val="auto"/>
              </w:rPr>
              <w:t>Vested, September 30, 2021</w:t>
            </w:r>
          </w:p>
        </w:tc>
        <w:tc>
          <w:tcPr>
            <w:tcW w:w="22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23,197,454</w:t>
            </w:r>
          </w:p>
        </w:tc>
      </w:tr>
      <w:tr>
        <w:trPr>
          <w:trHeight w:val="20"/>
        </w:trPr>
        <w:tc>
          <w:tcPr>
            <w:tcW w:w="90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As of September 30, 2021, unrecognized stock-based compensation expense for non-vested Class P Units was $5.0 million, which is expected to be recognized over a weighted-average period of 2.2 years. For the three and nine months ended September 30, 2021, the Company recorded stock-based compensation expense for the Class P Units of $0.7 million and $20.1 million, respectively.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nine months ended September 30, 2021 also included a one-time incremental expense of $4.1 million recognized during the second quarter related to an award modification as a result of an advisory agreement entered into with a former executive.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WM Technology, Inc. Equity Incentive Plan</w:t>
      </w:r>
    </w:p>
    <w:p>
      <w:pPr>
        <w:spacing w:after="0" w:line="114"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5"/>
          <w:szCs w:val="15"/>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September 30, 2021, 19,209,986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September 30, 2021, 15,108,441 shares of Class A Common Stock are available for future issuance.</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the restricted stock unit (“RSU”) activity for the nine months ended September 30, 2021 is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2240" w:type="dxa"/>
            <w:vAlign w:val="bottom"/>
            <w:vMerge w:val="restart"/>
          </w:tcPr>
          <w:p>
            <w:pPr>
              <w:ind w:left="500"/>
              <w:spacing w:after="0"/>
              <w:rPr>
                <w:sz w:val="20"/>
                <w:szCs w:val="20"/>
                <w:color w:val="auto"/>
              </w:rPr>
            </w:pPr>
            <w:r>
              <w:rPr>
                <w:rFonts w:ascii="Arial" w:cs="Arial" w:eastAsia="Arial" w:hAnsi="Arial"/>
                <w:sz w:val="17"/>
                <w:szCs w:val="17"/>
                <w:b w:val="1"/>
                <w:bCs w:val="1"/>
                <w:color w:val="auto"/>
              </w:rPr>
              <w:t>Number of RSUs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tcPr>
          <w:p>
            <w:pPr>
              <w:jc w:val="right"/>
              <w:ind w:right="114"/>
              <w:spacing w:after="0"/>
              <w:rPr>
                <w:sz w:val="20"/>
                <w:szCs w:val="20"/>
                <w:color w:val="auto"/>
              </w:rPr>
            </w:pPr>
            <w:r>
              <w:rPr>
                <w:rFonts w:ascii="Arial" w:cs="Arial" w:eastAsia="Arial" w:hAnsi="Arial"/>
                <w:sz w:val="17"/>
                <w:szCs w:val="17"/>
                <w:b w:val="1"/>
                <w:bCs w:val="1"/>
                <w:color w:val="auto"/>
                <w:w w:val="94"/>
              </w:rPr>
              <w:t>Weighted-average Grant</w:t>
            </w:r>
          </w:p>
        </w:tc>
        <w:tc>
          <w:tcPr>
            <w:tcW w:w="0" w:type="dxa"/>
            <w:vAlign w:val="bottom"/>
          </w:tcPr>
          <w:p>
            <w:pPr>
              <w:spacing w:after="0"/>
              <w:rPr>
                <w:sz w:val="1"/>
                <w:szCs w:val="1"/>
                <w:color w:val="auto"/>
              </w:rPr>
            </w:pPr>
          </w:p>
        </w:tc>
      </w:tr>
      <w:tr>
        <w:trPr>
          <w:trHeight w:val="219"/>
        </w:trPr>
        <w:tc>
          <w:tcPr>
            <w:tcW w:w="664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Date Fair Value</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at December 31, 2020</w:t>
            </w:r>
          </w:p>
        </w:tc>
        <w:tc>
          <w:tcPr>
            <w:tcW w:w="2240" w:type="dxa"/>
            <w:vAlign w:val="bottom"/>
            <w:shd w:val="clear" w:color="auto" w:fill="CCEEFF"/>
          </w:tcPr>
          <w:p>
            <w:pPr>
              <w:ind w:left="200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640" w:type="dxa"/>
            <w:vAlign w:val="bottom"/>
          </w:tcPr>
          <w:p>
            <w:pPr>
              <w:ind w:left="20"/>
              <w:spacing w:after="0"/>
              <w:rPr>
                <w:sz w:val="20"/>
                <w:szCs w:val="20"/>
                <w:color w:val="auto"/>
              </w:rPr>
            </w:pPr>
            <w:r>
              <w:rPr>
                <w:rFonts w:ascii="Arial" w:cs="Arial" w:eastAsia="Arial" w:hAnsi="Arial"/>
                <w:sz w:val="17"/>
                <w:szCs w:val="17"/>
                <w:color w:val="auto"/>
              </w:rPr>
              <w:t>Granted</w:t>
            </w:r>
          </w:p>
        </w:tc>
        <w:tc>
          <w:tcPr>
            <w:tcW w:w="2240" w:type="dxa"/>
            <w:vAlign w:val="bottom"/>
          </w:tcPr>
          <w:p>
            <w:pPr>
              <w:ind w:left="1540"/>
              <w:spacing w:after="0"/>
              <w:rPr>
                <w:sz w:val="20"/>
                <w:szCs w:val="20"/>
                <w:color w:val="auto"/>
              </w:rPr>
            </w:pPr>
            <w:r>
              <w:rPr>
                <w:rFonts w:ascii="Arial" w:cs="Arial" w:eastAsia="Arial" w:hAnsi="Arial"/>
                <w:sz w:val="17"/>
                <w:szCs w:val="17"/>
                <w:color w:val="auto"/>
                <w:w w:val="89"/>
              </w:rPr>
              <w:t>4,112,855</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13.66</w:t>
            </w:r>
          </w:p>
        </w:tc>
        <w:tc>
          <w:tcPr>
            <w:tcW w:w="0" w:type="dxa"/>
            <w:vAlign w:val="bottom"/>
          </w:tcPr>
          <w:p>
            <w:pPr>
              <w:spacing w:after="0"/>
              <w:rPr>
                <w:sz w:val="1"/>
                <w:szCs w:val="1"/>
                <w:color w:val="auto"/>
              </w:rPr>
            </w:pPr>
          </w:p>
        </w:tc>
      </w:tr>
      <w:tr>
        <w:trPr>
          <w:trHeight w:val="220"/>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2240" w:type="dxa"/>
            <w:vAlign w:val="bottom"/>
            <w:shd w:val="clear" w:color="auto" w:fill="CCEEFF"/>
          </w:tcPr>
          <w:p>
            <w:pPr>
              <w:ind w:left="1540"/>
              <w:spacing w:after="0"/>
              <w:rPr>
                <w:sz w:val="20"/>
                <w:szCs w:val="20"/>
                <w:color w:val="auto"/>
              </w:rPr>
            </w:pPr>
            <w:r>
              <w:rPr>
                <w:rFonts w:ascii="Arial" w:cs="Arial" w:eastAsia="Arial" w:hAnsi="Arial"/>
                <w:sz w:val="17"/>
                <w:szCs w:val="17"/>
                <w:color w:val="auto"/>
                <w:w w:val="93"/>
              </w:rPr>
              <w:t>(242,600)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w:t>
            </w:r>
          </w:p>
        </w:tc>
        <w:tc>
          <w:tcPr>
            <w:tcW w:w="0" w:type="dxa"/>
            <w:vAlign w:val="bottom"/>
          </w:tcPr>
          <w:p>
            <w:pPr>
              <w:spacing w:after="0"/>
              <w:rPr>
                <w:sz w:val="1"/>
                <w:szCs w:val="1"/>
                <w:color w:val="auto"/>
              </w:rPr>
            </w:pPr>
          </w:p>
        </w:tc>
      </w:tr>
      <w:tr>
        <w:trPr>
          <w:trHeight w:val="218"/>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2240" w:type="dxa"/>
            <w:vAlign w:val="bottom"/>
            <w:tcBorders>
              <w:bottom w:val="single" w:sz="8" w:color="auto"/>
            </w:tcBorders>
          </w:tcPr>
          <w:p>
            <w:pPr>
              <w:ind w:left="1620"/>
              <w:spacing w:after="0"/>
              <w:rPr>
                <w:sz w:val="20"/>
                <w:szCs w:val="20"/>
                <w:color w:val="auto"/>
              </w:rPr>
            </w:pPr>
            <w:r>
              <w:rPr>
                <w:rFonts w:ascii="Arial" w:cs="Arial" w:eastAsia="Arial" w:hAnsi="Arial"/>
                <w:sz w:val="17"/>
                <w:szCs w:val="17"/>
                <w:color w:val="auto"/>
                <w:w w:val="94"/>
              </w:rPr>
              <w:t>(11,310)</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13.70</w:t>
            </w:r>
          </w:p>
        </w:tc>
        <w:tc>
          <w:tcPr>
            <w:tcW w:w="0" w:type="dxa"/>
            <w:vAlign w:val="bottom"/>
          </w:tcPr>
          <w:p>
            <w:pPr>
              <w:spacing w:after="0"/>
              <w:rPr>
                <w:sz w:val="1"/>
                <w:szCs w:val="1"/>
                <w:color w:val="auto"/>
              </w:rPr>
            </w:pPr>
          </w:p>
        </w:tc>
      </w:tr>
      <w:tr>
        <w:trPr>
          <w:trHeight w:val="23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at September 30, 2021</w:t>
            </w:r>
          </w:p>
        </w:tc>
        <w:tc>
          <w:tcPr>
            <w:tcW w:w="224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7"/>
                <w:szCs w:val="17"/>
                <w:color w:val="auto"/>
                <w:w w:val="92"/>
              </w:rPr>
              <w:t>3,858,945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As of September 30, 2021, unrecognized stock-based compensation expense for non-vested RSUs was $51.9 million, which is expected to be recognized over a weighted-average period of 3.8 years. For the three and nine months ended September 30, 2021, the Company recorded stock-based compensation expense for the RSUs of $3.5 million.</w:t>
      </w:r>
    </w:p>
    <w:p>
      <w:pPr>
        <w:spacing w:after="0" w:line="7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recorded stock-based compensation cost related to the Class P Units and RSUs in the following expense categories on the accompanying condensed consolidated statements of income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2320" w:type="dxa"/>
            <w:vAlign w:val="bottom"/>
          </w:tcPr>
          <w:p>
            <w:pPr>
              <w:jc w:val="right"/>
              <w:ind w:right="14"/>
              <w:spacing w:after="0"/>
              <w:rPr>
                <w:sz w:val="20"/>
                <w:szCs w:val="20"/>
                <w:color w:val="auto"/>
              </w:rPr>
            </w:pPr>
            <w:r>
              <w:rPr>
                <w:rFonts w:ascii="Arial" w:cs="Arial" w:eastAsia="Arial" w:hAnsi="Arial"/>
                <w:sz w:val="17"/>
                <w:szCs w:val="17"/>
                <w:b w:val="1"/>
                <w:bCs w:val="1"/>
                <w:color w:val="auto"/>
              </w:rPr>
              <w:t>Three Months Ended</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60" w:type="dxa"/>
            <w:vAlign w:val="bottom"/>
          </w:tcPr>
          <w:p>
            <w:pPr>
              <w:jc w:val="right"/>
              <w:ind w:right="614"/>
              <w:spacing w:after="0"/>
              <w:rPr>
                <w:sz w:val="20"/>
                <w:szCs w:val="20"/>
                <w:color w:val="auto"/>
              </w:rPr>
            </w:pPr>
            <w:r>
              <w:rPr>
                <w:rFonts w:ascii="Arial" w:cs="Arial" w:eastAsia="Arial" w:hAnsi="Arial"/>
                <w:sz w:val="17"/>
                <w:szCs w:val="17"/>
                <w:b w:val="1"/>
                <w:bCs w:val="1"/>
                <w:color w:val="auto"/>
              </w:rPr>
              <w:t>Nine Months Ended</w:t>
            </w:r>
          </w:p>
        </w:tc>
      </w:tr>
      <w:tr>
        <w:trPr>
          <w:trHeight w:val="219"/>
        </w:trPr>
        <w:tc>
          <w:tcPr>
            <w:tcW w:w="5400" w:type="dxa"/>
            <w:vAlign w:val="bottom"/>
            <w:tcBorders>
              <w:bottom w:val="single" w:sz="8" w:color="CCEEFF"/>
            </w:tcBorders>
          </w:tcPr>
          <w:p>
            <w:pPr>
              <w:spacing w:after="0"/>
              <w:rPr>
                <w:sz w:val="19"/>
                <w:szCs w:val="19"/>
                <w:color w:val="auto"/>
              </w:rPr>
            </w:pPr>
          </w:p>
        </w:tc>
        <w:tc>
          <w:tcPr>
            <w:tcW w:w="23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September 30, 2021</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September 30, 2021</w:t>
            </w:r>
          </w:p>
        </w:tc>
      </w:tr>
      <w:tr>
        <w:trPr>
          <w:trHeight w:val="212"/>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2320" w:type="dxa"/>
            <w:vAlign w:val="bottom"/>
            <w:shd w:val="clear" w:color="auto" w:fill="CCEEFF"/>
          </w:tcPr>
          <w:p>
            <w:pPr>
              <w:jc w:val="right"/>
              <w:ind w:right="213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4,515</w:t>
            </w:r>
          </w:p>
        </w:tc>
      </w:tr>
      <w:tr>
        <w:trPr>
          <w:trHeight w:val="218"/>
        </w:trPr>
        <w:tc>
          <w:tcPr>
            <w:tcW w:w="5400" w:type="dxa"/>
            <w:vAlign w:val="bottom"/>
          </w:tcPr>
          <w:p>
            <w:pPr>
              <w:ind w:left="20"/>
              <w:spacing w:after="0"/>
              <w:rPr>
                <w:sz w:val="20"/>
                <w:szCs w:val="20"/>
                <w:color w:val="auto"/>
              </w:rPr>
            </w:pPr>
            <w:r>
              <w:rPr>
                <w:rFonts w:ascii="Arial" w:cs="Arial" w:eastAsia="Arial" w:hAnsi="Arial"/>
                <w:sz w:val="17"/>
                <w:szCs w:val="17"/>
                <w:color w:val="auto"/>
              </w:rPr>
              <w:t>Product development</w:t>
            </w:r>
          </w:p>
        </w:tc>
        <w:tc>
          <w:tcPr>
            <w:tcW w:w="2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1,865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7"/>
                <w:szCs w:val="17"/>
                <w:color w:val="auto"/>
              </w:rPr>
              <w:t>3,859</w:t>
            </w: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3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15,251</w:t>
            </w:r>
          </w:p>
        </w:tc>
      </w:tr>
      <w:tr>
        <w:trPr>
          <w:trHeight w:val="211"/>
        </w:trPr>
        <w:tc>
          <w:tcPr>
            <w:tcW w:w="5400" w:type="dxa"/>
            <w:vAlign w:val="bottom"/>
          </w:tcPr>
          <w:p>
            <w:pPr>
              <w:ind w:left="120"/>
              <w:spacing w:after="0"/>
              <w:rPr>
                <w:sz w:val="20"/>
                <w:szCs w:val="20"/>
                <w:color w:val="auto"/>
              </w:rPr>
            </w:pPr>
            <w:r>
              <w:rPr>
                <w:rFonts w:ascii="Arial" w:cs="Arial" w:eastAsia="Arial" w:hAnsi="Arial"/>
                <w:sz w:val="17"/>
                <w:szCs w:val="17"/>
                <w:color w:val="auto"/>
              </w:rPr>
              <w:t>Total stock-based compensation expense</w:t>
            </w:r>
          </w:p>
        </w:tc>
        <w:tc>
          <w:tcPr>
            <w:tcW w:w="2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4,192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7"/>
                <w:szCs w:val="17"/>
                <w:color w:val="auto"/>
              </w:rPr>
              <w:t>23,625</w:t>
            </w: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 capitalized to software development</w:t>
            </w:r>
          </w:p>
        </w:tc>
        <w:tc>
          <w:tcPr>
            <w:tcW w:w="23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w:t>
            </w:r>
          </w:p>
        </w:tc>
      </w:tr>
      <w:tr>
        <w:trPr>
          <w:trHeight w:val="213"/>
        </w:trPr>
        <w:tc>
          <w:tcPr>
            <w:tcW w:w="5400" w:type="dxa"/>
            <w:vAlign w:val="bottom"/>
          </w:tcPr>
          <w:p>
            <w:pPr>
              <w:ind w:left="220"/>
              <w:spacing w:after="0"/>
              <w:rPr>
                <w:sz w:val="20"/>
                <w:szCs w:val="20"/>
                <w:color w:val="auto"/>
              </w:rPr>
            </w:pPr>
            <w:r>
              <w:rPr>
                <w:rFonts w:ascii="Arial" w:cs="Arial" w:eastAsia="Arial" w:hAnsi="Arial"/>
                <w:sz w:val="17"/>
                <w:szCs w:val="17"/>
                <w:color w:val="auto"/>
              </w:rPr>
              <w:t>Total stock-based compensation cost</w:t>
            </w:r>
          </w:p>
        </w:tc>
        <w:tc>
          <w:tcPr>
            <w:tcW w:w="2320" w:type="dxa"/>
            <w:vAlign w:val="bottom"/>
            <w:tcBorders>
              <w:bottom w:val="single" w:sz="8" w:color="auto"/>
            </w:tcBorders>
          </w:tcPr>
          <w:p>
            <w:pPr>
              <w:jc w:val="right"/>
              <w:ind w:right="2134"/>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4,887</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24,320</w:t>
            </w:r>
          </w:p>
        </w:tc>
      </w:tr>
      <w:tr>
        <w:trPr>
          <w:trHeight w:val="20"/>
        </w:trPr>
        <w:tc>
          <w:tcPr>
            <w:tcW w:w="540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40" w:hanging="437"/>
        <w:spacing w:after="0"/>
        <w:tabs>
          <w:tab w:leader="none" w:pos="44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2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Basic income (loss) per share of Class A Common Stock is computed by dividing net earnings (loss) attributable to the Company by the weighted-average number of shares of Class A Common Stock outstanding during the period. Diluted income (loss) per share of Class A Common Stock is computed by dividing net income (loss) attributable to the Company, adjusted for the assumed exchange of all potentially dilutive securities, by the weighted-average number of shares of Class A Common Stock outstanding adjusted to give effect to potentially dilutive shares.</w:t>
      </w:r>
    </w:p>
    <w:p>
      <w:pPr>
        <w:spacing w:after="0" w:line="7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condensed consolidated financial statements. Therefore, net earnings per share information has not been presented for periods prior to the Business Combination on June 16,</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2021. The basic and diluted income (loss) per share for the nine months ended September 30, 2021 represent the period from June 16, 2021 (Closing Date) to September 30, 2021.</w:t>
      </w:r>
    </w:p>
    <w:p>
      <w:pPr>
        <w:spacing w:after="0" w:line="61"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The computation of income (loss) per share attributable to WM Technology, Inc. and weighted-average shares of the Company’s Class A Common Stock outstanding are as follows for the three months ended September 30, 2021 and for period from June 16, 2021 (Closing Date) to September 30, 2021 (amounts 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Pr>
          <w:p>
            <w:pPr>
              <w:spacing w:after="0"/>
              <w:rPr>
                <w:sz w:val="20"/>
                <w:szCs w:val="20"/>
                <w:color w:val="auto"/>
              </w:rPr>
            </w:pPr>
            <w:r>
              <w:rPr>
                <w:rFonts w:ascii="Arial" w:cs="Arial" w:eastAsia="Arial" w:hAnsi="Arial"/>
                <w:sz w:val="17"/>
                <w:szCs w:val="17"/>
                <w:color w:val="auto"/>
              </w:rPr>
              <w:t>thousands, except for share and per share amounts):</w:t>
            </w: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2"/>
              </w:rPr>
              <w:t>Three Months Ended</w:t>
            </w:r>
          </w:p>
        </w:tc>
        <w:tc>
          <w:tcPr>
            <w:tcW w:w="240" w:type="dxa"/>
            <w:vAlign w:val="bottom"/>
          </w:tcPr>
          <w:p>
            <w:pPr>
              <w:spacing w:after="0"/>
              <w:rPr>
                <w:sz w:val="24"/>
                <w:szCs w:val="24"/>
                <w:color w:val="auto"/>
              </w:rPr>
            </w:pPr>
          </w:p>
        </w:tc>
        <w:tc>
          <w:tcPr>
            <w:tcW w:w="2000" w:type="dxa"/>
            <w:vAlign w:val="bottom"/>
          </w:tcPr>
          <w:p>
            <w:pPr>
              <w:jc w:val="right"/>
              <w:ind w:right="294"/>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19"/>
        </w:trPr>
        <w:tc>
          <w:tcPr>
            <w:tcW w:w="6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September 30, 2021</w:t>
            </w:r>
          </w:p>
        </w:tc>
        <w:tc>
          <w:tcPr>
            <w:tcW w:w="240" w:type="dxa"/>
            <w:vAlign w:val="bottom"/>
          </w:tcPr>
          <w:p>
            <w:pPr>
              <w:spacing w:after="0"/>
              <w:rPr>
                <w:sz w:val="19"/>
                <w:szCs w:val="19"/>
                <w:color w:val="auto"/>
              </w:rPr>
            </w:pPr>
          </w:p>
        </w:tc>
        <w:tc>
          <w:tcPr>
            <w:tcW w:w="2000" w:type="dxa"/>
            <w:vAlign w:val="bottom"/>
          </w:tcPr>
          <w:p>
            <w:pPr>
              <w:jc w:val="right"/>
              <w:ind w:right="314"/>
              <w:spacing w:after="0"/>
              <w:rPr>
                <w:sz w:val="20"/>
                <w:szCs w:val="20"/>
                <w:color w:val="auto"/>
              </w:rPr>
            </w:pPr>
            <w:r>
              <w:rPr>
                <w:rFonts w:ascii="Arial" w:cs="Arial" w:eastAsia="Arial" w:hAnsi="Arial"/>
                <w:sz w:val="17"/>
                <w:szCs w:val="17"/>
                <w:b w:val="1"/>
                <w:bCs w:val="1"/>
                <w:color w:val="auto"/>
                <w:w w:val="99"/>
              </w:rPr>
              <w:t>September 30, 2021</w:t>
            </w:r>
          </w:p>
        </w:tc>
        <w:tc>
          <w:tcPr>
            <w:tcW w:w="0" w:type="dxa"/>
            <w:vAlign w:val="bottom"/>
          </w:tcPr>
          <w:p>
            <w:pPr>
              <w:spacing w:after="0"/>
              <w:rPr>
                <w:sz w:val="1"/>
                <w:szCs w:val="1"/>
                <w:color w:val="auto"/>
              </w:rPr>
            </w:pPr>
          </w:p>
        </w:tc>
      </w:tr>
      <w:tr>
        <w:trPr>
          <w:trHeight w:val="199"/>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20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60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Pr>
          <w:p>
            <w:pPr>
              <w:jc w:val="right"/>
              <w:spacing w:after="0"/>
              <w:rPr>
                <w:sz w:val="20"/>
                <w:szCs w:val="20"/>
                <w:color w:val="auto"/>
              </w:rPr>
            </w:pPr>
            <w:r>
              <w:rPr>
                <w:rFonts w:ascii="Arial" w:cs="Arial" w:eastAsia="Arial" w:hAnsi="Arial"/>
                <w:sz w:val="17"/>
                <w:szCs w:val="17"/>
                <w:color w:val="auto"/>
              </w:rPr>
              <w:t>49,205</w:t>
            </w:r>
          </w:p>
        </w:tc>
        <w:tc>
          <w:tcPr>
            <w:tcW w:w="14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73,773</w:t>
            </w:r>
          </w:p>
        </w:tc>
        <w:tc>
          <w:tcPr>
            <w:tcW w:w="0" w:type="dxa"/>
            <w:vAlign w:val="bottom"/>
          </w:tcPr>
          <w:p>
            <w:pPr>
              <w:spacing w:after="0"/>
              <w:rPr>
                <w:sz w:val="1"/>
                <w:szCs w:val="1"/>
                <w:color w:val="auto"/>
              </w:rPr>
            </w:pPr>
          </w:p>
        </w:tc>
      </w:tr>
      <w:tr>
        <w:trPr>
          <w:trHeight w:val="220"/>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net income attributable to WMH LLC prior to the Business Combination</w:t>
            </w:r>
          </w:p>
        </w:tc>
        <w:tc>
          <w:tcPr>
            <w:tcW w:w="2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15,078</w:t>
            </w:r>
          </w:p>
        </w:tc>
        <w:tc>
          <w:tcPr>
            <w:tcW w:w="0" w:type="dxa"/>
            <w:vAlign w:val="bottom"/>
          </w:tcPr>
          <w:p>
            <w:pPr>
              <w:spacing w:after="0"/>
              <w:rPr>
                <w:sz w:val="1"/>
                <w:szCs w:val="1"/>
                <w:color w:val="auto"/>
              </w:rPr>
            </w:pPr>
          </w:p>
        </w:tc>
      </w:tr>
      <w:tr>
        <w:trPr>
          <w:trHeight w:val="218"/>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9"/>
              </w:rPr>
              <w:t>Less: net income attributable to noncontrolling interests after the Business Combination</w:t>
            </w: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28,370</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33,597</w:t>
            </w:r>
          </w:p>
        </w:tc>
        <w:tc>
          <w:tcPr>
            <w:tcW w:w="0" w:type="dxa"/>
            <w:vAlign w:val="bottom"/>
          </w:tcPr>
          <w:p>
            <w:pPr>
              <w:spacing w:after="0"/>
              <w:rPr>
                <w:sz w:val="1"/>
                <w:szCs w:val="1"/>
                <w:color w:val="auto"/>
              </w:rPr>
            </w:pPr>
          </w:p>
        </w:tc>
      </w:tr>
      <w:tr>
        <w:trPr>
          <w:trHeight w:val="213"/>
        </w:trPr>
        <w:tc>
          <w:tcPr>
            <w:tcW w:w="6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income attributable to WM Technology, Inc. - Basic</w:t>
            </w: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20,835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25,098</w:t>
            </w:r>
          </w:p>
        </w:tc>
        <w:tc>
          <w:tcPr>
            <w:tcW w:w="0" w:type="dxa"/>
            <w:vAlign w:val="bottom"/>
          </w:tcPr>
          <w:p>
            <w:pPr>
              <w:spacing w:after="0"/>
              <w:rPr>
                <w:sz w:val="1"/>
                <w:szCs w:val="1"/>
                <w:color w:val="auto"/>
              </w:rPr>
            </w:pPr>
          </w:p>
        </w:tc>
      </w:tr>
      <w:tr>
        <w:trPr>
          <w:trHeight w:val="218"/>
        </w:trPr>
        <w:tc>
          <w:tcPr>
            <w:tcW w:w="660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60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3"/>
              </w:rPr>
              <w:t>Less: fair value change of Public and Private Placement Warrants, net of amounts attributable</w:t>
            </w:r>
          </w:p>
        </w:tc>
        <w:tc>
          <w:tcPr>
            <w:tcW w:w="200" w:type="dxa"/>
            <w:vAlign w:val="bottom"/>
            <w:shd w:val="clear" w:color="auto" w:fill="CCEEFF"/>
          </w:tcPr>
          <w:p>
            <w:pPr>
              <w:spacing w:after="0"/>
              <w:rPr>
                <w:sz w:val="14"/>
                <w:szCs w:val="14"/>
                <w:color w:val="auto"/>
              </w:rPr>
            </w:pP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19,618</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35,679</w:t>
            </w:r>
          </w:p>
        </w:tc>
        <w:tc>
          <w:tcPr>
            <w:tcW w:w="0" w:type="dxa"/>
            <w:vAlign w:val="bottom"/>
          </w:tcPr>
          <w:p>
            <w:pPr>
              <w:spacing w:after="0"/>
              <w:rPr>
                <w:sz w:val="1"/>
                <w:szCs w:val="1"/>
                <w:color w:val="auto"/>
              </w:rPr>
            </w:pPr>
          </w:p>
        </w:tc>
      </w:tr>
      <w:tr>
        <w:trPr>
          <w:trHeight w:val="218"/>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120"/>
              <w:spacing w:after="0"/>
              <w:rPr>
                <w:sz w:val="20"/>
                <w:szCs w:val="20"/>
                <w:color w:val="auto"/>
              </w:rPr>
            </w:pPr>
            <w:r>
              <w:rPr>
                <w:rFonts w:ascii="Arial" w:cs="Arial" w:eastAsia="Arial" w:hAnsi="Arial"/>
                <w:sz w:val="17"/>
                <w:szCs w:val="17"/>
                <w:color w:val="auto"/>
              </w:rPr>
              <w:t>Net income (loss) attributable to WM Technology, Inc. - Diluted</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1,217</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(10,581)</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60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Denominator:</w:t>
            </w: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600" w:type="dxa"/>
            <w:vAlign w:val="bottom"/>
          </w:tcPr>
          <w:p>
            <w:pPr>
              <w:ind w:left="20"/>
              <w:spacing w:after="0"/>
              <w:rPr>
                <w:sz w:val="20"/>
                <w:szCs w:val="20"/>
                <w:color w:val="auto"/>
              </w:rPr>
            </w:pPr>
            <w:r>
              <w:rPr>
                <w:rFonts w:ascii="Arial" w:cs="Arial" w:eastAsia="Arial" w:hAnsi="Arial"/>
                <w:sz w:val="17"/>
                <w:szCs w:val="17"/>
                <w:color w:val="auto"/>
              </w:rPr>
              <w:t>Weighted average Class A Common Stock outstanding - Basic</w:t>
            </w: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64,216,732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64,149,699</w:t>
            </w:r>
          </w:p>
        </w:tc>
        <w:tc>
          <w:tcPr>
            <w:tcW w:w="0" w:type="dxa"/>
            <w:vAlign w:val="bottom"/>
          </w:tcPr>
          <w:p>
            <w:pPr>
              <w:spacing w:after="0"/>
              <w:rPr>
                <w:sz w:val="1"/>
                <w:szCs w:val="1"/>
                <w:color w:val="auto"/>
              </w:rPr>
            </w:pPr>
          </w:p>
        </w:tc>
      </w:tr>
      <w:tr>
        <w:trPr>
          <w:trHeight w:val="220"/>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effect of dilutive securities: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00" w:type="dxa"/>
            <w:vAlign w:val="bottom"/>
          </w:tcPr>
          <w:p>
            <w:pPr>
              <w:ind w:left="20"/>
              <w:spacing w:after="0"/>
              <w:rPr>
                <w:sz w:val="20"/>
                <w:szCs w:val="20"/>
                <w:color w:val="auto"/>
              </w:rPr>
            </w:pPr>
            <w:r>
              <w:rPr>
                <w:rFonts w:ascii="Arial" w:cs="Arial" w:eastAsia="Arial" w:hAnsi="Arial"/>
                <w:sz w:val="17"/>
                <w:szCs w:val="17"/>
                <w:color w:val="auto"/>
              </w:rPr>
              <w:t>Public Warrants¹</w:t>
            </w: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2,558,783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3,718,232</w:t>
            </w:r>
          </w:p>
        </w:tc>
        <w:tc>
          <w:tcPr>
            <w:tcW w:w="0" w:type="dxa"/>
            <w:vAlign w:val="bottom"/>
          </w:tcPr>
          <w:p>
            <w:pPr>
              <w:spacing w:after="0"/>
              <w:rPr>
                <w:sz w:val="1"/>
                <w:szCs w:val="1"/>
                <w:color w:val="auto"/>
              </w:rPr>
            </w:pPr>
          </w:p>
        </w:tc>
      </w:tr>
      <w:tr>
        <w:trPr>
          <w:trHeight w:val="220"/>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Private Placement Warrants¹</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1,432,918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2,082,210</w:t>
            </w:r>
          </w:p>
        </w:tc>
        <w:tc>
          <w:tcPr>
            <w:tcW w:w="0" w:type="dxa"/>
            <w:vAlign w:val="bottom"/>
          </w:tcPr>
          <w:p>
            <w:pPr>
              <w:spacing w:after="0"/>
              <w:rPr>
                <w:sz w:val="1"/>
                <w:szCs w:val="1"/>
                <w:color w:val="auto"/>
              </w:rPr>
            </w:pPr>
          </w:p>
        </w:tc>
      </w:tr>
      <w:tr>
        <w:trPr>
          <w:trHeight w:val="219"/>
        </w:trPr>
        <w:tc>
          <w:tcPr>
            <w:tcW w:w="660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Restricted stock units</w:t>
            </w:r>
            <w:r>
              <w:rPr>
                <w:rFonts w:ascii="Arial" w:cs="Arial" w:eastAsia="Arial" w:hAnsi="Arial"/>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95,939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Weighted average Class A Common Stock outstanding - Diluted</w:t>
            </w:r>
          </w:p>
        </w:tc>
        <w:tc>
          <w:tcPr>
            <w:tcW w:w="200" w:type="dxa"/>
            <w:vAlign w:val="bottom"/>
            <w:tcBorders>
              <w:bottom w:val="single" w:sz="8" w:color="auto"/>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68,304,372</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69,950,141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(loss) per share of Class A Common Stock:</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00" w:type="dxa"/>
            <w:vAlign w:val="bottom"/>
          </w:tcPr>
          <w:p>
            <w:pPr>
              <w:ind w:left="20"/>
              <w:spacing w:after="0"/>
              <w:rPr>
                <w:sz w:val="20"/>
                <w:szCs w:val="20"/>
                <w:color w:val="auto"/>
              </w:rPr>
            </w:pPr>
            <w:r>
              <w:rPr>
                <w:rFonts w:ascii="Arial" w:cs="Arial" w:eastAsia="Arial" w:hAnsi="Arial"/>
                <w:sz w:val="17"/>
                <w:szCs w:val="17"/>
                <w:color w:val="auto"/>
              </w:rPr>
              <w:t>Net income per share of Class A Common Stock - Basic</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0.32</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 per share of Class A Common Stock - Diluted</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¹Calculated using the treasury stock method.</w:t>
      </w:r>
    </w:p>
    <w:p>
      <w:pPr>
        <w:spacing w:after="0" w:line="114" w:lineRule="exact"/>
        <w:rPr>
          <w:sz w:val="20"/>
          <w:szCs w:val="20"/>
          <w:color w:val="auto"/>
        </w:rPr>
      </w:pPr>
    </w:p>
    <w:p>
      <w:pPr>
        <w:ind w:firstLine="619"/>
        <w:spacing w:after="0" w:line="312" w:lineRule="auto"/>
        <w:rPr>
          <w:sz w:val="20"/>
          <w:szCs w:val="20"/>
          <w:color w:val="auto"/>
        </w:rPr>
      </w:pPr>
      <w:r>
        <w:rPr>
          <w:rFonts w:ascii="Arial" w:cs="Arial" w:eastAsia="Arial" w:hAnsi="Arial"/>
          <w:sz w:val="16"/>
          <w:szCs w:val="16"/>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Company excluded the following securities from its computation of diluted shares outstanding, as their effect would have been anti-dilutive: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680" w:type="dxa"/>
            <w:vAlign w:val="bottom"/>
            <w:gridSpan w:val="2"/>
          </w:tcPr>
          <w:p>
            <w:pPr>
              <w:ind w:left="80"/>
              <w:spacing w:after="0"/>
              <w:rPr>
                <w:sz w:val="20"/>
                <w:szCs w:val="20"/>
                <w:color w:val="auto"/>
              </w:rPr>
            </w:pPr>
            <w:r>
              <w:rPr>
                <w:rFonts w:ascii="Arial" w:cs="Arial" w:eastAsia="Arial" w:hAnsi="Arial"/>
                <w:sz w:val="17"/>
                <w:szCs w:val="17"/>
                <w:b w:val="1"/>
                <w:bCs w:val="1"/>
                <w:color w:val="auto"/>
                <w:w w:val="98"/>
              </w:rPr>
              <w:t>Three Months Ended September</w:t>
            </w:r>
          </w:p>
        </w:tc>
        <w:tc>
          <w:tcPr>
            <w:tcW w:w="2580" w:type="dxa"/>
            <w:vAlign w:val="bottom"/>
          </w:tcPr>
          <w:p>
            <w:pPr>
              <w:jc w:val="right"/>
              <w:ind w:right="54"/>
              <w:spacing w:after="0"/>
              <w:rPr>
                <w:sz w:val="20"/>
                <w:szCs w:val="20"/>
                <w:color w:val="auto"/>
              </w:rPr>
            </w:pPr>
            <w:r>
              <w:rPr>
                <w:rFonts w:ascii="Arial" w:cs="Arial" w:eastAsia="Arial" w:hAnsi="Arial"/>
                <w:sz w:val="17"/>
                <w:szCs w:val="17"/>
                <w:b w:val="1"/>
                <w:bCs w:val="1"/>
                <w:color w:val="auto"/>
                <w:w w:val="96"/>
              </w:rPr>
              <w:t>Nine Months Ended September</w:t>
            </w:r>
          </w:p>
        </w:tc>
      </w:tr>
      <w:tr>
        <w:trPr>
          <w:trHeight w:val="219"/>
        </w:trPr>
        <w:tc>
          <w:tcPr>
            <w:tcW w:w="352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258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b w:val="1"/>
                <w:bCs w:val="1"/>
                <w:color w:val="auto"/>
              </w:rPr>
              <w:t>30, 2021</w:t>
            </w:r>
          </w:p>
        </w:tc>
        <w:tc>
          <w:tcPr>
            <w:tcW w:w="100" w:type="dxa"/>
            <w:vAlign w:val="bottom"/>
            <w:tcBorders>
              <w:bottom w:val="single" w:sz="8" w:color="CCEEFF"/>
            </w:tcBorders>
          </w:tcPr>
          <w:p>
            <w:pPr>
              <w:spacing w:after="0"/>
              <w:rPr>
                <w:sz w:val="19"/>
                <w:szCs w:val="19"/>
                <w:color w:val="auto"/>
              </w:rPr>
            </w:pPr>
          </w:p>
        </w:tc>
        <w:tc>
          <w:tcPr>
            <w:tcW w:w="258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b w:val="1"/>
                <w:bCs w:val="1"/>
                <w:color w:val="auto"/>
              </w:rPr>
              <w:t>30, 2021</w:t>
            </w:r>
          </w:p>
        </w:tc>
      </w:tr>
      <w:tr>
        <w:trPr>
          <w:trHeight w:val="212"/>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A Units</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65,502,347</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65,502,347</w:t>
            </w:r>
          </w:p>
        </w:tc>
      </w:tr>
      <w:tr>
        <w:trPr>
          <w:trHeight w:val="218"/>
        </w:trPr>
        <w:tc>
          <w:tcPr>
            <w:tcW w:w="3520" w:type="dxa"/>
            <w:vAlign w:val="bottom"/>
          </w:tcPr>
          <w:p>
            <w:pPr>
              <w:ind w:left="20"/>
              <w:spacing w:after="0"/>
              <w:rPr>
                <w:sz w:val="20"/>
                <w:szCs w:val="20"/>
                <w:color w:val="auto"/>
              </w:rPr>
            </w:pPr>
            <w:r>
              <w:rPr>
                <w:rFonts w:ascii="Arial" w:cs="Arial" w:eastAsia="Arial" w:hAnsi="Arial"/>
                <w:sz w:val="17"/>
                <w:szCs w:val="17"/>
                <w:color w:val="auto"/>
              </w:rPr>
              <w:t>Class P Units</w:t>
            </w:r>
          </w:p>
        </w:tc>
        <w:tc>
          <w:tcPr>
            <w:tcW w:w="5040" w:type="dxa"/>
            <w:vAlign w:val="bottom"/>
            <w:gridSpan w:val="2"/>
          </w:tcPr>
          <w:p>
            <w:pPr>
              <w:jc w:val="right"/>
              <w:spacing w:after="0"/>
              <w:rPr>
                <w:sz w:val="20"/>
                <w:szCs w:val="20"/>
                <w:color w:val="auto"/>
              </w:rPr>
            </w:pPr>
            <w:r>
              <w:rPr>
                <w:rFonts w:ascii="Arial" w:cs="Arial" w:eastAsia="Arial" w:hAnsi="Arial"/>
                <w:sz w:val="17"/>
                <w:szCs w:val="17"/>
                <w:color w:val="auto"/>
              </w:rPr>
              <w:t>25,679,122</w:t>
            </w:r>
          </w:p>
        </w:tc>
        <w:tc>
          <w:tcPr>
            <w:tcW w:w="10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7"/>
                <w:szCs w:val="17"/>
                <w:color w:val="auto"/>
              </w:rPr>
              <w:t>25,679,122</w:t>
            </w:r>
          </w:p>
        </w:tc>
      </w:tr>
      <w:tr>
        <w:trPr>
          <w:trHeight w:val="220"/>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w:t>
            </w:r>
          </w:p>
        </w:tc>
        <w:tc>
          <w:tcPr>
            <w:tcW w:w="246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3,858,945</w:t>
            </w:r>
          </w:p>
        </w:tc>
      </w:tr>
      <w:tr>
        <w:trPr>
          <w:trHeight w:val="849"/>
        </w:trPr>
        <w:tc>
          <w:tcPr>
            <w:tcW w:w="3520" w:type="dxa"/>
            <w:vAlign w:val="bottom"/>
          </w:tcPr>
          <w:p>
            <w:pPr>
              <w:spacing w:after="0"/>
              <w:rPr>
                <w:sz w:val="24"/>
                <w:szCs w:val="24"/>
                <w:color w:val="auto"/>
              </w:rPr>
            </w:pPr>
          </w:p>
        </w:tc>
        <w:tc>
          <w:tcPr>
            <w:tcW w:w="2460" w:type="dxa"/>
            <w:vAlign w:val="bottom"/>
          </w:tcPr>
          <w:p>
            <w:pPr>
              <w:jc w:val="right"/>
              <w:ind w:right="194"/>
              <w:spacing w:after="0"/>
              <w:rPr>
                <w:sz w:val="20"/>
                <w:szCs w:val="20"/>
                <w:color w:val="auto"/>
              </w:rPr>
            </w:pPr>
            <w:r>
              <w:rPr>
                <w:rFonts w:ascii="Arial" w:cs="Arial" w:eastAsia="Arial" w:hAnsi="Arial"/>
                <w:sz w:val="17"/>
                <w:szCs w:val="17"/>
                <w:color w:val="auto"/>
              </w:rPr>
              <w:t>28</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10"/>
        </w:trPr>
        <w:tc>
          <w:tcPr>
            <w:tcW w:w="352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2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i w:val="1"/>
          <w:iCs w:val="1"/>
          <w:color w:val="auto"/>
        </w:rPr>
        <w:t>The following discussion and analysis of financial condition and results of operations should be read in conjunction with the condensed consolidated financial statements and related notes thereto included in Item 1 “Financial Statements” in this Quarterly Report on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but not limited to, those discussed in the section titled “Risk Factors” included elsewhere in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On June 16, 2021, WM Holding Company, LLC (when referred to in its pre-Business Combination capacity, “Legacy WMH” and following the Business Combination, “WMH LLC”) completed its previously announced business combination with Silver Spike Acquisition Corp (“Silver Spike”). Legacy WMH was deemed to be the accounting acquirer under accounting principles generally accepted in the United States of America (“GAAP”). In connection with the closing, Silver Spike changed its name to WM Technology, Inc. As used in this Quarterly Report on Form 10-Q, unless the context requires otherwise, references to the “Company,” “we,” “us,” and “our,” and similar references refer to WM Technology, Inc, and its subsidiaries following the Business Combination and to Legacy WMH prior to the Business Combination.</w:t>
      </w:r>
    </w:p>
    <w:p>
      <w:pPr>
        <w:spacing w:after="0" w:line="80" w:lineRule="exact"/>
        <w:rPr>
          <w:sz w:val="20"/>
          <w:szCs w:val="20"/>
          <w:color w:val="auto"/>
        </w:rPr>
      </w:pPr>
    </w:p>
    <w:p>
      <w:pPr>
        <w:jc w:val="both"/>
        <w:ind w:firstLine="464"/>
        <w:spacing w:after="0" w:line="292" w:lineRule="auto"/>
        <w:rPr>
          <w:sz w:val="20"/>
          <w:szCs w:val="20"/>
          <w:color w:val="auto"/>
        </w:rPr>
      </w:pPr>
      <w:r>
        <w:rPr>
          <w:rFonts w:ascii="Arial" w:cs="Arial" w:eastAsia="Arial" w:hAnsi="Arial"/>
          <w:sz w:val="15"/>
          <w:szCs w:val="15"/>
          <w:color w:val="auto"/>
        </w:rPr>
        <w:t>WM Technology, Inc. is a technology and software infrastructure provider to retailers and brands in the U.S. state-legal and Canadian cannabis markets. We also provide information on the cannabis plant and the industry and advocate for legalization. The Weedmaps listings marketplace provides consumers with information regarding cannabis retailers and brands, as well as the strain, pricing, and other information regarding locally available cannabis products, through our website and mobile apps, permitting product discovery and reservation of products for pickup by consumers or delivery to consumers by participating retailers. We sell our offerings in the United States, and have a limited number of non-monetized listings in several international countries including Austria, Canada, Germany, the Netherlands, Spain, and Switzerland. Through December 31, 2020, we offered standard listing subscription clients access to a listing page on weedmaps.com in addition to free access to our SaaS solutions, including WM Orders, WM Dispatch, WM Exchange, WM Retail and WM Store, along with its API integrations with third-party point-of-sale (“POS”) systems. For access to the orders functionality, beginning in September 2019, standard listing clients were also then required to pay a fixed services fee per delivery order submitted which we imposed regardless of whether the proposed order was canceled or completed. As of January 1, 2021, we migrated all standard listing subscription clients to our new WM Business subscription package. Under this new subscription package, all retailers continue to receive access to a standard listing page and SaaS solutions. In addition, we began including access to WM Dashboard and eliminated the technology services fee on delivery orders as part of the transition to the new WM Business subscription package. We operate in the United States, Canada, and other foreign jurisdictions where medical and/or adult use cannabis is legal under state or applicable national law. We are headquartered in Irvine, California.</w:t>
      </w:r>
    </w:p>
    <w:p>
      <w:pPr>
        <w:spacing w:after="0" w:line="57" w:lineRule="exact"/>
        <w:rPr>
          <w:sz w:val="20"/>
          <w:szCs w:val="20"/>
          <w:color w:val="auto"/>
        </w:rPr>
      </w:pPr>
    </w:p>
    <w:p>
      <w:pPr>
        <w:jc w:val="both"/>
        <w:ind w:firstLine="464"/>
        <w:spacing w:after="0" w:line="291" w:lineRule="auto"/>
        <w:rPr>
          <w:sz w:val="20"/>
          <w:szCs w:val="20"/>
          <w:color w:val="auto"/>
        </w:rPr>
      </w:pPr>
      <w:r>
        <w:rPr>
          <w:rFonts w:ascii="Arial" w:cs="Arial" w:eastAsia="Arial" w:hAnsi="Arial"/>
          <w:sz w:val="15"/>
          <w:szCs w:val="15"/>
          <w:color w:val="auto"/>
        </w:rPr>
        <w:t>Founded in 2008, we operate a leading listings marketplace with one of the most comprehensive SaaS subscription offerings sold to retailers and brands in the U.S. state-legal and Canadian cannabis markets. We address the challenges facing both consumers seeking to understand cannabis products and businesses who serve cannabis users in a legally compliant fashion with our Weedmaps platform and WM Business SaaS solution. Over the past 13 years, we have grown the Weedmaps listings marketplace to become the premier destination for cannabis consumers to discover and browse information regarding cannabis and cannabis products, with 14 million monthly active users (“MAUs”) as of September 30, 2021 on the demand-side and 4,194 average monthly paying business clients during the nine months ended September 30, 2021 on the supply-side of our marketplace. These paying clients include retailers, brands and other client types (such as doctors). Further, these clients, who can choose to purchase multiple listings solutions for each business, had purchased approximately 9,100 listing pages as of September 30, 2021 (of the over 18,300 listing pages listing pages on the marketplace). The Weedmaps listings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 delivery by participating retailers. We provide consumers with discovery channels to improve their knowledge of the local market for cannabis products, whether they are looking by strain, price, effects or form factors. Our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63"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Over the last three years, we have developed and launched several SaaS solutions for our retailer clients. These solutions now comprise an integrated platform for retailers, which we call “WM Business”. WM Business provides a comprehensive set of tools to enable cannabis businesses to provide their goods and services compliantly, with what we refer to as “business-in-a-</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box” functionality. Our “business-in-a-box” solution helps cannabis retailers to improve their workflows and regulatory compliance in the course of serving cannabis consumers.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(and complete orders and process payments – both of which only occur outside the Weedmaps listings marketplace), (iii) logistics software such as driver apps and fleet-tracking tools to permit legal compliance with state delivery regulations, (iv) retail point-of-sale, or POS, solutions to manage inventory and track-and-trace compliance reporting, (v) analytics dashboards, (vi) access to our online wholesale exchange marketplace to browse brand catalogs and efficiently identify brands to obtain inventory from (and review license information and certificates of analysis, among other compliance features), and (vii) application program interface, or API, integrations to streamline workflows, thereby helping eliminate human error in recordkeeping and promoting compliance through accuracy. We also offer a growing set of offerings for brands to reach consumers and retailers as well as manage their brand catalog information.</w:t>
      </w:r>
    </w:p>
    <w:p>
      <w:pPr>
        <w:spacing w:after="0" w:line="7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Our WM Business solution is sold as a value-priced monthly subscription package. We also offer several upsell and add-on products that allow businesses to have more prominent placement on the Weedmaps listings marketplace either through featured listings, display ads or promoted deal offerings. We sell our offerings in the United States, and we have a limited number of non-monetized listings in several international countries including Austria, Canada, Germany, the Netherlands, Spain, and Switzerland. As of September 30, 2021, we actively operated in over 20 U.S. states and territories that have adult-use and/or medical-use regulations in place. We define actively operated markets as those with greater than $1,000 monthly recurring revenue.</w:t>
      </w:r>
    </w:p>
    <w:p>
      <w:pPr>
        <w:spacing w:after="0" w:line="6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As we continue to expand the presence and increase the number of consumers on the Weedmaps listings marketplace and broaden our SaaS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SaaS solutions, we plan to continue making investments in raising brand awareness, increasing penetration within existing markets and expanding to new markets, as well as continuing to develop and monetize new software solutions to extend the functionality of our platform, deepening the consumer experience with our platform, and providing a high level of support to our business clients.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 and Public Company Costs</w:t>
      </w:r>
    </w:p>
    <w:p>
      <w:pPr>
        <w:spacing w:after="0" w:line="249" w:lineRule="exact"/>
        <w:rPr>
          <w:sz w:val="20"/>
          <w:szCs w:val="20"/>
          <w:color w:val="auto"/>
        </w:rPr>
      </w:pPr>
    </w:p>
    <w:p>
      <w:pPr>
        <w:jc w:val="both"/>
        <w:ind w:firstLine="464"/>
        <w:spacing w:after="0" w:line="294" w:lineRule="auto"/>
        <w:rPr>
          <w:sz w:val="20"/>
          <w:szCs w:val="20"/>
          <w:color w:val="auto"/>
        </w:rPr>
      </w:pPr>
      <w:r>
        <w:rPr>
          <w:rFonts w:ascii="Arial" w:cs="Arial" w:eastAsia="Arial" w:hAnsi="Arial"/>
          <w:sz w:val="15"/>
          <w:szCs w:val="15"/>
          <w:color w:val="auto"/>
        </w:rPr>
        <w:t>On June 16, 2021, Silver Spike consummated the business combination (the “Business Combination”) pursuant to the certain Agreement and Plan of Merger, dated December 10, 2020 (the “Merger Agreement”), by and among Silver Spike, Silver Spike Merger Sub LLC, a Delaware limited liability company and a wholly owned direct subsidiary of Silver Spike Acquisition Corp. (“Merger Sub”),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187"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6"/>
          <w:szCs w:val="16"/>
          <w:color w:val="auto"/>
        </w:rPr>
        <w:t>While the legal acquirer in the Merger Agreement is Silver Spike, for financial accounting and reporting purposes under GAAP, Legacy WMH was the accounting acquirer and 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are presented as those of</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Legacy WMH. The net assets of Silver Spike were recognized at historical cost (which are consistent with carrying value), with no goodwill or other intangible assets recorded.</w:t>
      </w:r>
    </w:p>
    <w:p>
      <w:pPr>
        <w:spacing w:after="0" w:line="190"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Operating and Financial Metrics</w:t>
      </w:r>
    </w:p>
    <w:p>
      <w:pPr>
        <w:spacing w:after="0" w:line="352"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5"/>
          <w:szCs w:val="15"/>
          <w:color w:val="auto"/>
        </w:rPr>
        <w:t>We monitor the following key financial and operational metrics to evaluate our business, measure our performance, identify trends affecting our business, formulate business plans, and make strategic decisions. Subsequent to the Business Combination, we modified our definition and calculation of three of our Key Operating and Financial Metrics: (a) average monthly revenue per paying client, (b) average monthly paying clients, and (c) MAUs. We made these modifications in order to better reflect our performance during a reporting period and to make these key metrics more easily comparable on a period-to-period basis. The changes to these metrics and a comparison to previous calculations are described below. We are providing our prior definitions of these key metrics, as well as a calculation of what our results would have been pursuant to such prior definitions, for the applicable periods so that investors and potential investors that have analyzed these key metrics historically using our prior definitions can compare our historical results to our current results with respect to these key metrics using the prior definitions. To see what our historical average monthly revenue per paying client, average monthly paying clients and monthly active users would have been for the years ended December 31, 2020, 2019, 2018 and 2017 using our modified definitions, as well as a comparison to what the results were using our prior definitions, please refer to our earnings release included as Exhibit 99.1 in our Current Report on Form 8-K, filed August 12, 2021.</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30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68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78"/>
        </w:trPr>
        <w:tc>
          <w:tcPr>
            <w:tcW w:w="526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173"/>
        </w:trPr>
        <w:tc>
          <w:tcPr>
            <w:tcW w:w="5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60" w:type="dxa"/>
            <w:vAlign w:val="bottom"/>
            <w:gridSpan w:val="7"/>
          </w:tcPr>
          <w:p>
            <w:pPr>
              <w:jc w:val="right"/>
              <w:ind w:right="134"/>
              <w:spacing w:after="0"/>
              <w:rPr>
                <w:sz w:val="20"/>
                <w:szCs w:val="20"/>
                <w:color w:val="auto"/>
              </w:rPr>
            </w:pPr>
            <w:r>
              <w:rPr>
                <w:rFonts w:ascii="Arial" w:cs="Arial" w:eastAsia="Arial" w:hAnsi="Arial"/>
                <w:sz w:val="14"/>
                <w:szCs w:val="14"/>
                <w:b w:val="1"/>
                <w:bCs w:val="1"/>
                <w:color w:val="auto"/>
                <w:w w:val="97"/>
              </w:rPr>
              <w:t>(dollars in thousands, except for revenue per paying client)</w:t>
            </w:r>
          </w:p>
        </w:tc>
        <w:tc>
          <w:tcPr>
            <w:tcW w:w="1060" w:type="dxa"/>
            <w:vAlign w:val="bottom"/>
          </w:tcPr>
          <w:p>
            <w:pPr>
              <w:spacing w:after="0"/>
              <w:rPr>
                <w:sz w:val="15"/>
                <w:szCs w:val="15"/>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50,884</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138,969</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117,470</w:t>
            </w:r>
          </w:p>
        </w:tc>
      </w:tr>
      <w:tr>
        <w:trPr>
          <w:trHeight w:val="218"/>
        </w:trPr>
        <w:tc>
          <w:tcPr>
            <w:tcW w:w="52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860" w:type="dxa"/>
            <w:vAlign w:val="bottom"/>
          </w:tcPr>
          <w:p>
            <w:pPr>
              <w:jc w:val="right"/>
              <w:ind w:right="679"/>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2"/>
              </w:rPr>
              <w:t>49,205</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15,530</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73,773</w:t>
            </w:r>
          </w:p>
        </w:tc>
        <w:tc>
          <w:tcPr>
            <w:tcW w:w="44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28,732</w:t>
            </w:r>
          </w:p>
        </w:tc>
      </w:tr>
      <w:tr>
        <w:trPr>
          <w:trHeight w:val="3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EBITDA</w:t>
            </w:r>
            <w:r>
              <w:rPr>
                <w:rFonts w:ascii="Arial" w:cs="Arial" w:eastAsia="Arial" w:hAnsi="Arial"/>
                <w:sz w:val="22"/>
                <w:szCs w:val="22"/>
                <w:color w:val="auto"/>
                <w:vertAlign w:val="superscript"/>
              </w:rPr>
              <w:t>(1)</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50,578</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16,521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76,985</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31,712</w:t>
            </w:r>
          </w:p>
        </w:tc>
      </w:tr>
      <w:tr>
        <w:trPr>
          <w:trHeight w:val="322"/>
        </w:trPr>
        <w:tc>
          <w:tcPr>
            <w:tcW w:w="5260" w:type="dxa"/>
            <w:vAlign w:val="bottom"/>
          </w:tcPr>
          <w:p>
            <w:pPr>
              <w:ind w:left="20"/>
              <w:spacing w:after="0"/>
              <w:rPr>
                <w:sz w:val="20"/>
                <w:szCs w:val="20"/>
                <w:color w:val="auto"/>
              </w:rPr>
            </w:pPr>
            <w:r>
              <w:rPr>
                <w:rFonts w:ascii="Arial" w:cs="Arial" w:eastAsia="Arial" w:hAnsi="Arial"/>
                <w:sz w:val="17"/>
                <w:szCs w:val="17"/>
                <w:color w:val="auto"/>
              </w:rPr>
              <w:t>Adjusted EBITDA</w:t>
            </w:r>
            <w:r>
              <w:rPr>
                <w:rFonts w:ascii="Arial" w:cs="Arial" w:eastAsia="Arial" w:hAnsi="Arial"/>
                <w:sz w:val="22"/>
                <w:szCs w:val="22"/>
                <w:color w:val="auto"/>
                <w:vertAlign w:val="superscript"/>
              </w:rPr>
              <w:t>(1)</w:t>
            </w:r>
          </w:p>
        </w:tc>
        <w:tc>
          <w:tcPr>
            <w:tcW w:w="860" w:type="dxa"/>
            <w:vAlign w:val="bottom"/>
          </w:tcPr>
          <w:p>
            <w:pPr>
              <w:jc w:val="right"/>
              <w:ind w:right="679"/>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2"/>
              </w:rPr>
              <w:t>10,424</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16,521</w:t>
            </w:r>
          </w:p>
        </w:tc>
        <w:tc>
          <w:tcPr>
            <w:tcW w:w="10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27,901</w:t>
            </w:r>
          </w:p>
        </w:tc>
        <w:tc>
          <w:tcPr>
            <w:tcW w:w="44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31,712</w:t>
            </w:r>
          </w:p>
        </w:tc>
      </w:tr>
      <w:tr>
        <w:trPr>
          <w:trHeight w:val="322"/>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monthly revenue per paying client</w:t>
            </w:r>
            <w:r>
              <w:rPr>
                <w:rFonts w:ascii="Arial" w:cs="Arial" w:eastAsia="Arial" w:hAnsi="Arial"/>
                <w:sz w:val="22"/>
                <w:szCs w:val="22"/>
                <w:color w:val="auto"/>
                <w:vertAlign w:val="superscript"/>
              </w:rPr>
              <w:t>(2)</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3,817</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3,682</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3,083</w:t>
            </w:r>
          </w:p>
        </w:tc>
      </w:tr>
      <w:tr>
        <w:trPr>
          <w:trHeight w:val="322"/>
        </w:trPr>
        <w:tc>
          <w:tcPr>
            <w:tcW w:w="5260" w:type="dxa"/>
            <w:vAlign w:val="bottom"/>
          </w:tcPr>
          <w:p>
            <w:pPr>
              <w:ind w:left="20"/>
              <w:spacing w:after="0"/>
              <w:rPr>
                <w:sz w:val="20"/>
                <w:szCs w:val="20"/>
                <w:color w:val="auto"/>
              </w:rPr>
            </w:pPr>
            <w:r>
              <w:rPr>
                <w:rFonts w:ascii="Arial" w:cs="Arial" w:eastAsia="Arial" w:hAnsi="Arial"/>
                <w:sz w:val="17"/>
                <w:szCs w:val="17"/>
                <w:color w:val="auto"/>
              </w:rPr>
              <w:t>Average monthly paying clients</w:t>
            </w:r>
            <w:r>
              <w:rPr>
                <w:rFonts w:ascii="Arial" w:cs="Arial" w:eastAsia="Arial" w:hAnsi="Arial"/>
                <w:sz w:val="22"/>
                <w:szCs w:val="22"/>
                <w:color w:val="auto"/>
                <w:vertAlign w:val="superscript"/>
              </w:rPr>
              <w:t>(3)</w:t>
            </w:r>
          </w:p>
        </w:tc>
        <w:tc>
          <w:tcPr>
            <w:tcW w:w="8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4,444</w:t>
            </w: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4,363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4,194</w:t>
            </w: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4,233</w:t>
            </w:r>
          </w:p>
        </w:tc>
      </w:tr>
      <w:tr>
        <w:trPr>
          <w:trHeight w:val="322"/>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MAUs (in thousands)</w:t>
            </w:r>
            <w:r>
              <w:rPr>
                <w:rFonts w:ascii="Arial" w:cs="Arial" w:eastAsia="Arial" w:hAnsi="Arial"/>
                <w:sz w:val="22"/>
                <w:szCs w:val="22"/>
                <w:color w:val="auto"/>
                <w:vertAlign w:val="superscript"/>
              </w:rPr>
              <w:t>(4)</w:t>
            </w:r>
          </w:p>
        </w:tc>
        <w:tc>
          <w:tcPr>
            <w:tcW w:w="8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13,907</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13,907</w:t>
            </w: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10,185</w:t>
            </w:r>
          </w:p>
        </w:tc>
      </w:tr>
      <w:tr>
        <w:trPr>
          <w:trHeight w:val="295"/>
        </w:trPr>
        <w:tc>
          <w:tcPr>
            <w:tcW w:w="5260" w:type="dxa"/>
            <w:vAlign w:val="bottom"/>
          </w:tcPr>
          <w:p>
            <w:pPr>
              <w:spacing w:after="0"/>
              <w:rPr>
                <w:sz w:val="20"/>
                <w:szCs w:val="20"/>
                <w:color w:val="auto"/>
              </w:rPr>
            </w:pPr>
            <w:r>
              <w:rPr>
                <w:rFonts w:ascii="Arial" w:cs="Arial" w:eastAsia="Arial" w:hAnsi="Arial"/>
                <w:sz w:val="17"/>
                <w:szCs w:val="17"/>
                <w:color w:val="auto"/>
              </w:rPr>
              <w:t>___________________________</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32" w:lineRule="exact"/>
        <w:rPr>
          <w:sz w:val="20"/>
          <w:szCs w:val="20"/>
          <w:color w:val="auto"/>
        </w:rPr>
      </w:pPr>
    </w:p>
    <w:p>
      <w:pPr>
        <w:ind w:left="320" w:hanging="317"/>
        <w:spacing w:after="0" w:line="241" w:lineRule="auto"/>
        <w:tabs>
          <w:tab w:leader="none" w:pos="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 further information about how we calculate EBITDA and Adjusted EBITDA as well as limitations of its use and a reconciliation of EBITDA and Adjusted EBITDA to net income, see “—EBITDA and Adjusted EBITDA” below.</w:t>
      </w:r>
    </w:p>
    <w:p>
      <w:pPr>
        <w:jc w:val="both"/>
        <w:ind w:left="320" w:hanging="317"/>
        <w:spacing w:after="0" w:line="233" w:lineRule="auto"/>
        <w:tabs>
          <w:tab w:leader="none" w:pos="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Average monthly revenue per paying client is defined as the average monthly revenue for any particular period divided by the average monthly paying clients in the same respective period. See “—Average Monthly Revenue Per Paying Client” below for a description of how we used to calculate average monthly revenue per paying client and what our average monthly revenue per paying client would have been using our prior definition for the applicable periods.</w:t>
      </w:r>
    </w:p>
    <w:p>
      <w:pPr>
        <w:jc w:val="both"/>
        <w:ind w:left="320" w:hanging="317"/>
        <w:spacing w:after="0" w:line="233" w:lineRule="auto"/>
        <w:tabs>
          <w:tab w:leader="none" w:pos="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Average monthly paying clients are defined as the average of the number of paying clients billed in a month across a particular period (and for which services were provided). See “—Average Monthly Paying Clients” below for a description of how we used to calculate average monthly paying clients and what our average monthly paying clients would have been using our prior definition for the applicable periods.</w:t>
      </w:r>
    </w:p>
    <w:p>
      <w:pPr>
        <w:jc w:val="both"/>
        <w:ind w:left="320" w:hanging="317"/>
        <w:spacing w:after="0" w:line="241" w:lineRule="auto"/>
        <w:tabs>
          <w:tab w:leader="none" w:pos="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MAUs are defined as the number of unique users opening our Weedmaps mobile app or accessing our Weedmaps.com website over the course of a calendar month. Monthly active users in this table is for the last month in the period. See “—MAUs” below for a description of how we used to calculate MAUs and what our MAUs would have been using our prior definition for the applicable periods.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generate revenue from the sale of monthly subscriptions and our additional offerings as described previously. Our monthly subscription offering is sold based on a fixed price per month with the pricing based on the type of client. These subscriptions generally have one-month terms that automatically renew unless notice of cancellation is provided in advance. Our additional offerings range in price and terms. For clients that pay us in advance for subscription and other services, we record deferred revenue and recognize revenue over the applicable term of services provided.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EBITDA and Adjusted EBITDA</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non-cash, unusual and/or infrequent costs in the case of Adjusted EBITDA. Below we have provided a reconciliation of net income (the most directly comparable GAAP financial measure) to EBITDA and from EBITDA to Adjusted EBITDA.</w:t>
      </w:r>
    </w:p>
    <w:p>
      <w:pPr>
        <w:spacing w:after="0" w:line="75" w:lineRule="exact"/>
        <w:rPr>
          <w:sz w:val="20"/>
          <w:szCs w:val="20"/>
          <w:color w:val="auto"/>
        </w:rPr>
      </w:pPr>
    </w:p>
    <w:p>
      <w:pPr>
        <w:jc w:val="both"/>
        <w:ind w:firstLine="464"/>
        <w:spacing w:after="0" w:line="318" w:lineRule="auto"/>
        <w:rPr>
          <w:sz w:val="20"/>
          <w:szCs w:val="20"/>
          <w:color w:val="auto"/>
        </w:rPr>
      </w:pPr>
      <w:r>
        <w:rPr>
          <w:rFonts w:ascii="Arial" w:cs="Arial" w:eastAsia="Arial" w:hAnsi="Arial"/>
          <w:sz w:val="15"/>
          <w:szCs w:val="15"/>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36"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48" w:lineRule="exact"/>
        <w:rPr>
          <w:sz w:val="20"/>
          <w:szCs w:val="20"/>
          <w:color w:val="auto"/>
        </w:rPr>
      </w:pPr>
    </w:p>
    <w:p>
      <w:pPr>
        <w:jc w:val="both"/>
        <w:ind w:left="780" w:hanging="313"/>
        <w:spacing w:after="0" w:line="236" w:lineRule="auto"/>
        <w:tabs>
          <w:tab w:leader="none" w:pos="7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67" w:lineRule="exact"/>
        <w:rPr>
          <w:rFonts w:ascii="Arial" w:cs="Arial" w:eastAsia="Arial" w:hAnsi="Arial"/>
          <w:sz w:val="17"/>
          <w:szCs w:val="17"/>
          <w:color w:val="auto"/>
        </w:rPr>
      </w:pPr>
    </w:p>
    <w:p>
      <w:pPr>
        <w:ind w:left="780" w:hanging="31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EBITDA and Adjusted EBITDA do not reflect changes in, or cash requirements for, our working capital needs; and</w:t>
      </w:r>
    </w:p>
    <w:p>
      <w:pPr>
        <w:spacing w:after="0" w:line="88" w:lineRule="exact"/>
        <w:rPr>
          <w:rFonts w:ascii="Arial" w:cs="Arial" w:eastAsia="Arial" w:hAnsi="Arial"/>
          <w:sz w:val="17"/>
          <w:szCs w:val="17"/>
          <w:color w:val="auto"/>
        </w:rPr>
      </w:pPr>
    </w:p>
    <w:p>
      <w:pPr>
        <w:ind w:left="780" w:hanging="31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EBITDA and Adjusted EBITDA do not reflect tax payments that may represent a reduction in cash available to us.</w:t>
      </w:r>
    </w:p>
    <w:p>
      <w:pPr>
        <w:spacing w:after="0" w:line="10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Because of these limitations, you should consider EBITDA and Adjusted EBITDA alongside other financial performance measures, including net income and our other GAAP results.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reconciliation of net income to non-GAAP EBITDA and Adjusted EBITDA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7"/>
                <w:szCs w:val="17"/>
                <w:color w:val="auto"/>
              </w:rPr>
            </w:pPr>
          </w:p>
        </w:tc>
        <w:tc>
          <w:tcPr>
            <w:tcW w:w="254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178"/>
        </w:trPr>
        <w:tc>
          <w:tcPr>
            <w:tcW w:w="52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173"/>
        </w:trPr>
        <w:tc>
          <w:tcPr>
            <w:tcW w:w="5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28,732</w:t>
            </w:r>
          </w:p>
        </w:tc>
      </w:tr>
      <w:tr>
        <w:trPr>
          <w:trHeight w:val="218"/>
        </w:trPr>
        <w:tc>
          <w:tcPr>
            <w:tcW w:w="5260" w:type="dxa"/>
            <w:vAlign w:val="bottom"/>
          </w:tcPr>
          <w:p>
            <w:pPr>
              <w:ind w:left="180"/>
              <w:spacing w:after="0"/>
              <w:rPr>
                <w:sz w:val="20"/>
                <w:szCs w:val="20"/>
                <w:color w:val="auto"/>
              </w:rPr>
            </w:pPr>
            <w:r>
              <w:rPr>
                <w:rFonts w:ascii="Arial" w:cs="Arial" w:eastAsia="Arial" w:hAnsi="Arial"/>
                <w:sz w:val="17"/>
                <w:szCs w:val="17"/>
                <w:color w:val="auto"/>
              </w:rPr>
              <w:t>Provision for income taxes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2,980</w:t>
            </w:r>
          </w:p>
        </w:tc>
      </w:tr>
      <w:tr>
        <w:trPr>
          <w:trHeight w:val="211"/>
        </w:trPr>
        <w:tc>
          <w:tcPr>
            <w:tcW w:w="5260" w:type="dxa"/>
            <w:vAlign w:val="bottom"/>
          </w:tcPr>
          <w:p>
            <w:pPr>
              <w:ind w:left="20"/>
              <w:spacing w:after="0"/>
              <w:rPr>
                <w:sz w:val="20"/>
                <w:szCs w:val="20"/>
                <w:color w:val="auto"/>
              </w:rPr>
            </w:pPr>
            <w:r>
              <w:rPr>
                <w:rFonts w:ascii="Arial" w:cs="Arial" w:eastAsia="Arial" w:hAnsi="Arial"/>
                <w:sz w:val="17"/>
                <w:szCs w:val="17"/>
                <w:color w:val="auto"/>
              </w:rPr>
              <w:t>EBITDA</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50,578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16,521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76,985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31,712</w:t>
            </w:r>
          </w:p>
        </w:tc>
      </w:tr>
      <w:tr>
        <w:trPr>
          <w:trHeight w:val="220"/>
        </w:trPr>
        <w:tc>
          <w:tcPr>
            <w:tcW w:w="5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Share-based compensation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260" w:type="dxa"/>
            <w:vAlign w:val="bottom"/>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(45,837)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(83,628)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Warrant transaction costs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260" w:type="dxa"/>
            <w:vAlign w:val="bottom"/>
          </w:tcPr>
          <w:p>
            <w:pPr>
              <w:ind w:left="180"/>
              <w:spacing w:after="0"/>
              <w:rPr>
                <w:sz w:val="20"/>
                <w:szCs w:val="20"/>
                <w:color w:val="auto"/>
              </w:rPr>
            </w:pPr>
            <w:r>
              <w:rPr>
                <w:rFonts w:ascii="Arial" w:cs="Arial" w:eastAsia="Arial" w:hAnsi="Arial"/>
                <w:sz w:val="17"/>
                <w:szCs w:val="17"/>
                <w:color w:val="auto"/>
              </w:rPr>
              <w:t>Impairment of right-of-use asset</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Transaction related bonus payment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260" w:type="dxa"/>
            <w:vAlign w:val="bottom"/>
          </w:tcPr>
          <w:p>
            <w:pPr>
              <w:ind w:left="180"/>
              <w:spacing w:after="0"/>
              <w:rPr>
                <w:sz w:val="20"/>
                <w:szCs w:val="20"/>
                <w:color w:val="auto"/>
              </w:rPr>
            </w:pPr>
            <w:r>
              <w:rPr>
                <w:rFonts w:ascii="Arial" w:cs="Arial" w:eastAsia="Arial" w:hAnsi="Arial"/>
                <w:sz w:val="17"/>
                <w:szCs w:val="17"/>
                <w:color w:val="auto"/>
              </w:rPr>
              <w:t>Transaction costs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31,712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Average Monthly Revenue Per Paying Client</w:t>
      </w:r>
    </w:p>
    <w:p>
      <w:pPr>
        <w:spacing w:after="0" w:line="243"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We have consistently grown our monthly revenue per paying client, reflecting the increased functionality we have provided over time with our WM Business software solutions and the increased retailer density within the markets we serve.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definition:</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66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4"/>
                <w:szCs w:val="14"/>
                <w:color w:val="auto"/>
              </w:rPr>
            </w:pPr>
          </w:p>
        </w:tc>
        <w:tc>
          <w:tcPr>
            <w:tcW w:w="2260" w:type="dxa"/>
            <w:vAlign w:val="bottom"/>
            <w:gridSpan w:val="4"/>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9"/>
        </w:trPr>
        <w:tc>
          <w:tcPr>
            <w:tcW w:w="6020" w:type="dxa"/>
            <w:vAlign w:val="bottom"/>
          </w:tcPr>
          <w:p>
            <w:pPr>
              <w:spacing w:after="0"/>
              <w:rPr>
                <w:sz w:val="15"/>
                <w:szCs w:val="15"/>
                <w:color w:val="auto"/>
              </w:rPr>
            </w:pPr>
          </w:p>
        </w:tc>
        <w:tc>
          <w:tcPr>
            <w:tcW w:w="2660" w:type="dxa"/>
            <w:vAlign w:val="bottom"/>
            <w:gridSpan w:val="6"/>
            <w:vMerge w:val="continue"/>
          </w:tcPr>
          <w:p>
            <w:pPr>
              <w:spacing w:after="0"/>
              <w:rPr>
                <w:sz w:val="15"/>
                <w:szCs w:val="15"/>
                <w:color w:val="auto"/>
              </w:rPr>
            </w:pPr>
          </w:p>
        </w:tc>
        <w:tc>
          <w:tcPr>
            <w:tcW w:w="300" w:type="dxa"/>
            <w:vAlign w:val="bottom"/>
          </w:tcPr>
          <w:p>
            <w:pPr>
              <w:spacing w:after="0"/>
              <w:rPr>
                <w:sz w:val="15"/>
                <w:szCs w:val="15"/>
                <w:color w:val="auto"/>
              </w:rPr>
            </w:pPr>
          </w:p>
        </w:tc>
        <w:tc>
          <w:tcPr>
            <w:tcW w:w="2260" w:type="dxa"/>
            <w:vAlign w:val="bottom"/>
            <w:gridSpan w:val="4"/>
          </w:tcPr>
          <w:p>
            <w:pPr>
              <w:ind w:left="40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monthly revenue per paying client</w:t>
            </w:r>
          </w:p>
        </w:tc>
        <w:tc>
          <w:tcPr>
            <w:tcW w:w="780" w:type="dxa"/>
            <w:vAlign w:val="bottom"/>
            <w:shd w:val="clear" w:color="auto" w:fill="CCEEFF"/>
          </w:tcPr>
          <w:p>
            <w:pPr>
              <w:jc w:val="right"/>
              <w:ind w:right="606"/>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3,817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7"/>
                <w:szCs w:val="17"/>
                <w:color w:val="auto"/>
              </w:rPr>
              <w:t>3,682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Prior definition¹:</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66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4"/>
                <w:szCs w:val="14"/>
                <w:color w:val="auto"/>
              </w:rPr>
            </w:pPr>
          </w:p>
        </w:tc>
        <w:tc>
          <w:tcPr>
            <w:tcW w:w="2260" w:type="dxa"/>
            <w:vAlign w:val="bottom"/>
            <w:gridSpan w:val="4"/>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9"/>
        </w:trPr>
        <w:tc>
          <w:tcPr>
            <w:tcW w:w="6020" w:type="dxa"/>
            <w:vAlign w:val="bottom"/>
          </w:tcPr>
          <w:p>
            <w:pPr>
              <w:spacing w:after="0"/>
              <w:rPr>
                <w:sz w:val="15"/>
                <w:szCs w:val="15"/>
                <w:color w:val="auto"/>
              </w:rPr>
            </w:pPr>
          </w:p>
        </w:tc>
        <w:tc>
          <w:tcPr>
            <w:tcW w:w="2660" w:type="dxa"/>
            <w:vAlign w:val="bottom"/>
            <w:gridSpan w:val="6"/>
            <w:vMerge w:val="continue"/>
          </w:tcPr>
          <w:p>
            <w:pPr>
              <w:spacing w:after="0"/>
              <w:rPr>
                <w:sz w:val="15"/>
                <w:szCs w:val="15"/>
                <w:color w:val="auto"/>
              </w:rPr>
            </w:pPr>
          </w:p>
        </w:tc>
        <w:tc>
          <w:tcPr>
            <w:tcW w:w="300" w:type="dxa"/>
            <w:vAlign w:val="bottom"/>
          </w:tcPr>
          <w:p>
            <w:pPr>
              <w:spacing w:after="0"/>
              <w:rPr>
                <w:sz w:val="15"/>
                <w:szCs w:val="15"/>
                <w:color w:val="auto"/>
              </w:rPr>
            </w:pPr>
          </w:p>
        </w:tc>
        <w:tc>
          <w:tcPr>
            <w:tcW w:w="2260" w:type="dxa"/>
            <w:vAlign w:val="bottom"/>
            <w:gridSpan w:val="4"/>
          </w:tcPr>
          <w:p>
            <w:pPr>
              <w:ind w:left="40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Monthly revenue per paying client</w:t>
            </w:r>
          </w:p>
        </w:tc>
        <w:tc>
          <w:tcPr>
            <w:tcW w:w="780" w:type="dxa"/>
            <w:vAlign w:val="bottom"/>
            <w:shd w:val="clear" w:color="auto" w:fill="CCEEFF"/>
          </w:tcPr>
          <w:p>
            <w:pPr>
              <w:jc w:val="right"/>
              <w:ind w:right="606"/>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3,768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7"/>
                <w:szCs w:val="17"/>
                <w:color w:val="auto"/>
              </w:rPr>
              <w:t>3,768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3,678</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w:t>
      </w:r>
    </w:p>
    <w:p>
      <w:pPr>
        <w:spacing w:after="0" w:line="20" w:lineRule="exact"/>
        <w:rPr>
          <w:sz w:val="20"/>
          <w:szCs w:val="20"/>
          <w:color w:val="auto"/>
        </w:rPr>
      </w:pPr>
    </w:p>
    <w:p>
      <w:pPr>
        <w:jc w:val="both"/>
        <w:ind w:firstLine="3"/>
        <w:spacing w:after="0" w:line="256" w:lineRule="auto"/>
        <w:tabs>
          <w:tab w:leader="none" w:pos="9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previously calculated average monthly revenue per paying client by dividing total monthly revenue for the last month of any particular period by the number of paying clients in that last month of a particular period. We changed our definition because we believe using monthly revenue across the entire period is a better reflection of our results during such period than monthly revenue for only the last month of the period and believe our modified definition will be less susceptible to monthly fluctuations and therefore more reliable when comparing period-to-period results.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Average Monthly Paying Clients</w:t>
      </w:r>
    </w:p>
    <w:p>
      <w:pPr>
        <w:spacing w:after="0" w:line="346"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6"/>
          <w:szCs w:val="16"/>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While we have historically seen consistent growth in the number of our paying clients, we saw a decline starting in late 2017 through the first half of 2018 that we believe was driven by the uncertainty around legalization of adult-use cannabis by California on January 2, 2018. The first half of 2018 was a transition period within the state of California during which only temporary licenses were granted to local retailers and the status and scope of permanent licenses was uncertain. During such time, we experienced a decline in paying clients, which moderated in the second half of 2018 when we saw our results in California to begin to return to more typical patterns. On December 31, 2019, we discontinued our service to California-based clients who failed to provide valid licensing information, in accordance with our prior announcement in August 2019 to support only licensed cannabis retail operators and their partners on our platform. As a result, we experienced a high level of client churn in January as a result of the elimination of these operators. In June 2020, we initiated a similar effort in Canada to discontinue services to Canada-based retail operators clients who failed to provide valid license information, which drove a decline in paying clients beginning in September 2020. This reset of Canada was completed on November 30, 2020.</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definition:</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66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2560" w:type="dxa"/>
            <w:vAlign w:val="bottom"/>
            <w:gridSpan w:val="3"/>
          </w:tcPr>
          <w:p>
            <w:pPr>
              <w:ind w:lef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9"/>
        </w:trPr>
        <w:tc>
          <w:tcPr>
            <w:tcW w:w="60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2560" w:type="dxa"/>
            <w:vAlign w:val="bottom"/>
            <w:gridSpan w:val="3"/>
          </w:tcPr>
          <w:p>
            <w:pPr>
              <w:ind w:left="70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Average monthly paying clients</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4,444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ind w:left="780"/>
              <w:spacing w:after="0"/>
              <w:rPr>
                <w:sz w:val="20"/>
                <w:szCs w:val="20"/>
                <w:color w:val="auto"/>
              </w:rPr>
            </w:pPr>
            <w:r>
              <w:rPr>
                <w:rFonts w:ascii="Arial" w:cs="Arial" w:eastAsia="Arial" w:hAnsi="Arial"/>
                <w:sz w:val="17"/>
                <w:szCs w:val="17"/>
                <w:color w:val="auto"/>
              </w:rPr>
              <w:t>4,194</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4,233</w:t>
            </w:r>
          </w:p>
        </w:tc>
        <w:tc>
          <w:tcPr>
            <w:tcW w:w="0" w:type="dxa"/>
            <w:vAlign w:val="bottom"/>
          </w:tcPr>
          <w:p>
            <w:pPr>
              <w:spacing w:after="0"/>
              <w:rPr>
                <w:sz w:val="1"/>
                <w:szCs w:val="1"/>
                <w:color w:val="auto"/>
              </w:rPr>
            </w:pPr>
          </w:p>
        </w:tc>
      </w:tr>
      <w:tr>
        <w:trPr>
          <w:trHeight w:val="617"/>
        </w:trPr>
        <w:tc>
          <w:tcPr>
            <w:tcW w:w="6800" w:type="dxa"/>
            <w:vAlign w:val="bottom"/>
            <w:gridSpan w:val="2"/>
          </w:tcPr>
          <w:p>
            <w:pPr>
              <w:spacing w:after="0"/>
              <w:rPr>
                <w:sz w:val="20"/>
                <w:szCs w:val="20"/>
                <w:color w:val="auto"/>
              </w:rPr>
            </w:pPr>
            <w:r>
              <w:rPr>
                <w:rFonts w:ascii="Arial" w:cs="Arial" w:eastAsia="Arial" w:hAnsi="Arial"/>
                <w:sz w:val="17"/>
                <w:szCs w:val="17"/>
                <w:i w:val="1"/>
                <w:iCs w:val="1"/>
                <w:color w:val="auto"/>
              </w:rPr>
              <w:t>Prior definition¹:</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6020" w:type="dxa"/>
            <w:vAlign w:val="bottom"/>
          </w:tcPr>
          <w:p>
            <w:pPr>
              <w:spacing w:after="0"/>
              <w:rPr>
                <w:sz w:val="24"/>
                <w:szCs w:val="24"/>
                <w:color w:val="auto"/>
              </w:rPr>
            </w:pPr>
          </w:p>
        </w:tc>
        <w:tc>
          <w:tcPr>
            <w:tcW w:w="266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2560" w:type="dxa"/>
            <w:vAlign w:val="bottom"/>
            <w:gridSpan w:val="3"/>
          </w:tcPr>
          <w:p>
            <w:pPr>
              <w:ind w:lef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9"/>
        </w:trPr>
        <w:tc>
          <w:tcPr>
            <w:tcW w:w="60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2560" w:type="dxa"/>
            <w:vAlign w:val="bottom"/>
            <w:gridSpan w:val="3"/>
          </w:tcPr>
          <w:p>
            <w:pPr>
              <w:ind w:left="70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Paying clients</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4,559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ind w:left="780"/>
              <w:spacing w:after="0"/>
              <w:rPr>
                <w:sz w:val="20"/>
                <w:szCs w:val="20"/>
                <w:color w:val="auto"/>
              </w:rPr>
            </w:pPr>
            <w:r>
              <w:rPr>
                <w:rFonts w:ascii="Arial" w:cs="Arial" w:eastAsia="Arial" w:hAnsi="Arial"/>
                <w:sz w:val="17"/>
                <w:szCs w:val="17"/>
                <w:color w:val="auto"/>
              </w:rPr>
              <w:t>4,559</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4,171</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w:t>
      </w:r>
    </w:p>
    <w:p>
      <w:pPr>
        <w:spacing w:after="0" w:line="14" w:lineRule="exact"/>
        <w:rPr>
          <w:sz w:val="20"/>
          <w:szCs w:val="20"/>
          <w:color w:val="auto"/>
        </w:rPr>
      </w:pPr>
    </w:p>
    <w:p>
      <w:pPr>
        <w:jc w:val="both"/>
        <w:ind w:firstLine="3"/>
        <w:spacing w:after="0" w:line="266" w:lineRule="auto"/>
        <w:tabs>
          <w:tab w:leader="none" w:pos="94"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previously defined paying clients, which was defined as the number of clients billed during the last month of a particular period. We changed our metric because we believe using the average number of paying clients across the entire period is a better reflection of our results during such period than the average paying clients for only the last month of the period and believe our modified definition will be less susceptible to monthly fluctuations and therefore more reliable when comparing period-to-period results.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MAUs</w:t>
      </w:r>
    </w:p>
    <w:p>
      <w:pPr>
        <w:spacing w:after="0" w:line="346"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5"/>
          <w:szCs w:val="15"/>
          <w:color w:val="auto"/>
        </w:rPr>
        <w:t>We define MAUs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 Beginning in March 2021, we began tracking and including the MAUs related to the Learn section on weedmaps.com into our calculation of MAUs. We view the number of MAUs as a key indicator of our growth, the breadth and reach of our weedmaps.com site, the value proposition and consumer awareness of our brand, the continued use of our sites by our users and their level of interest in the cannabis industry.</w:t>
      </w:r>
    </w:p>
    <w:p>
      <w:pPr>
        <w:spacing w:after="0" w:line="49"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5"/>
          <w:szCs w:val="15"/>
          <w:color w:val="auto"/>
        </w:rPr>
        <w:t>As our business has grown, our MAUs increased each year from 2018 through 2020. This increase is due to a number of factors including, but not limited to, our continued expansion into new markets, further investments in our existing markets, increase in marketing spend, including web advertising, and the general increased awareness of our platform as the cannabis industry has grown and jurisdictions experience continued legalization of cannabis for medical and/or adult use. We also believe we were increasingly efficient with our marketing spend and, therefore, have been able to acquire users at lower costs. However, as our platform has grown organically, our MAU growth rates have at times naturally slowed and we may experience similarly slower growth rates in the future, even if we continue to add MAUs on an absolute basis. While it is not possible to identify all drivers of a change in any given period, an increase or decrease in digital marketing spend as well as significant market shifts including the removal of clients who fail to provide valid licensing information in certain markets can have outsized impacts on MAU growth. We cannot determine what, if any, impact the pandemic had on our MAU growth in 2020.</w:t>
      </w:r>
    </w:p>
    <w:p>
      <w:pPr>
        <w:spacing w:after="0" w:line="57"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Since the beginning of the pandemic, we have continued to grow our MAUs, reaching 13.9 million at September 30, 2021. While we believe, like other industries, the pandemic accelerated existing trends towards consumer adoption of online platforms, we cannot be certain to what impact, if any, the end of the pandemic will have on our MAUs or MAU growth.</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as we increase MAUs, we increase the value of our bundled SaaS solutions to business customers.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definition:</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520" w:type="dxa"/>
            <w:vAlign w:val="bottom"/>
          </w:tcPr>
          <w:p>
            <w:pPr>
              <w:spacing w:after="0"/>
              <w:rPr>
                <w:sz w:val="15"/>
                <w:szCs w:val="15"/>
                <w:color w:val="auto"/>
              </w:rPr>
            </w:pPr>
          </w:p>
        </w:tc>
        <w:tc>
          <w:tcPr>
            <w:tcW w:w="2720" w:type="dxa"/>
            <w:vAlign w:val="bottom"/>
            <w:gridSpan w:val="3"/>
          </w:tcPr>
          <w:p>
            <w:pPr>
              <w:ind w:left="780"/>
              <w:spacing w:after="0"/>
              <w:rPr>
                <w:sz w:val="20"/>
                <w:szCs w:val="20"/>
                <w:color w:val="auto"/>
              </w:rPr>
            </w:pPr>
            <w:r>
              <w:rPr>
                <w:rFonts w:ascii="Arial" w:cs="Arial" w:eastAsia="Arial" w:hAnsi="Arial"/>
                <w:sz w:val="14"/>
                <w:szCs w:val="14"/>
                <w:b w:val="1"/>
                <w:bCs w:val="1"/>
                <w:color w:val="auto"/>
              </w:rPr>
              <w:t>As of September 30,</w:t>
            </w:r>
          </w:p>
        </w:tc>
      </w:tr>
      <w:tr>
        <w:trPr>
          <w:trHeight w:val="24"/>
        </w:trPr>
        <w:tc>
          <w:tcPr>
            <w:tcW w:w="85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2"/>
        </w:trPr>
        <w:tc>
          <w:tcPr>
            <w:tcW w:w="85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r>
      <w:tr>
        <w:trPr>
          <w:trHeight w:val="213"/>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MAUs (in thousands)</w:t>
            </w:r>
          </w:p>
        </w:tc>
        <w:tc>
          <w:tcPr>
            <w:tcW w:w="1320" w:type="dxa"/>
            <w:vAlign w:val="bottom"/>
            <w:shd w:val="clear" w:color="auto" w:fill="CCEEFF"/>
          </w:tcPr>
          <w:p>
            <w:pPr>
              <w:ind w:left="780"/>
              <w:spacing w:after="0"/>
              <w:rPr>
                <w:sz w:val="20"/>
                <w:szCs w:val="20"/>
                <w:color w:val="auto"/>
              </w:rPr>
            </w:pPr>
            <w:r>
              <w:rPr>
                <w:rFonts w:ascii="Arial" w:cs="Arial" w:eastAsia="Arial" w:hAnsi="Arial"/>
                <w:sz w:val="17"/>
                <w:szCs w:val="17"/>
                <w:color w:val="auto"/>
                <w:w w:val="99"/>
              </w:rPr>
              <w:t>13,907</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10,185</w:t>
            </w:r>
          </w:p>
        </w:tc>
      </w:tr>
      <w:tr>
        <w:trPr>
          <w:trHeight w:val="630"/>
        </w:trPr>
        <w:tc>
          <w:tcPr>
            <w:tcW w:w="8520" w:type="dxa"/>
            <w:vAlign w:val="bottom"/>
          </w:tcPr>
          <w:p>
            <w:pPr>
              <w:spacing w:after="0"/>
              <w:rPr>
                <w:sz w:val="20"/>
                <w:szCs w:val="20"/>
                <w:color w:val="auto"/>
              </w:rPr>
            </w:pPr>
            <w:r>
              <w:rPr>
                <w:rFonts w:ascii="Arial" w:cs="Arial" w:eastAsia="Arial" w:hAnsi="Arial"/>
                <w:sz w:val="17"/>
                <w:szCs w:val="17"/>
                <w:i w:val="1"/>
                <w:iCs w:val="1"/>
                <w:color w:val="auto"/>
              </w:rPr>
              <w:t>Prior definition¹:</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647"/>
        </w:trPr>
        <w:tc>
          <w:tcPr>
            <w:tcW w:w="8520" w:type="dxa"/>
            <w:vAlign w:val="bottom"/>
          </w:tcPr>
          <w:p>
            <w:pPr>
              <w:spacing w:after="0"/>
              <w:rPr>
                <w:sz w:val="24"/>
                <w:szCs w:val="24"/>
                <w:color w:val="auto"/>
              </w:rPr>
            </w:pPr>
          </w:p>
        </w:tc>
        <w:tc>
          <w:tcPr>
            <w:tcW w:w="2720" w:type="dxa"/>
            <w:vAlign w:val="bottom"/>
            <w:gridSpan w:val="3"/>
          </w:tcPr>
          <w:p>
            <w:pPr>
              <w:ind w:left="780"/>
              <w:spacing w:after="0"/>
              <w:rPr>
                <w:sz w:val="20"/>
                <w:szCs w:val="20"/>
                <w:color w:val="auto"/>
              </w:rPr>
            </w:pPr>
            <w:r>
              <w:rPr>
                <w:rFonts w:ascii="Arial" w:cs="Arial" w:eastAsia="Arial" w:hAnsi="Arial"/>
                <w:sz w:val="14"/>
                <w:szCs w:val="14"/>
                <w:b w:val="1"/>
                <w:bCs w:val="1"/>
                <w:color w:val="auto"/>
              </w:rPr>
              <w:t>As of September 30,</w:t>
            </w:r>
          </w:p>
        </w:tc>
      </w:tr>
      <w:tr>
        <w:trPr>
          <w:trHeight w:val="24"/>
        </w:trPr>
        <w:tc>
          <w:tcPr>
            <w:tcW w:w="85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2"/>
        </w:trPr>
        <w:tc>
          <w:tcPr>
            <w:tcW w:w="85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r>
      <w:tr>
        <w:trPr>
          <w:trHeight w:val="213"/>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MAUs (in thousands)</w:t>
            </w:r>
          </w:p>
        </w:tc>
        <w:tc>
          <w:tcPr>
            <w:tcW w:w="1320" w:type="dxa"/>
            <w:vAlign w:val="bottom"/>
            <w:shd w:val="clear" w:color="auto" w:fill="CCEEFF"/>
          </w:tcPr>
          <w:p>
            <w:pPr>
              <w:ind w:left="780"/>
              <w:spacing w:after="0"/>
              <w:rPr>
                <w:sz w:val="20"/>
                <w:szCs w:val="20"/>
                <w:color w:val="auto"/>
              </w:rPr>
            </w:pPr>
            <w:r>
              <w:rPr>
                <w:rFonts w:ascii="Arial" w:cs="Arial" w:eastAsia="Arial" w:hAnsi="Arial"/>
                <w:sz w:val="17"/>
                <w:szCs w:val="17"/>
                <w:color w:val="auto"/>
                <w:w w:val="99"/>
              </w:rPr>
              <w:t>13,028</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10,185</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w:t>
      </w:r>
    </w:p>
    <w:p>
      <w:pPr>
        <w:spacing w:after="0" w:line="7" w:lineRule="exact"/>
        <w:rPr>
          <w:sz w:val="20"/>
          <w:szCs w:val="20"/>
          <w:color w:val="auto"/>
        </w:rPr>
      </w:pPr>
    </w:p>
    <w:p>
      <w:pPr>
        <w:ind w:firstLine="3"/>
        <w:spacing w:after="0" w:line="283" w:lineRule="auto"/>
        <w:tabs>
          <w:tab w:leader="none" w:pos="89" w:val="left"/>
        </w:tabs>
        <w:numPr>
          <w:ilvl w:val="0"/>
          <w:numId w:val="22"/>
        </w:numPr>
        <w:rPr>
          <w:rFonts w:ascii="Arial" w:cs="Arial" w:eastAsia="Arial" w:hAnsi="Arial"/>
          <w:sz w:val="14"/>
          <w:szCs w:val="14"/>
          <w:color w:val="auto"/>
        </w:rPr>
      </w:pPr>
      <w:r>
        <w:rPr>
          <w:rFonts w:ascii="Arial" w:cs="Arial" w:eastAsia="Arial" w:hAnsi="Arial"/>
          <w:sz w:val="14"/>
          <w:szCs w:val="14"/>
          <w:color w:val="auto"/>
        </w:rPr>
        <w:t>When calculating our MAUs, we previously excluded the MAUs attributed to the Learn section of weedmaps.com, which we began tracking in March 2021. We believe including MAUs from the Learn section of weedmaps.com more accurately reflects our total MAUs. MAUs as of dates prior to March 31, 2021 do not include MAUs from our Learn section.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Growth of Our Two-Sided Weedmaps Listings Marketplace</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have historically grown through and intend to focus on continuing to grow through the expansion of our two-sided listings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Growth and Retention of Our Paying Clients</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marketplace and leveraging our software solutions. Our monthly net dollar retention, which is defined as total revenue from clients in a given month who were paying clients in the immediately preceding month, averaged at 101% in the first nine months of 2021. Our monthly net dollar retention averaged 100% for the eleven months between February 1 and December 31, 2020 (we exclude January 2020 given the high level of client churn that we experienced as a result of our decision to remove clients in California who failed to provide valid licensing information at the end of 2019). We removed our paid Canada-based retail operator clients who failed to provide valid license information beginning in September 2020 (following the earlier removal of such Canada-based clients who were receiving free listing subscriptions), which resulted in a decrease in our overall net dollar retention by 7% for the period from September 2020 to December 2020. For fiscal years 2018-2019, our monthly net dollar retention averaged 98%.</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and Maturation of Cannabis Markets</w:t>
      </w:r>
    </w:p>
    <w:p>
      <w:pPr>
        <w:spacing w:after="0" w:line="114"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We believe that we will have significant opportunities for greater growth as more jurisdictions legalize cannabis for medical and/or adult use and the regulatory environment continues to develop. Thirty-seven U.S. states, the District of Columbia, Puerto Rico, and several U.S. territories have legalized some form of whole-plant cannabis cultivation, sales, and use for certain medical purposes. Eighteen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8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We also have a significant opportunity to monetize transactions originating from users engaging with a retailer on the Weedmaps listings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80"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Brand Recognition and Reputation</w:t>
      </w:r>
    </w:p>
    <w:p>
      <w:pPr>
        <w:spacing w:after="0" w:line="114" w:lineRule="exact"/>
        <w:rPr>
          <w:sz w:val="20"/>
          <w:szCs w:val="20"/>
          <w:color w:val="auto"/>
        </w:rPr>
      </w:pPr>
    </w:p>
    <w:p>
      <w:pPr>
        <w:jc w:val="both"/>
        <w:ind w:firstLine="464"/>
        <w:spacing w:after="0" w:line="299" w:lineRule="auto"/>
        <w:rPr>
          <w:sz w:val="20"/>
          <w:szCs w:val="20"/>
          <w:color w:val="auto"/>
        </w:rPr>
      </w:pPr>
      <w:r>
        <w:rPr>
          <w:rFonts w:ascii="Arial" w:cs="Arial" w:eastAsia="Arial" w:hAnsi="Arial"/>
          <w:sz w:val="15"/>
          <w:szCs w:val="15"/>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51"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8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in Growth</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intend to continue to make focused organic and inorganic investments to grow our revenue and scale operations to support that growth.</w:t>
      </w:r>
    </w:p>
    <w:p>
      <w:pPr>
        <w:spacing w:after="0" w:line="114"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During the three months ended September 30, 2021, we completed two acquisitions.</w:t>
      </w:r>
    </w:p>
    <w:p>
      <w:pPr>
        <w:spacing w:after="0" w:line="11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On September 3, 2021, the Company acquired certain assets of the Sprout business (“Sprout"), a leading, cloud-based customer relationship management (“CRM”) and marketing platform for the cannabis industry.</w:t>
      </w:r>
    </w:p>
    <w:p>
      <w:pPr>
        <w:spacing w:after="0" w:line="6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September 29, 2021, the Company acquired all of the equity interests of Transport Logistics Holding Company, LLC (“TLH”), which is the parent company of Cannveya &amp; CannCurrent. Cannveya is a logistics platform that enables the compliant delivery of cannabis and CannCurrent is a technology integrations and connectors platform facilitating custom integrations with third party technology providers.</w:t>
      </w:r>
    </w:p>
    <w:p>
      <w:pPr>
        <w:spacing w:after="0" w:line="7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are working towards the integration of these businesses and will invest in them appropriately to scale both solutions in the fiscal year 2022. We will also continue to explore inorganic opportunities that can help support and accelerate growth opportunities and new market openings.</w:t>
      </w:r>
    </w:p>
    <w:p>
      <w:pPr>
        <w:spacing w:after="0" w:line="6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operating expenses and capital expenditures fluctuate over time, we may accordingly experience short-term, negative impacts to our operating results and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4"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generate revenue from the sale of our subscription offerings, which consist of access to the Weedmaps listings marketplace and SaaS solutions, as well as our additional offerings, which include featured listings placements, nearby listings, deal promotions and display advertising products. Our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We also have generated revenue in the past on delivery orders placed through weedmaps.com, though this revenue was discontinued effective January 1, 2021, when we migrated clients to our new WM Business subscription offering. For clients that pay us in advance for listing and placement subscriptions services we record deferred revenue and recognizes revenue over the applicable subscription term.</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Cost of revenue primarily consists of web hosting, internet service, and credit card processing costs. Cost of sales is primarily driven by increases in revenue leading to increases in credit card processing and web hosting cost. We expect our cost of revenue to continue to increase on an absolute basis and remain relatively flat as a percentage of revenue as we scale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and Marketing Expenses</w:t>
      </w:r>
    </w:p>
    <w:p>
      <w:pPr>
        <w:spacing w:after="0" w:line="114" w:lineRule="exact"/>
        <w:rPr>
          <w:sz w:val="20"/>
          <w:szCs w:val="20"/>
          <w:color w:val="auto"/>
        </w:rPr>
      </w:pPr>
    </w:p>
    <w:p>
      <w:pPr>
        <w:jc w:val="both"/>
        <w:ind w:firstLine="464"/>
        <w:spacing w:after="0" w:line="307" w:lineRule="auto"/>
        <w:rPr>
          <w:sz w:val="20"/>
          <w:szCs w:val="20"/>
          <w:color w:val="auto"/>
        </w:rPr>
      </w:pPr>
      <w:r>
        <w:rPr>
          <w:rFonts w:ascii="Arial" w:cs="Arial" w:eastAsia="Arial" w:hAnsi="Arial"/>
          <w:sz w:val="15"/>
          <w:szCs w:val="15"/>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Development Expenses</w:t>
      </w:r>
    </w:p>
    <w:p>
      <w:pPr>
        <w:spacing w:after="0" w:line="114"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14"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5"/>
          <w:szCs w:val="15"/>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 Expenses</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Depreciation and amortization expenses primarily consist of depreciation on computer equipment, furniture and fixtures, leasehold improvements, and amortization of purchased intangibles. We expect depreciation and amortization expenses to increase on an absolute basis for the foreseeable future as we scale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Other expense consists primarily of political contributions, interest expense, legal settlements, financing fees and other tax related expenses. Other income consists of change in fair value of warrant liability.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0"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60" w:type="dxa"/>
            <w:vAlign w:val="bottom"/>
          </w:tcPr>
          <w:p>
            <w:pPr>
              <w:spacing w:after="0"/>
              <w:rPr>
                <w:sz w:val="21"/>
                <w:szCs w:val="21"/>
                <w:color w:val="auto"/>
              </w:rPr>
            </w:pPr>
          </w:p>
        </w:tc>
        <w:tc>
          <w:tcPr>
            <w:tcW w:w="3180" w:type="dxa"/>
            <w:vAlign w:val="bottom"/>
            <w:gridSpan w:val="6"/>
          </w:tcPr>
          <w:p>
            <w:pPr>
              <w:ind w:left="180"/>
              <w:spacing w:after="0"/>
              <w:rPr>
                <w:sz w:val="20"/>
                <w:szCs w:val="20"/>
                <w:color w:val="auto"/>
              </w:rPr>
            </w:pPr>
            <w:r>
              <w:rPr>
                <w:rFonts w:ascii="Arial" w:cs="Arial" w:eastAsia="Arial" w:hAnsi="Arial"/>
                <w:sz w:val="17"/>
                <w:szCs w:val="17"/>
                <w:b w:val="1"/>
                <w:bCs w:val="1"/>
                <w:color w:val="auto"/>
              </w:rPr>
              <w:t>Three Months Ended September 30,</w:t>
            </w:r>
          </w:p>
        </w:tc>
        <w:tc>
          <w:tcPr>
            <w:tcW w:w="160" w:type="dxa"/>
            <w:vAlign w:val="bottom"/>
          </w:tcPr>
          <w:p>
            <w:pPr>
              <w:spacing w:after="0"/>
              <w:rPr>
                <w:sz w:val="21"/>
                <w:szCs w:val="21"/>
                <w:color w:val="auto"/>
              </w:rPr>
            </w:pPr>
          </w:p>
        </w:tc>
        <w:tc>
          <w:tcPr>
            <w:tcW w:w="2840" w:type="dxa"/>
            <w:vAlign w:val="bottom"/>
            <w:gridSpan w:val="4"/>
          </w:tcPr>
          <w:p>
            <w:pPr>
              <w:jc w:val="right"/>
              <w:ind w:right="134"/>
              <w:spacing w:after="0"/>
              <w:rPr>
                <w:sz w:val="20"/>
                <w:szCs w:val="20"/>
                <w:color w:val="auto"/>
              </w:rPr>
            </w:pPr>
            <w:r>
              <w:rPr>
                <w:rFonts w:ascii="Arial" w:cs="Arial" w:eastAsia="Arial" w:hAnsi="Arial"/>
                <w:sz w:val="17"/>
                <w:szCs w:val="17"/>
                <w:b w:val="1"/>
                <w:bCs w:val="1"/>
                <w:color w:val="auto"/>
                <w:w w:val="92"/>
              </w:rPr>
              <w:t>Nine Months Ended September 30,</w:t>
            </w:r>
          </w:p>
        </w:tc>
      </w:tr>
      <w:tr>
        <w:trPr>
          <w:trHeight w:val="213"/>
        </w:trPr>
        <w:tc>
          <w:tcPr>
            <w:tcW w:w="50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2020</w:t>
            </w:r>
          </w:p>
        </w:tc>
      </w:tr>
      <w:tr>
        <w:trPr>
          <w:trHeight w:val="212"/>
        </w:trPr>
        <w:tc>
          <w:tcPr>
            <w:tcW w:w="5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ind w:left="700"/>
              <w:spacing w:after="0"/>
              <w:rPr>
                <w:sz w:val="20"/>
                <w:szCs w:val="20"/>
                <w:color w:val="auto"/>
              </w:rPr>
            </w:pPr>
            <w:r>
              <w:rPr>
                <w:rFonts w:ascii="Arial" w:cs="Arial" w:eastAsia="Arial" w:hAnsi="Arial"/>
                <w:sz w:val="17"/>
                <w:szCs w:val="17"/>
                <w:b w:val="1"/>
                <w:bCs w:val="1"/>
                <w:color w:val="auto"/>
              </w:rPr>
              <w:t>(in thousands)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50,884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46,505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117,470</w:t>
            </w:r>
          </w:p>
        </w:tc>
      </w:tr>
      <w:tr>
        <w:trPr>
          <w:trHeight w:val="245"/>
        </w:trPr>
        <w:tc>
          <w:tcPr>
            <w:tcW w:w="5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8"/>
        </w:trPr>
        <w:tc>
          <w:tcPr>
            <w:tcW w:w="5060" w:type="dxa"/>
            <w:vAlign w:val="bottom"/>
          </w:tcPr>
          <w:p>
            <w:pPr>
              <w:ind w:left="180"/>
              <w:spacing w:after="0"/>
              <w:rPr>
                <w:sz w:val="20"/>
                <w:szCs w:val="20"/>
                <w:color w:val="auto"/>
              </w:rPr>
            </w:pPr>
            <w:r>
              <w:rPr>
                <w:rFonts w:ascii="Arial" w:cs="Arial" w:eastAsia="Arial" w:hAnsi="Arial"/>
                <w:sz w:val="17"/>
                <w:szCs w:val="17"/>
                <w:color w:val="auto"/>
              </w:rPr>
              <w:t>Cost of revenues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2,035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5,800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5,572</w:t>
            </w:r>
          </w:p>
        </w:tc>
      </w:tr>
      <w:tr>
        <w:trPr>
          <w:trHeight w:val="220"/>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12,806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21,437</w:t>
            </w:r>
          </w:p>
        </w:tc>
      </w:tr>
      <w:tr>
        <w:trPr>
          <w:trHeight w:val="218"/>
        </w:trPr>
        <w:tc>
          <w:tcPr>
            <w:tcW w:w="5060" w:type="dxa"/>
            <w:vAlign w:val="bottom"/>
          </w:tcPr>
          <w:p>
            <w:pPr>
              <w:ind w:left="180"/>
              <w:spacing w:after="0"/>
              <w:rPr>
                <w:sz w:val="20"/>
                <w:szCs w:val="20"/>
                <w:color w:val="auto"/>
              </w:rPr>
            </w:pPr>
            <w:r>
              <w:rPr>
                <w:rFonts w:ascii="Arial" w:cs="Arial" w:eastAsia="Arial" w:hAnsi="Arial"/>
                <w:sz w:val="17"/>
                <w:szCs w:val="17"/>
                <w:color w:val="auto"/>
              </w:rPr>
              <w:t>Product development</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7,782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6,923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25,921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20,325</w:t>
            </w:r>
          </w:p>
        </w:tc>
      </w:tr>
      <w:tr>
        <w:trPr>
          <w:trHeight w:val="220"/>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23,220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37,147</w:t>
            </w:r>
          </w:p>
        </w:tc>
      </w:tr>
      <w:tr>
        <w:trPr>
          <w:trHeight w:val="218"/>
        </w:trPr>
        <w:tc>
          <w:tcPr>
            <w:tcW w:w="50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Depreciation and amortization</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2,980</w:t>
            </w:r>
          </w:p>
        </w:tc>
      </w:tr>
      <w:tr>
        <w:trPr>
          <w:trHeight w:val="213"/>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operating expenses</w:t>
            </w: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46,823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30,313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142,241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87,461</w:t>
            </w:r>
          </w:p>
        </w:tc>
      </w:tr>
      <w:tr>
        <w:trPr>
          <w:trHeight w:val="211"/>
        </w:trPr>
        <w:tc>
          <w:tcPr>
            <w:tcW w:w="5060" w:type="dxa"/>
            <w:vAlign w:val="bottom"/>
          </w:tcPr>
          <w:p>
            <w:pPr>
              <w:ind w:left="220"/>
              <w:spacing w:after="0"/>
              <w:rPr>
                <w:sz w:val="20"/>
                <w:szCs w:val="20"/>
                <w:color w:val="auto"/>
              </w:rPr>
            </w:pPr>
            <w:r>
              <w:rPr>
                <w:rFonts w:ascii="Arial" w:cs="Arial" w:eastAsia="Arial" w:hAnsi="Arial"/>
                <w:sz w:val="17"/>
                <w:szCs w:val="17"/>
                <w:color w:val="auto"/>
              </w:rPr>
              <w:t>Operating income (loss)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4,061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16,192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30,009</w:t>
            </w:r>
          </w:p>
        </w:tc>
      </w:tr>
      <w:tr>
        <w:trPr>
          <w:trHeight w:val="220"/>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8"/>
        </w:trPr>
        <w:tc>
          <w:tcPr>
            <w:tcW w:w="5060" w:type="dxa"/>
            <w:vAlign w:val="bottom"/>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8"/>
              </w:rPr>
              <w:t>45,837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83,628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expense, net</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(1,277)</w:t>
            </w:r>
          </w:p>
        </w:tc>
      </w:tr>
      <w:tr>
        <w:trPr>
          <w:trHeight w:val="211"/>
        </w:trPr>
        <w:tc>
          <w:tcPr>
            <w:tcW w:w="5060" w:type="dxa"/>
            <w:vAlign w:val="bottom"/>
          </w:tcPr>
          <w:p>
            <w:pPr>
              <w:ind w:left="220"/>
              <w:spacing w:after="0"/>
              <w:rPr>
                <w:sz w:val="20"/>
                <w:szCs w:val="20"/>
                <w:color w:val="auto"/>
              </w:rPr>
            </w:pPr>
            <w:r>
              <w:rPr>
                <w:rFonts w:ascii="Arial" w:cs="Arial" w:eastAsia="Arial" w:hAnsi="Arial"/>
                <w:sz w:val="17"/>
                <w:szCs w:val="17"/>
                <w:color w:val="auto"/>
              </w:rPr>
              <w:t>Income before income taxes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8"/>
              </w:rPr>
              <w:t>49,598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15,530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74,015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28,732</w:t>
            </w:r>
          </w:p>
        </w:tc>
      </w:tr>
      <w:tr>
        <w:trPr>
          <w:trHeight w:val="220"/>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5060" w:type="dxa"/>
            <w:vAlign w:val="bottom"/>
          </w:tcPr>
          <w:p>
            <w:pPr>
              <w:ind w:left="120"/>
              <w:spacing w:after="0"/>
              <w:rPr>
                <w:sz w:val="20"/>
                <w:szCs w:val="20"/>
                <w:color w:val="auto"/>
              </w:rPr>
            </w:pPr>
            <w:r>
              <w:rPr>
                <w:rFonts w:ascii="Arial" w:cs="Arial" w:eastAsia="Arial" w:hAnsi="Arial"/>
                <w:sz w:val="17"/>
                <w:szCs w:val="17"/>
                <w:color w:val="auto"/>
              </w:rPr>
              <w:t>Net income</w:t>
            </w: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49,205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15,530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73,773</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28,732</w:t>
            </w:r>
          </w:p>
        </w:tc>
      </w:tr>
      <w:tr>
        <w:trPr>
          <w:trHeight w:val="219"/>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income attributable to noncontrolling interests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28,370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060" w:type="dxa"/>
            <w:vAlign w:val="bottom"/>
          </w:tcPr>
          <w:p>
            <w:pPr>
              <w:ind w:left="120"/>
              <w:spacing w:after="0"/>
              <w:rPr>
                <w:sz w:val="20"/>
                <w:szCs w:val="20"/>
                <w:color w:val="auto"/>
              </w:rPr>
            </w:pPr>
            <w:r>
              <w:rPr>
                <w:rFonts w:ascii="Arial" w:cs="Arial" w:eastAsia="Arial" w:hAnsi="Arial"/>
                <w:sz w:val="17"/>
                <w:szCs w:val="17"/>
                <w:color w:val="auto"/>
              </w:rPr>
              <w:t>Net income attributable to WM Technology, Inc.</w:t>
            </w:r>
          </w:p>
        </w:tc>
        <w:tc>
          <w:tcPr>
            <w:tcW w:w="92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20,835</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15,530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25,098</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28,732</w:t>
            </w:r>
          </w:p>
        </w:tc>
      </w:tr>
      <w:tr>
        <w:trPr>
          <w:trHeight w:val="20"/>
        </w:trPr>
        <w:tc>
          <w:tcPr>
            <w:tcW w:w="5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5"/>
        </w:trPr>
        <w:tc>
          <w:tcPr>
            <w:tcW w:w="490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2"/>
        </w:trPr>
        <w:tc>
          <w:tcPr>
            <w:tcW w:w="1220" w:type="dxa"/>
            <w:vAlign w:val="bottom"/>
            <w:tcBorders>
              <w:top w:val="single" w:sz="8" w:color="0000FF"/>
            </w:tcBorders>
          </w:tcPr>
          <w:p>
            <w:pPr>
              <w:spacing w:after="0"/>
              <w:rPr>
                <w:sz w:val="24"/>
                <w:szCs w:val="24"/>
                <w:color w:val="auto"/>
              </w:rPr>
            </w:pPr>
          </w:p>
        </w:tc>
        <w:tc>
          <w:tcPr>
            <w:tcW w:w="3680" w:type="dxa"/>
            <w:vAlign w:val="bottom"/>
          </w:tcPr>
          <w:p>
            <w:pPr>
              <w:spacing w:after="0"/>
              <w:rPr>
                <w:sz w:val="24"/>
                <w:szCs w:val="24"/>
                <w:color w:val="auto"/>
              </w:rPr>
            </w:pPr>
          </w:p>
        </w:tc>
        <w:tc>
          <w:tcPr>
            <w:tcW w:w="3180" w:type="dxa"/>
            <w:vAlign w:val="bottom"/>
            <w:gridSpan w:val="8"/>
          </w:tcPr>
          <w:p>
            <w:pPr>
              <w:jc w:val="right"/>
              <w:ind w:right="300"/>
              <w:spacing w:after="0"/>
              <w:rPr>
                <w:sz w:val="20"/>
                <w:szCs w:val="20"/>
                <w:color w:val="auto"/>
              </w:rPr>
            </w:pPr>
            <w:r>
              <w:rPr>
                <w:rFonts w:ascii="Arial" w:cs="Arial" w:eastAsia="Arial" w:hAnsi="Arial"/>
                <w:sz w:val="17"/>
                <w:szCs w:val="17"/>
                <w:b w:val="1"/>
                <w:bCs w:val="1"/>
                <w:color w:val="auto"/>
                <w:w w:val="98"/>
              </w:rPr>
              <w:t>Three Months Ended 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5"/>
          </w:tcPr>
          <w:p>
            <w:pPr>
              <w:jc w:val="right"/>
              <w:ind w:right="300"/>
              <w:spacing w:after="0"/>
              <w:rPr>
                <w:sz w:val="20"/>
                <w:szCs w:val="20"/>
                <w:color w:val="auto"/>
              </w:rPr>
            </w:pPr>
            <w:r>
              <w:rPr>
                <w:rFonts w:ascii="Arial" w:cs="Arial" w:eastAsia="Arial" w:hAnsi="Arial"/>
                <w:sz w:val="17"/>
                <w:szCs w:val="17"/>
                <w:b w:val="1"/>
                <w:bCs w:val="1"/>
                <w:color w:val="auto"/>
                <w:w w:val="91"/>
              </w:rPr>
              <w:t>Nine Months Ended September 30,</w:t>
            </w:r>
          </w:p>
        </w:tc>
        <w:tc>
          <w:tcPr>
            <w:tcW w:w="0" w:type="dxa"/>
            <w:vAlign w:val="bottom"/>
          </w:tcPr>
          <w:p>
            <w:pPr>
              <w:spacing w:after="0"/>
              <w:rPr>
                <w:sz w:val="1"/>
                <w:szCs w:val="1"/>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36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49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00" w:type="dxa"/>
            <w:vAlign w:val="bottom"/>
            <w:gridSpan w:val="2"/>
          </w:tcPr>
          <w:p>
            <w:pPr>
              <w:ind w:left="180"/>
              <w:spacing w:after="0"/>
              <w:rPr>
                <w:sz w:val="20"/>
                <w:szCs w:val="20"/>
                <w:color w:val="auto"/>
              </w:rPr>
            </w:pPr>
            <w:r>
              <w:rPr>
                <w:rFonts w:ascii="Arial" w:cs="Arial" w:eastAsia="Arial" w:hAnsi="Arial"/>
                <w:sz w:val="17"/>
                <w:szCs w:val="17"/>
                <w:color w:val="auto"/>
              </w:rPr>
              <w:t>Cost of revenues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20"/>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18 %</w:t>
            </w:r>
          </w:p>
        </w:tc>
        <w:tc>
          <w:tcPr>
            <w:tcW w:w="0" w:type="dxa"/>
            <w:vAlign w:val="bottom"/>
          </w:tcPr>
          <w:p>
            <w:pPr>
              <w:spacing w:after="0"/>
              <w:rPr>
                <w:sz w:val="1"/>
                <w:szCs w:val="1"/>
                <w:color w:val="auto"/>
              </w:rPr>
            </w:pPr>
          </w:p>
        </w:tc>
      </w:tr>
      <w:tr>
        <w:trPr>
          <w:trHeight w:val="218"/>
        </w:trPr>
        <w:tc>
          <w:tcPr>
            <w:tcW w:w="4900" w:type="dxa"/>
            <w:vAlign w:val="bottom"/>
            <w:gridSpan w:val="2"/>
          </w:tcPr>
          <w:p>
            <w:pPr>
              <w:ind w:left="180"/>
              <w:spacing w:after="0"/>
              <w:rPr>
                <w:sz w:val="20"/>
                <w:szCs w:val="20"/>
                <w:color w:val="auto"/>
              </w:rPr>
            </w:pPr>
            <w:r>
              <w:rPr>
                <w:rFonts w:ascii="Arial" w:cs="Arial" w:eastAsia="Arial" w:hAnsi="Arial"/>
                <w:sz w:val="17"/>
                <w:szCs w:val="17"/>
                <w:color w:val="auto"/>
              </w:rPr>
              <w:t>Product development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17 %</w:t>
            </w:r>
          </w:p>
        </w:tc>
        <w:tc>
          <w:tcPr>
            <w:tcW w:w="0" w:type="dxa"/>
            <w:vAlign w:val="bottom"/>
          </w:tcPr>
          <w:p>
            <w:pPr>
              <w:spacing w:after="0"/>
              <w:rPr>
                <w:sz w:val="1"/>
                <w:szCs w:val="1"/>
                <w:color w:val="auto"/>
              </w:rPr>
            </w:pPr>
          </w:p>
        </w:tc>
      </w:tr>
      <w:tr>
        <w:trPr>
          <w:trHeight w:val="220"/>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32 %</w:t>
            </w:r>
          </w:p>
        </w:tc>
        <w:tc>
          <w:tcPr>
            <w:tcW w:w="0" w:type="dxa"/>
            <w:vAlign w:val="bottom"/>
          </w:tcPr>
          <w:p>
            <w:pPr>
              <w:spacing w:after="0"/>
              <w:rPr>
                <w:sz w:val="1"/>
                <w:szCs w:val="1"/>
                <w:color w:val="auto"/>
              </w:rPr>
            </w:pPr>
          </w:p>
        </w:tc>
      </w:tr>
      <w:tr>
        <w:trPr>
          <w:trHeight w:val="218"/>
        </w:trPr>
        <w:tc>
          <w:tcPr>
            <w:tcW w:w="4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2 %</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2 %</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3 %</w:t>
            </w:r>
          </w:p>
        </w:tc>
        <w:tc>
          <w:tcPr>
            <w:tcW w:w="0" w:type="dxa"/>
            <w:vAlign w:val="bottom"/>
          </w:tcPr>
          <w:p>
            <w:pPr>
              <w:spacing w:after="0"/>
              <w:rPr>
                <w:sz w:val="1"/>
                <w:szCs w:val="1"/>
                <w:color w:val="auto"/>
              </w:rPr>
            </w:pPr>
          </w:p>
        </w:tc>
      </w:tr>
      <w:tr>
        <w:trPr>
          <w:trHeight w:val="213"/>
        </w:trPr>
        <w:tc>
          <w:tcPr>
            <w:tcW w:w="49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92 %</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65 %</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102 %</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74 %</w:t>
            </w:r>
          </w:p>
        </w:tc>
        <w:tc>
          <w:tcPr>
            <w:tcW w:w="0" w:type="dxa"/>
            <w:vAlign w:val="bottom"/>
          </w:tcPr>
          <w:p>
            <w:pPr>
              <w:spacing w:after="0"/>
              <w:rPr>
                <w:sz w:val="1"/>
                <w:szCs w:val="1"/>
                <w:color w:val="auto"/>
              </w:rPr>
            </w:pPr>
          </w:p>
        </w:tc>
      </w:tr>
      <w:tr>
        <w:trPr>
          <w:trHeight w:val="211"/>
        </w:trPr>
        <w:tc>
          <w:tcPr>
            <w:tcW w:w="4900" w:type="dxa"/>
            <w:vAlign w:val="bottom"/>
            <w:gridSpan w:val="2"/>
          </w:tcPr>
          <w:p>
            <w:pPr>
              <w:ind w:left="220"/>
              <w:spacing w:after="0"/>
              <w:rPr>
                <w:sz w:val="20"/>
                <w:szCs w:val="20"/>
                <w:color w:val="auto"/>
              </w:rPr>
            </w:pPr>
            <w:r>
              <w:rPr>
                <w:rFonts w:ascii="Arial" w:cs="Arial" w:eastAsia="Arial" w:hAnsi="Arial"/>
                <w:sz w:val="17"/>
                <w:szCs w:val="17"/>
                <w:color w:val="auto"/>
              </w:rPr>
              <w:t>Operating income (loss)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35 %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22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00" w:type="dxa"/>
            <w:vAlign w:val="bottom"/>
            <w:gridSpan w:val="2"/>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0 %</w:t>
            </w:r>
          </w:p>
        </w:tc>
        <w:tc>
          <w:tcPr>
            <w:tcW w:w="0" w:type="dxa"/>
            <w:vAlign w:val="bottom"/>
          </w:tcPr>
          <w:p>
            <w:pPr>
              <w:spacing w:after="0"/>
              <w:rPr>
                <w:sz w:val="1"/>
                <w:szCs w:val="1"/>
                <w:color w:val="auto"/>
              </w:rPr>
            </w:pPr>
          </w:p>
        </w:tc>
      </w:tr>
      <w:tr>
        <w:trPr>
          <w:trHeight w:val="220"/>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1"/>
        </w:trPr>
        <w:tc>
          <w:tcPr>
            <w:tcW w:w="4900" w:type="dxa"/>
            <w:vAlign w:val="bottom"/>
            <w:gridSpan w:val="2"/>
          </w:tcPr>
          <w:p>
            <w:pPr>
              <w:ind w:left="220"/>
              <w:spacing w:after="0"/>
              <w:rPr>
                <w:sz w:val="20"/>
                <w:szCs w:val="20"/>
                <w:color w:val="auto"/>
              </w:rPr>
            </w:pPr>
            <w:r>
              <w:rPr>
                <w:rFonts w:ascii="Arial" w:cs="Arial" w:eastAsia="Arial" w:hAnsi="Arial"/>
                <w:sz w:val="17"/>
                <w:szCs w:val="17"/>
                <w:color w:val="auto"/>
              </w:rPr>
              <w:t>Income before income taxes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97 %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53 %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24 %</w:t>
            </w:r>
          </w:p>
        </w:tc>
        <w:tc>
          <w:tcPr>
            <w:tcW w:w="0" w:type="dxa"/>
            <w:vAlign w:val="bottom"/>
          </w:tcPr>
          <w:p>
            <w:pPr>
              <w:spacing w:after="0"/>
              <w:rPr>
                <w:sz w:val="1"/>
                <w:szCs w:val="1"/>
                <w:color w:val="auto"/>
              </w:rPr>
            </w:pPr>
          </w:p>
        </w:tc>
      </w:tr>
      <w:tr>
        <w:trPr>
          <w:trHeight w:val="22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0 %</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0 %</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0 %</w:t>
            </w:r>
          </w:p>
        </w:tc>
        <w:tc>
          <w:tcPr>
            <w:tcW w:w="0" w:type="dxa"/>
            <w:vAlign w:val="bottom"/>
          </w:tcPr>
          <w:p>
            <w:pPr>
              <w:spacing w:after="0"/>
              <w:rPr>
                <w:sz w:val="1"/>
                <w:szCs w:val="1"/>
                <w:color w:val="auto"/>
              </w:rPr>
            </w:pPr>
          </w:p>
        </w:tc>
      </w:tr>
      <w:tr>
        <w:trPr>
          <w:trHeight w:val="211"/>
        </w:trPr>
        <w:tc>
          <w:tcPr>
            <w:tcW w:w="490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97 %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53 %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24 %</w:t>
            </w:r>
          </w:p>
        </w:tc>
        <w:tc>
          <w:tcPr>
            <w:tcW w:w="0" w:type="dxa"/>
            <w:vAlign w:val="bottom"/>
          </w:tcPr>
          <w:p>
            <w:pPr>
              <w:spacing w:after="0"/>
              <w:rPr>
                <w:sz w:val="1"/>
                <w:szCs w:val="1"/>
                <w:color w:val="auto"/>
              </w:rPr>
            </w:pPr>
          </w:p>
        </w:tc>
      </w:tr>
      <w:tr>
        <w:trPr>
          <w:trHeight w:val="219"/>
        </w:trPr>
        <w:tc>
          <w:tcPr>
            <w:tcW w:w="49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 attributable to noncontrolling interests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13"/>
        </w:trPr>
        <w:tc>
          <w:tcPr>
            <w:tcW w:w="4900" w:type="dxa"/>
            <w:vAlign w:val="bottom"/>
            <w:gridSpan w:val="2"/>
          </w:tcPr>
          <w:p>
            <w:pPr>
              <w:ind w:left="120"/>
              <w:spacing w:after="0"/>
              <w:rPr>
                <w:sz w:val="20"/>
                <w:szCs w:val="20"/>
                <w:color w:val="auto"/>
              </w:rPr>
            </w:pPr>
            <w:r>
              <w:rPr>
                <w:rFonts w:ascii="Arial" w:cs="Arial" w:eastAsia="Arial" w:hAnsi="Arial"/>
                <w:sz w:val="17"/>
                <w:szCs w:val="17"/>
                <w:color w:val="auto"/>
              </w:rPr>
              <w:t>Net income attributable to WM Technology, Inc.</w:t>
            </w:r>
          </w:p>
        </w:tc>
        <w:tc>
          <w:tcPr>
            <w:tcW w:w="2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41 %</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33 %</w:t>
            </w:r>
          </w:p>
        </w:tc>
        <w:tc>
          <w:tcPr>
            <w:tcW w:w="1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18 %</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24 %</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w w:val="91"/>
              </w:rPr>
              <w:t>Comparison of Three Months Ended September 30, 2021 and 2020</w:t>
            </w: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9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7"/>
                <w:szCs w:val="17"/>
                <w:b w:val="1"/>
                <w:bCs w:val="1"/>
                <w:color w:val="auto"/>
                <w:w w:val="92"/>
              </w:rPr>
              <w:t>Three Months Ended September 30,</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1080"/>
              <w:spacing w:after="0"/>
              <w:rPr>
                <w:sz w:val="20"/>
                <w:szCs w:val="20"/>
                <w:color w:val="auto"/>
              </w:rPr>
            </w:pPr>
            <w:r>
              <w:rPr>
                <w:rFonts w:ascii="Arial" w:cs="Arial" w:eastAsia="Arial" w:hAnsi="Arial"/>
                <w:sz w:val="17"/>
                <w:szCs w:val="17"/>
                <w:b w:val="1"/>
                <w:bCs w:val="1"/>
                <w:color w:val="auto"/>
              </w:rPr>
              <w:t>Change</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8"/>
          </w:tcPr>
          <w:p>
            <w:pPr>
              <w:ind w:left="460"/>
              <w:spacing w:after="0"/>
              <w:rPr>
                <w:sz w:val="20"/>
                <w:szCs w:val="20"/>
                <w:color w:val="auto"/>
              </w:rPr>
            </w:pPr>
            <w:r>
              <w:rPr>
                <w:rFonts w:ascii="Arial" w:cs="Arial" w:eastAsia="Arial" w:hAnsi="Arial"/>
                <w:sz w:val="17"/>
                <w:szCs w:val="17"/>
                <w:b w:val="1"/>
                <w:bCs w:val="1"/>
                <w:color w:val="auto"/>
              </w:rPr>
              <w:t>(dollars in thousands)</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50,884</w:t>
            </w: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46,505</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Total revenues increased by $4.4 million, or 9% for the three months ended September 30, 2021 compared to the same period in 2020. The increase was driven by a 7% increase in average monthly revenue per paying client and a 2% increase in monthly average paying clients. Our growth in average monthly revenue per paying client reflects continued growth in our WM Business subscription offering and other ad solutions, more client engagement driven by the increased functionality across our WM Business suite of solutions and the impact of the pricing increase related to transitioning all of our standard listing subscription clients to our new WM Business subscription package at the beginning of 2021. These impacts were partially offset by the removal of Canada-based clients who had higher monthly spend than our average client base as well as the elimination of our technology services fee on all delivery orders. For the three months ended September 30, 2021, Featured Listing product, WM Business subscription offering and other ad solutions represented 56%, 22% and 22% of our total revenues, respectively.</w:t>
      </w:r>
    </w:p>
    <w:p>
      <w:pPr>
        <w:spacing w:after="0" w:line="7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Total revenue excluding Canada was $50.9 million for the three months ended September 30, 2021 compared $34.9 million in the same period in 2020. The increase of approximately $16.0 million, or 46% in total revenue excluding Canada was primarily driven by an 18% increase in the average monthly revenue per paying client and a 24% increase in average monthly paying clients.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0" w:type="dxa"/>
            <w:vAlign w:val="bottom"/>
          </w:tcPr>
          <w:p>
            <w:pPr>
              <w:spacing w:after="0"/>
              <w:rPr>
                <w:sz w:val="20"/>
                <w:szCs w:val="20"/>
                <w:color w:val="auto"/>
              </w:rPr>
            </w:pPr>
            <w:r>
              <w:rPr>
                <w:rFonts w:ascii="Arial" w:cs="Arial" w:eastAsia="Arial" w:hAnsi="Arial"/>
                <w:sz w:val="17"/>
                <w:szCs w:val="17"/>
                <w:b w:val="1"/>
                <w:bCs w:val="1"/>
                <w:i w:val="1"/>
                <w:iCs w:val="1"/>
                <w:color w:val="auto"/>
              </w:rPr>
              <w:t>Cost of Revenue</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88"/>
        </w:trPr>
        <w:tc>
          <w:tcPr>
            <w:tcW w:w="5000" w:type="dxa"/>
            <w:vAlign w:val="bottom"/>
          </w:tcPr>
          <w:p>
            <w:pPr>
              <w:spacing w:after="0"/>
              <w:rPr>
                <w:sz w:val="24"/>
                <w:szCs w:val="24"/>
                <w:color w:val="auto"/>
              </w:rPr>
            </w:pPr>
          </w:p>
        </w:tc>
        <w:tc>
          <w:tcPr>
            <w:tcW w:w="3320" w:type="dxa"/>
            <w:vAlign w:val="bottom"/>
            <w:gridSpan w:val="5"/>
          </w:tcPr>
          <w:p>
            <w:pPr>
              <w:ind w:left="280"/>
              <w:spacing w:after="0"/>
              <w:rPr>
                <w:sz w:val="20"/>
                <w:szCs w:val="20"/>
                <w:color w:val="auto"/>
              </w:rPr>
            </w:pPr>
            <w:r>
              <w:rPr>
                <w:rFonts w:ascii="Arial" w:cs="Arial" w:eastAsia="Arial" w:hAnsi="Arial"/>
                <w:sz w:val="17"/>
                <w:szCs w:val="17"/>
                <w:b w:val="1"/>
                <w:bCs w:val="1"/>
                <w:color w:val="auto"/>
              </w:rPr>
              <w:t>Three Months Ended September 30,</w:t>
            </w:r>
          </w:p>
        </w:tc>
        <w:tc>
          <w:tcPr>
            <w:tcW w:w="960" w:type="dxa"/>
            <w:vAlign w:val="bottom"/>
          </w:tcPr>
          <w:p>
            <w:pPr>
              <w:spacing w:after="0"/>
              <w:rPr>
                <w:sz w:val="24"/>
                <w:szCs w:val="24"/>
                <w:color w:val="auto"/>
              </w:rPr>
            </w:pPr>
          </w:p>
        </w:tc>
        <w:tc>
          <w:tcPr>
            <w:tcW w:w="940" w:type="dxa"/>
            <w:vAlign w:val="bottom"/>
          </w:tcPr>
          <w:p>
            <w:pPr>
              <w:jc w:val="right"/>
              <w:ind w:right="74"/>
              <w:spacing w:after="0"/>
              <w:rPr>
                <w:sz w:val="20"/>
                <w:szCs w:val="20"/>
                <w:color w:val="auto"/>
              </w:rPr>
            </w:pPr>
            <w:r>
              <w:rPr>
                <w:rFonts w:ascii="Arial" w:cs="Arial" w:eastAsia="Arial" w:hAnsi="Arial"/>
                <w:sz w:val="17"/>
                <w:szCs w:val="17"/>
                <w:b w:val="1"/>
                <w:bCs w:val="1"/>
                <w:color w:val="auto"/>
              </w:rPr>
              <w:t>Change</w:t>
            </w:r>
          </w:p>
        </w:tc>
        <w:tc>
          <w:tcPr>
            <w:tcW w:w="1020" w:type="dxa"/>
            <w:vAlign w:val="bottom"/>
          </w:tcPr>
          <w:p>
            <w:pPr>
              <w:spacing w:after="0"/>
              <w:rPr>
                <w:sz w:val="24"/>
                <w:szCs w:val="24"/>
                <w:color w:val="auto"/>
              </w:rPr>
            </w:pPr>
          </w:p>
        </w:tc>
      </w:tr>
      <w:tr>
        <w:trPr>
          <w:trHeight w:val="213"/>
        </w:trPr>
        <w:tc>
          <w:tcPr>
            <w:tcW w:w="5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w:t>
            </w:r>
          </w:p>
        </w:tc>
      </w:tr>
      <w:tr>
        <w:trPr>
          <w:trHeight w:val="212"/>
        </w:trPr>
        <w:tc>
          <w:tcPr>
            <w:tcW w:w="5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60" w:type="dxa"/>
            <w:vAlign w:val="bottom"/>
            <w:gridSpan w:val="4"/>
          </w:tcPr>
          <w:p>
            <w:pPr>
              <w:jc w:val="right"/>
              <w:ind w:right="274"/>
              <w:spacing w:after="0"/>
              <w:rPr>
                <w:sz w:val="20"/>
                <w:szCs w:val="20"/>
                <w:color w:val="auto"/>
              </w:rPr>
            </w:pPr>
            <w:r>
              <w:rPr>
                <w:rFonts w:ascii="Arial" w:cs="Arial" w:eastAsia="Arial" w:hAnsi="Arial"/>
                <w:sz w:val="17"/>
                <w:szCs w:val="17"/>
                <w:b w:val="1"/>
                <w:bCs w:val="1"/>
                <w:color w:val="auto"/>
              </w:rPr>
              <w:t>(dollars in thousands)</w:t>
            </w: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revenues</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9"/>
              </w:rPr>
              <w:t>2,035</w:t>
            </w:r>
          </w:p>
        </w:tc>
        <w:tc>
          <w:tcPr>
            <w:tcW w:w="100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9"/>
              </w:rPr>
              <w:t>2,109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(74)</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8"/>
        </w:trPr>
        <w:tc>
          <w:tcPr>
            <w:tcW w:w="500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96 %</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95 %</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18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Cost of revenue was $2.0 million for the three months ended September 30, 2021 compared to $2.1 million for the same period in 2020. There were no material changes to the drivers of our cost of revenue.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0" w:type="dxa"/>
            <w:vAlign w:val="bottom"/>
          </w:tcPr>
          <w:p>
            <w:pPr>
              <w:spacing w:after="0"/>
              <w:rPr>
                <w:sz w:val="20"/>
                <w:szCs w:val="20"/>
                <w:color w:val="auto"/>
              </w:rPr>
            </w:pPr>
            <w:r>
              <w:rPr>
                <w:rFonts w:ascii="Arial" w:cs="Arial" w:eastAsia="Arial" w:hAnsi="Arial"/>
                <w:sz w:val="17"/>
                <w:szCs w:val="17"/>
                <w:b w:val="1"/>
                <w:bCs w:val="1"/>
                <w:i w:val="1"/>
                <w:iCs w:val="1"/>
                <w:color w:val="auto"/>
              </w:rPr>
              <w:t>Sales and Marketing Expenses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88"/>
        </w:trPr>
        <w:tc>
          <w:tcPr>
            <w:tcW w:w="5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4"/>
          </w:tcPr>
          <w:p>
            <w:pPr>
              <w:ind w:left="80"/>
              <w:spacing w:after="0"/>
              <w:rPr>
                <w:sz w:val="20"/>
                <w:szCs w:val="20"/>
                <w:color w:val="auto"/>
              </w:rPr>
            </w:pPr>
            <w:r>
              <w:rPr>
                <w:rFonts w:ascii="Arial" w:cs="Arial" w:eastAsia="Arial" w:hAnsi="Arial"/>
                <w:sz w:val="17"/>
                <w:szCs w:val="17"/>
                <w:b w:val="1"/>
                <w:bCs w:val="1"/>
                <w:color w:val="auto"/>
              </w:rPr>
              <w:t>Three Months Ended September 30,</w:t>
            </w:r>
          </w:p>
        </w:tc>
        <w:tc>
          <w:tcPr>
            <w:tcW w:w="860" w:type="dxa"/>
            <w:vAlign w:val="bottom"/>
          </w:tcPr>
          <w:p>
            <w:pPr>
              <w:spacing w:after="0"/>
              <w:rPr>
                <w:sz w:val="24"/>
                <w:szCs w:val="24"/>
                <w:color w:val="auto"/>
              </w:rPr>
            </w:pPr>
          </w:p>
        </w:tc>
        <w:tc>
          <w:tcPr>
            <w:tcW w:w="1020" w:type="dxa"/>
            <w:vAlign w:val="bottom"/>
          </w:tcPr>
          <w:p>
            <w:pPr>
              <w:jc w:val="right"/>
              <w:ind w:right="74"/>
              <w:spacing w:after="0"/>
              <w:rPr>
                <w:sz w:val="20"/>
                <w:szCs w:val="20"/>
                <w:color w:val="auto"/>
              </w:rPr>
            </w:pPr>
            <w:r>
              <w:rPr>
                <w:rFonts w:ascii="Arial" w:cs="Arial" w:eastAsia="Arial" w:hAnsi="Arial"/>
                <w:sz w:val="17"/>
                <w:szCs w:val="17"/>
                <w:b w:val="1"/>
                <w:bCs w:val="1"/>
                <w:color w:val="auto"/>
              </w:rPr>
              <w:t>Change</w:t>
            </w:r>
          </w:p>
        </w:tc>
        <w:tc>
          <w:tcPr>
            <w:tcW w:w="1020" w:type="dxa"/>
            <w:vAlign w:val="bottom"/>
          </w:tcPr>
          <w:p>
            <w:pPr>
              <w:spacing w:after="0"/>
              <w:rPr>
                <w:sz w:val="24"/>
                <w:szCs w:val="24"/>
                <w:color w:val="auto"/>
              </w:rPr>
            </w:pPr>
          </w:p>
        </w:tc>
      </w:tr>
      <w:tr>
        <w:trPr>
          <w:trHeight w:val="213"/>
        </w:trPr>
        <w:tc>
          <w:tcPr>
            <w:tcW w:w="50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w:t>
            </w:r>
          </w:p>
        </w:tc>
      </w:tr>
      <w:tr>
        <w:trPr>
          <w:trHeight w:val="212"/>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gridSpan w:val="3"/>
          </w:tcPr>
          <w:p>
            <w:pPr>
              <w:jc w:val="right"/>
              <w:ind w:right="174"/>
              <w:spacing w:after="0"/>
              <w:rPr>
                <w:sz w:val="20"/>
                <w:szCs w:val="20"/>
                <w:color w:val="auto"/>
              </w:rPr>
            </w:pPr>
            <w:r>
              <w:rPr>
                <w:rFonts w:ascii="Arial" w:cs="Arial" w:eastAsia="Arial" w:hAnsi="Arial"/>
                <w:sz w:val="17"/>
                <w:szCs w:val="17"/>
                <w:b w:val="1"/>
                <w:bCs w:val="1"/>
                <w:color w:val="auto"/>
              </w:rPr>
              <w:t>(dollars in thousands)</w:t>
            </w: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 expenses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12,806</w:t>
            </w:r>
          </w:p>
        </w:tc>
        <w:tc>
          <w:tcPr>
            <w:tcW w:w="3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7,384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5,422</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r>
      <w:tr>
        <w:trPr>
          <w:trHeight w:val="218"/>
        </w:trPr>
        <w:tc>
          <w:tcPr>
            <w:tcW w:w="500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25 %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17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Sales and marketing expenses increased by $5.4 million, or 73% for the three months ended September 30, 2021 compared to the same period in 2020. The increase was due to an increase in personnel-related costs of $3.2 million as a result of increased headcount, an increase in sales incentive plan compensation of $1.0 million due to higher revenues and an increase of $0.7 million in stock-based compensation expense recognized in 2021, an increase in online advertising of $0.6 million as more advertising options become available in the cannabis industry, an increase in branding and advertising of $0.5 million and an increase in consulting fees of $0.5 million.</w:t>
      </w:r>
    </w:p>
    <w:p>
      <w:pPr>
        <w:spacing w:after="0" w:line="8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Our stock-based compensation increased due in part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third quarter of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80" w:type="dxa"/>
            <w:vAlign w:val="bottom"/>
          </w:tcPr>
          <w:p>
            <w:pPr>
              <w:spacing w:after="0"/>
              <w:rPr>
                <w:sz w:val="20"/>
                <w:szCs w:val="20"/>
                <w:color w:val="auto"/>
              </w:rPr>
            </w:pPr>
            <w:r>
              <w:rPr>
                <w:rFonts w:ascii="Arial" w:cs="Arial" w:eastAsia="Arial" w:hAnsi="Arial"/>
                <w:sz w:val="17"/>
                <w:szCs w:val="17"/>
                <w:b w:val="1"/>
                <w:bCs w:val="1"/>
                <w:i w:val="1"/>
                <w:iCs w:val="1"/>
                <w:color w:val="auto"/>
              </w:rPr>
              <w:t>Product Development Expenses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88"/>
        </w:trPr>
        <w:tc>
          <w:tcPr>
            <w:tcW w:w="4880" w:type="dxa"/>
            <w:vAlign w:val="bottom"/>
          </w:tcPr>
          <w:p>
            <w:pPr>
              <w:spacing w:after="0"/>
              <w:rPr>
                <w:sz w:val="24"/>
                <w:szCs w:val="24"/>
                <w:color w:val="auto"/>
              </w:rPr>
            </w:pPr>
          </w:p>
        </w:tc>
        <w:tc>
          <w:tcPr>
            <w:tcW w:w="3360" w:type="dxa"/>
            <w:vAlign w:val="bottom"/>
            <w:gridSpan w:val="5"/>
          </w:tcPr>
          <w:p>
            <w:pPr>
              <w:ind w:left="320"/>
              <w:spacing w:after="0"/>
              <w:rPr>
                <w:sz w:val="20"/>
                <w:szCs w:val="20"/>
                <w:color w:val="auto"/>
              </w:rPr>
            </w:pPr>
            <w:r>
              <w:rPr>
                <w:rFonts w:ascii="Arial" w:cs="Arial" w:eastAsia="Arial" w:hAnsi="Arial"/>
                <w:sz w:val="17"/>
                <w:szCs w:val="17"/>
                <w:b w:val="1"/>
                <w:bCs w:val="1"/>
                <w:color w:val="auto"/>
              </w:rPr>
              <w:t>Three Months Ended September 30,</w:t>
            </w:r>
          </w:p>
        </w:tc>
        <w:tc>
          <w:tcPr>
            <w:tcW w:w="980" w:type="dxa"/>
            <w:vAlign w:val="bottom"/>
          </w:tcPr>
          <w:p>
            <w:pPr>
              <w:spacing w:after="0"/>
              <w:rPr>
                <w:sz w:val="24"/>
                <w:szCs w:val="24"/>
                <w:color w:val="auto"/>
              </w:rPr>
            </w:pPr>
          </w:p>
        </w:tc>
        <w:tc>
          <w:tcPr>
            <w:tcW w:w="960" w:type="dxa"/>
            <w:vAlign w:val="bottom"/>
          </w:tcPr>
          <w:p>
            <w:pPr>
              <w:jc w:val="right"/>
              <w:ind w:right="74"/>
              <w:spacing w:after="0"/>
              <w:rPr>
                <w:sz w:val="20"/>
                <w:szCs w:val="20"/>
                <w:color w:val="auto"/>
              </w:rPr>
            </w:pPr>
            <w:r>
              <w:rPr>
                <w:rFonts w:ascii="Arial" w:cs="Arial" w:eastAsia="Arial" w:hAnsi="Arial"/>
                <w:sz w:val="17"/>
                <w:szCs w:val="17"/>
                <w:b w:val="1"/>
                <w:bCs w:val="1"/>
                <w:color w:val="auto"/>
              </w:rPr>
              <w:t>Change</w:t>
            </w:r>
          </w:p>
        </w:tc>
        <w:tc>
          <w:tcPr>
            <w:tcW w:w="1040" w:type="dxa"/>
            <w:vAlign w:val="bottom"/>
          </w:tcPr>
          <w:p>
            <w:pPr>
              <w:spacing w:after="0"/>
              <w:rPr>
                <w:sz w:val="24"/>
                <w:szCs w:val="24"/>
                <w:color w:val="auto"/>
              </w:rPr>
            </w:pPr>
          </w:p>
        </w:tc>
      </w:tr>
      <w:tr>
        <w:trPr>
          <w:trHeight w:val="213"/>
        </w:trPr>
        <w:tc>
          <w:tcPr>
            <w:tcW w:w="48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w:t>
            </w:r>
          </w:p>
        </w:tc>
      </w:tr>
      <w:tr>
        <w:trPr>
          <w:trHeight w:val="212"/>
        </w:trPr>
        <w:tc>
          <w:tcPr>
            <w:tcW w:w="4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00" w:type="dxa"/>
            <w:vAlign w:val="bottom"/>
            <w:gridSpan w:val="4"/>
          </w:tcPr>
          <w:p>
            <w:pPr>
              <w:jc w:val="right"/>
              <w:ind w:right="274"/>
              <w:spacing w:after="0"/>
              <w:rPr>
                <w:sz w:val="20"/>
                <w:szCs w:val="20"/>
                <w:color w:val="auto"/>
              </w:rPr>
            </w:pPr>
            <w:r>
              <w:rPr>
                <w:rFonts w:ascii="Arial" w:cs="Arial" w:eastAsia="Arial" w:hAnsi="Arial"/>
                <w:sz w:val="17"/>
                <w:szCs w:val="17"/>
                <w:b w:val="1"/>
                <w:bCs w:val="1"/>
                <w:color w:val="auto"/>
              </w:rPr>
              <w:t>(dollars in thousands)</w:t>
            </w: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development expenses</w:t>
            </w: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9"/>
              </w:rPr>
              <w:t>7,782</w:t>
            </w:r>
          </w:p>
        </w:tc>
        <w:tc>
          <w:tcPr>
            <w:tcW w:w="102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9"/>
              </w:rPr>
              <w:t>6,923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859</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8"/>
        </w:trPr>
        <w:tc>
          <w:tcPr>
            <w:tcW w:w="488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15 %</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15 %</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r>
    </w:tbl>
    <w:p>
      <w:pPr>
        <w:spacing w:after="0" w:line="183"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Product development expenses increased by $0.9 million, or 12% for the three months ended September 30, 2021 compared to the same period in 2020. This increase was primarily due to an increase in personnel-related costs of $4.6 million due to increased headcount and an increase of $1.9 million in stock-based compensation expense recognized in 2021, offset by capitalized software development costs of $3.7 million. Our stock-based compensation increased due in part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third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80" w:type="dxa"/>
            <w:vAlign w:val="bottom"/>
          </w:tcPr>
          <w:p>
            <w:pPr>
              <w:spacing w:after="0"/>
              <w:rPr>
                <w:sz w:val="20"/>
                <w:szCs w:val="20"/>
                <w:color w:val="auto"/>
              </w:rPr>
            </w:pPr>
            <w:r>
              <w:rPr>
                <w:rFonts w:ascii="Arial" w:cs="Arial" w:eastAsia="Arial" w:hAnsi="Arial"/>
                <w:sz w:val="17"/>
                <w:szCs w:val="17"/>
                <w:b w:val="1"/>
                <w:bCs w:val="1"/>
                <w:i w:val="1"/>
                <w:iCs w:val="1"/>
                <w:color w:val="auto"/>
              </w:rPr>
              <w:t>General and administrative expenses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723"/>
        </w:trPr>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4"/>
          </w:tcPr>
          <w:p>
            <w:pPr>
              <w:ind w:left="100"/>
              <w:spacing w:after="0"/>
              <w:rPr>
                <w:sz w:val="20"/>
                <w:szCs w:val="20"/>
                <w:color w:val="auto"/>
              </w:rPr>
            </w:pPr>
            <w:r>
              <w:rPr>
                <w:rFonts w:ascii="Arial" w:cs="Arial" w:eastAsia="Arial" w:hAnsi="Arial"/>
                <w:sz w:val="17"/>
                <w:szCs w:val="17"/>
                <w:b w:val="1"/>
                <w:bCs w:val="1"/>
                <w:color w:val="auto"/>
              </w:rPr>
              <w:t>Three Months Ended September 30,</w:t>
            </w:r>
          </w:p>
        </w:tc>
        <w:tc>
          <w:tcPr>
            <w:tcW w:w="880" w:type="dxa"/>
            <w:vAlign w:val="bottom"/>
          </w:tcPr>
          <w:p>
            <w:pPr>
              <w:spacing w:after="0"/>
              <w:rPr>
                <w:sz w:val="24"/>
                <w:szCs w:val="24"/>
                <w:color w:val="auto"/>
              </w:rPr>
            </w:pPr>
          </w:p>
        </w:tc>
        <w:tc>
          <w:tcPr>
            <w:tcW w:w="1080" w:type="dxa"/>
            <w:vAlign w:val="bottom"/>
          </w:tcPr>
          <w:p>
            <w:pPr>
              <w:jc w:val="right"/>
              <w:ind w:right="94"/>
              <w:spacing w:after="0"/>
              <w:rPr>
                <w:sz w:val="20"/>
                <w:szCs w:val="20"/>
                <w:color w:val="auto"/>
              </w:rPr>
            </w:pPr>
            <w:r>
              <w:rPr>
                <w:rFonts w:ascii="Arial" w:cs="Arial" w:eastAsia="Arial" w:hAnsi="Arial"/>
                <w:sz w:val="17"/>
                <w:szCs w:val="17"/>
                <w:b w:val="1"/>
                <w:bCs w:val="1"/>
                <w:color w:val="auto"/>
              </w:rPr>
              <w:t>Change</w:t>
            </w:r>
          </w:p>
        </w:tc>
        <w:tc>
          <w:tcPr>
            <w:tcW w:w="1040" w:type="dxa"/>
            <w:vAlign w:val="bottom"/>
          </w:tcPr>
          <w:p>
            <w:pPr>
              <w:spacing w:after="0"/>
              <w:rPr>
                <w:sz w:val="24"/>
                <w:szCs w:val="24"/>
                <w:color w:val="auto"/>
              </w:rPr>
            </w:pPr>
          </w:p>
        </w:tc>
      </w:tr>
      <w:tr>
        <w:trPr>
          <w:trHeight w:val="213"/>
        </w:trPr>
        <w:tc>
          <w:tcPr>
            <w:tcW w:w="46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w:t>
            </w:r>
          </w:p>
        </w:tc>
      </w:tr>
      <w:tr>
        <w:trPr>
          <w:trHeight w:val="212"/>
        </w:trPr>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0" w:type="dxa"/>
            <w:vAlign w:val="bottom"/>
            <w:gridSpan w:val="3"/>
          </w:tcPr>
          <w:p>
            <w:pPr>
              <w:jc w:val="right"/>
              <w:ind w:right="194"/>
              <w:spacing w:after="0"/>
              <w:rPr>
                <w:sz w:val="20"/>
                <w:szCs w:val="20"/>
                <w:color w:val="auto"/>
              </w:rPr>
            </w:pPr>
            <w:r>
              <w:rPr>
                <w:rFonts w:ascii="Arial" w:cs="Arial" w:eastAsia="Arial" w:hAnsi="Arial"/>
                <w:sz w:val="17"/>
                <w:szCs w:val="17"/>
                <w:b w:val="1"/>
                <w:bCs w:val="1"/>
                <w:color w:val="auto"/>
              </w:rPr>
              <w:t>(dollars in thousands)</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23,220</w:t>
            </w:r>
          </w:p>
        </w:tc>
        <w:tc>
          <w:tcPr>
            <w:tcW w:w="4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12,906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92"/>
              </w:rPr>
              <w:t>10,314</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18"/>
        </w:trPr>
        <w:tc>
          <w:tcPr>
            <w:tcW w:w="468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46 %</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28 %</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r>
    </w:tbl>
    <w:p>
      <w:pPr>
        <w:spacing w:after="0" w:line="183"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General and administrative expenses increased by $10.3 million, or 80% for the three months ended September 30, 2021 compared to the same period in 2020. This increase was primarily due to an increase in insurance costs of $3.1 million as a result of additional insurance coverage as a public company, an increase in software costs of $0.6 million, an increase in allowance for doubtful accounts of $2.0 million and an increase in professional fees of $2.1 million. General and administrative expenses also increased due to an increase in stock-based compensation expense of $1.6 million recognized in 2021. Our stock-based compensation increased due in part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third quarter of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20"/>
                <w:szCs w:val="20"/>
                <w:color w:val="auto"/>
              </w:rPr>
            </w:pPr>
            <w:r>
              <w:rPr>
                <w:rFonts w:ascii="Arial" w:cs="Arial" w:eastAsia="Arial" w:hAnsi="Arial"/>
                <w:sz w:val="17"/>
                <w:szCs w:val="17"/>
                <w:b w:val="1"/>
                <w:bCs w:val="1"/>
                <w:i w:val="1"/>
                <w:iCs w:val="1"/>
                <w:color w:val="auto"/>
              </w:rPr>
              <w:t>Depreciation and Amortization Expense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88"/>
        </w:trPr>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gridSpan w:val="7"/>
          </w:tcPr>
          <w:p>
            <w:pPr>
              <w:ind w:left="100"/>
              <w:spacing w:after="0"/>
              <w:rPr>
                <w:sz w:val="20"/>
                <w:szCs w:val="20"/>
                <w:color w:val="auto"/>
              </w:rPr>
            </w:pPr>
            <w:r>
              <w:rPr>
                <w:rFonts w:ascii="Arial" w:cs="Arial" w:eastAsia="Arial" w:hAnsi="Arial"/>
                <w:sz w:val="17"/>
                <w:szCs w:val="17"/>
                <w:b w:val="1"/>
                <w:bCs w:val="1"/>
                <w:color w:val="auto"/>
              </w:rPr>
              <w:t>Three Months Ended September 30,</w:t>
            </w:r>
          </w:p>
        </w:tc>
        <w:tc>
          <w:tcPr>
            <w:tcW w:w="6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Change</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3"/>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934"/>
              <w:spacing w:after="0"/>
              <w:rPr>
                <w:sz w:val="20"/>
                <w:szCs w:val="20"/>
                <w:color w:val="auto"/>
              </w:rPr>
            </w:pPr>
            <w:r>
              <w:rPr>
                <w:rFonts w:ascii="Arial" w:cs="Arial" w:eastAsia="Arial" w:hAnsi="Arial"/>
                <w:sz w:val="17"/>
                <w:szCs w:val="17"/>
                <w:b w:val="1"/>
                <w:bCs w:val="1"/>
                <w:color w:val="auto"/>
                <w:w w:val="86"/>
              </w:rPr>
              <w:t>($)</w:t>
            </w:r>
          </w:p>
        </w:tc>
        <w:tc>
          <w:tcPr>
            <w:tcW w:w="10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w:t>
            </w:r>
          </w:p>
        </w:tc>
        <w:tc>
          <w:tcPr>
            <w:tcW w:w="140" w:type="dxa"/>
            <w:vAlign w:val="bottom"/>
            <w:tcBorders>
              <w:top w:val="single" w:sz="8" w:color="auto"/>
              <w:bottom w:val="single" w:sz="8" w:color="auto"/>
            </w:tcBorders>
          </w:tcPr>
          <w:p>
            <w:pPr>
              <w:spacing w:after="0"/>
              <w:rPr>
                <w:sz w:val="18"/>
                <w:szCs w:val="18"/>
                <w:color w:val="auto"/>
              </w:rPr>
            </w:pPr>
          </w:p>
        </w:tc>
      </w:tr>
      <w:tr>
        <w:trPr>
          <w:trHeight w:val="212"/>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gridSpan w:val="5"/>
          </w:tcPr>
          <w:p>
            <w:pPr>
              <w:jc w:val="right"/>
              <w:spacing w:after="0"/>
              <w:rPr>
                <w:sz w:val="20"/>
                <w:szCs w:val="20"/>
                <w:color w:val="auto"/>
              </w:rPr>
            </w:pPr>
            <w:r>
              <w:rPr>
                <w:rFonts w:ascii="Arial" w:cs="Arial" w:eastAsia="Arial" w:hAnsi="Arial"/>
                <w:sz w:val="17"/>
                <w:szCs w:val="17"/>
                <w:b w:val="1"/>
                <w:bCs w:val="1"/>
                <w:color w:val="auto"/>
              </w:rPr>
              <w:t>(dollars in thousands)</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expenses</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980</w:t>
            </w: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991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(11)</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18"/>
        </w:trPr>
        <w:tc>
          <w:tcPr>
            <w:tcW w:w="460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234"/>
              <w:spacing w:after="0"/>
              <w:rPr>
                <w:sz w:val="20"/>
                <w:szCs w:val="20"/>
                <w:color w:val="auto"/>
              </w:rPr>
            </w:pPr>
            <w:r>
              <w:rPr>
                <w:rFonts w:ascii="Arial" w:cs="Arial" w:eastAsia="Arial" w:hAnsi="Arial"/>
                <w:sz w:val="17"/>
                <w:szCs w:val="17"/>
                <w:color w:val="auto"/>
              </w:rPr>
              <w:t>2 %</w:t>
            </w:r>
          </w:p>
        </w:tc>
        <w:tc>
          <w:tcPr>
            <w:tcW w:w="1360" w:type="dxa"/>
            <w:vAlign w:val="bottom"/>
            <w:gridSpan w:val="3"/>
          </w:tcPr>
          <w:p>
            <w:pPr>
              <w:jc w:val="right"/>
              <w:ind w:right="20"/>
              <w:spacing w:after="0"/>
              <w:rPr>
                <w:sz w:val="20"/>
                <w:szCs w:val="20"/>
                <w:color w:val="auto"/>
              </w:rPr>
            </w:pPr>
            <w:r>
              <w:rPr>
                <w:rFonts w:ascii="Arial" w:cs="Arial" w:eastAsia="Arial" w:hAnsi="Arial"/>
                <w:sz w:val="17"/>
                <w:szCs w:val="17"/>
                <w:color w:val="auto"/>
              </w:rPr>
              <w:t>2 %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87"/>
        </w:trPr>
        <w:tc>
          <w:tcPr>
            <w:tcW w:w="11200" w:type="dxa"/>
            <w:vAlign w:val="bottom"/>
            <w:gridSpan w:val="14"/>
          </w:tcPr>
          <w:p>
            <w:pPr>
              <w:ind w:left="460"/>
              <w:spacing w:after="0"/>
              <w:rPr>
                <w:sz w:val="20"/>
                <w:szCs w:val="20"/>
                <w:color w:val="auto"/>
              </w:rPr>
            </w:pPr>
            <w:r>
              <w:rPr>
                <w:rFonts w:ascii="Arial" w:cs="Arial" w:eastAsia="Arial" w:hAnsi="Arial"/>
                <w:sz w:val="17"/>
                <w:szCs w:val="17"/>
                <w:color w:val="auto"/>
                <w:w w:val="99"/>
              </w:rPr>
              <w:t>Depreciation and amortization expenses were consistent for the three months ended September 30, 2021 compared to the same period in 2020</w:t>
            </w:r>
          </w:p>
        </w:tc>
      </w:tr>
      <w:tr>
        <w:trPr>
          <w:trHeight w:val="413"/>
        </w:trPr>
        <w:tc>
          <w:tcPr>
            <w:tcW w:w="4600" w:type="dxa"/>
            <w:vAlign w:val="bottom"/>
          </w:tcPr>
          <w:p>
            <w:pPr>
              <w:spacing w:after="0"/>
              <w:rPr>
                <w:sz w:val="20"/>
                <w:szCs w:val="20"/>
                <w:color w:val="auto"/>
              </w:rPr>
            </w:pPr>
            <w:r>
              <w:rPr>
                <w:rFonts w:ascii="Arial" w:cs="Arial" w:eastAsia="Arial" w:hAnsi="Arial"/>
                <w:sz w:val="17"/>
                <w:szCs w:val="17"/>
                <w:b w:val="1"/>
                <w:bCs w:val="1"/>
                <w:i w:val="1"/>
                <w:iCs w:val="1"/>
                <w:color w:val="auto"/>
              </w:rPr>
              <w:t>Other Income (Expense), net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8"/>
        </w:trPr>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40" w:type="dxa"/>
            <w:vAlign w:val="bottom"/>
            <w:gridSpan w:val="8"/>
          </w:tcPr>
          <w:p>
            <w:pPr>
              <w:ind w:left="20"/>
              <w:spacing w:after="0"/>
              <w:rPr>
                <w:sz w:val="20"/>
                <w:szCs w:val="20"/>
                <w:color w:val="auto"/>
              </w:rPr>
            </w:pPr>
            <w:r>
              <w:rPr>
                <w:rFonts w:ascii="Arial" w:cs="Arial" w:eastAsia="Arial" w:hAnsi="Arial"/>
                <w:sz w:val="17"/>
                <w:szCs w:val="17"/>
                <w:b w:val="1"/>
                <w:bCs w:val="1"/>
                <w:color w:val="auto"/>
              </w:rPr>
              <w:t>Three Months Ended September 30,</w:t>
            </w:r>
          </w:p>
        </w:tc>
        <w:tc>
          <w:tcPr>
            <w:tcW w:w="620" w:type="dxa"/>
            <w:vAlign w:val="bottom"/>
          </w:tcPr>
          <w:p>
            <w:pPr>
              <w:spacing w:after="0"/>
              <w:rPr>
                <w:sz w:val="24"/>
                <w:szCs w:val="24"/>
                <w:color w:val="auto"/>
              </w:rPr>
            </w:pPr>
          </w:p>
        </w:tc>
        <w:tc>
          <w:tcPr>
            <w:tcW w:w="1220" w:type="dxa"/>
            <w:vAlign w:val="bottom"/>
          </w:tcPr>
          <w:p>
            <w:pPr>
              <w:jc w:val="right"/>
              <w:ind w:right="194"/>
              <w:spacing w:after="0"/>
              <w:rPr>
                <w:sz w:val="20"/>
                <w:szCs w:val="20"/>
                <w:color w:val="auto"/>
              </w:rPr>
            </w:pPr>
            <w:r>
              <w:rPr>
                <w:rFonts w:ascii="Arial" w:cs="Arial" w:eastAsia="Arial" w:hAnsi="Arial"/>
                <w:sz w:val="17"/>
                <w:szCs w:val="17"/>
                <w:b w:val="1"/>
                <w:bCs w:val="1"/>
                <w:color w:val="auto"/>
              </w:rPr>
              <w:t>Change</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3"/>
        </w:trPr>
        <w:tc>
          <w:tcPr>
            <w:tcW w:w="46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r>
      <w:tr>
        <w:trPr>
          <w:trHeight w:val="212"/>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gridSpan w:val="5"/>
          </w:tcPr>
          <w:p>
            <w:pPr>
              <w:jc w:val="right"/>
              <w:ind w:right="134"/>
              <w:spacing w:after="0"/>
              <w:rPr>
                <w:sz w:val="20"/>
                <w:szCs w:val="20"/>
                <w:color w:val="auto"/>
              </w:rPr>
            </w:pPr>
            <w:r>
              <w:rPr>
                <w:rFonts w:ascii="Arial" w:cs="Arial" w:eastAsia="Arial" w:hAnsi="Arial"/>
                <w:sz w:val="17"/>
                <w:szCs w:val="17"/>
                <w:b w:val="1"/>
                <w:bCs w:val="1"/>
                <w:color w:val="auto"/>
              </w:rPr>
              <w:t>(dollars in thousands)</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fair value of warrant liability</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45,837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460" w:type="dxa"/>
            <w:vAlign w:val="bottom"/>
            <w:gridSpan w:val="4"/>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8"/>
              </w:rPr>
              <w:t>45,837</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40" w:type="dxa"/>
            <w:vAlign w:val="bottom"/>
          </w:tcPr>
          <w:p>
            <w:pPr>
              <w:spacing w:after="0"/>
              <w:rPr>
                <w:sz w:val="19"/>
                <w:szCs w:val="19"/>
                <w:color w:val="auto"/>
              </w:rPr>
            </w:pPr>
          </w:p>
        </w:tc>
      </w:tr>
      <w:tr>
        <w:trPr>
          <w:trHeight w:val="218"/>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expense, net</w:t>
            </w: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(300)</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(662)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ind w:right="654"/>
              <w:spacing w:after="0"/>
              <w:rPr>
                <w:sz w:val="20"/>
                <w:szCs w:val="20"/>
                <w:color w:val="auto"/>
              </w:rPr>
            </w:pPr>
            <w:r>
              <w:rPr>
                <w:rFonts w:ascii="Arial" w:cs="Arial" w:eastAsia="Arial" w:hAnsi="Arial"/>
                <w:sz w:val="17"/>
                <w:szCs w:val="17"/>
                <w:color w:val="auto"/>
              </w:rPr>
              <w:t>362</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(55)%</w:t>
            </w:r>
          </w:p>
        </w:tc>
        <w:tc>
          <w:tcPr>
            <w:tcW w:w="140" w:type="dxa"/>
            <w:vAlign w:val="bottom"/>
          </w:tcPr>
          <w:p>
            <w:pPr>
              <w:spacing w:after="0"/>
              <w:rPr>
                <w:sz w:val="18"/>
                <w:szCs w:val="18"/>
                <w:color w:val="auto"/>
              </w:rPr>
            </w:pPr>
          </w:p>
        </w:tc>
      </w:tr>
      <w:tr>
        <w:trPr>
          <w:trHeight w:val="213"/>
        </w:trPr>
        <w:tc>
          <w:tcPr>
            <w:tcW w:w="4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income (expense), net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45,537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(662)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8"/>
              </w:rPr>
              <w:t>46,199</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c>
          <w:tcPr>
            <w:tcW w:w="14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660" w:type="dxa"/>
            <w:vAlign w:val="bottom"/>
          </w:tcPr>
          <w:p>
            <w:pPr>
              <w:spacing w:after="0"/>
              <w:rPr>
                <w:sz w:val="20"/>
                <w:szCs w:val="20"/>
                <w:color w:val="auto"/>
              </w:rPr>
            </w:pPr>
            <w:r>
              <w:rPr>
                <w:rFonts w:ascii="Arial" w:cs="Arial" w:eastAsia="Arial" w:hAnsi="Arial"/>
                <w:sz w:val="17"/>
                <w:szCs w:val="17"/>
                <w:color w:val="auto"/>
              </w:rPr>
              <w:t>Percentage of revenue</w:t>
            </w:r>
          </w:p>
        </w:tc>
        <w:tc>
          <w:tcPr>
            <w:tcW w:w="3160" w:type="dxa"/>
            <w:vAlign w:val="bottom"/>
          </w:tcPr>
          <w:p>
            <w:pPr>
              <w:jc w:val="right"/>
              <w:ind w:right="574"/>
              <w:spacing w:after="0"/>
              <w:rPr>
                <w:sz w:val="20"/>
                <w:szCs w:val="20"/>
                <w:color w:val="auto"/>
              </w:rPr>
            </w:pPr>
            <w:r>
              <w:rPr>
                <w:rFonts w:ascii="Arial" w:cs="Arial" w:eastAsia="Arial" w:hAnsi="Arial"/>
                <w:sz w:val="17"/>
                <w:szCs w:val="17"/>
                <w:color w:val="auto"/>
              </w:rPr>
              <w:t>89 %</w:t>
            </w: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Other income, net increased by $46.2 million for the three months ended September 30, 2021 compared to the same period in 2020. The increase in other income was primarily due to changes in fair value of warrant liability of $45.8 million. The decrease in other expense, net of $0.3 million was primarily due to changes in foreign currency transaction losses.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20" w:type="dxa"/>
            <w:vAlign w:val="bottom"/>
          </w:tcPr>
          <w:p>
            <w:pPr>
              <w:spacing w:after="0"/>
              <w:rPr>
                <w:sz w:val="20"/>
                <w:szCs w:val="20"/>
                <w:color w:val="auto"/>
              </w:rPr>
            </w:pPr>
            <w:r>
              <w:rPr>
                <w:rFonts w:ascii="Arial" w:cs="Arial" w:eastAsia="Arial" w:hAnsi="Arial"/>
                <w:sz w:val="17"/>
                <w:szCs w:val="17"/>
                <w:b w:val="1"/>
                <w:bCs w:val="1"/>
                <w:i w:val="1"/>
                <w:iCs w:val="1"/>
                <w:color w:val="auto"/>
                <w:w w:val="93"/>
              </w:rPr>
              <w:t>Comparison of Nine Months Ended September 30, 2021 and 2020</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09"/>
        </w:trPr>
        <w:tc>
          <w:tcPr>
            <w:tcW w:w="4920" w:type="dxa"/>
            <w:vAlign w:val="bottom"/>
          </w:tcPr>
          <w:p>
            <w:pPr>
              <w:spacing w:after="0"/>
              <w:rPr>
                <w:sz w:val="20"/>
                <w:szCs w:val="20"/>
                <w:color w:val="auto"/>
              </w:rPr>
            </w:pPr>
            <w:r>
              <w:rPr>
                <w:rFonts w:ascii="Arial" w:cs="Arial" w:eastAsia="Arial" w:hAnsi="Arial"/>
                <w:sz w:val="17"/>
                <w:szCs w:val="17"/>
                <w:b w:val="1"/>
                <w:bCs w:val="1"/>
                <w:i w:val="1"/>
                <w:iCs w:val="1"/>
                <w:color w:val="auto"/>
              </w:rPr>
              <w:t>Revenue</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9"/>
        </w:trPr>
        <w:tc>
          <w:tcPr>
            <w:tcW w:w="4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gridSpan w:val="4"/>
          </w:tcPr>
          <w:p>
            <w:pPr>
              <w:ind w:left="60"/>
              <w:spacing w:after="0"/>
              <w:rPr>
                <w:sz w:val="20"/>
                <w:szCs w:val="20"/>
                <w:color w:val="auto"/>
              </w:rPr>
            </w:pPr>
            <w:r>
              <w:rPr>
                <w:rFonts w:ascii="Arial" w:cs="Arial" w:eastAsia="Arial" w:hAnsi="Arial"/>
                <w:sz w:val="17"/>
                <w:szCs w:val="17"/>
                <w:b w:val="1"/>
                <w:bCs w:val="1"/>
                <w:color w:val="auto"/>
              </w:rPr>
              <w:t>Nine Months Ended September 30,</w:t>
            </w:r>
          </w:p>
        </w:tc>
        <w:tc>
          <w:tcPr>
            <w:tcW w:w="860" w:type="dxa"/>
            <w:vAlign w:val="bottom"/>
          </w:tcPr>
          <w:p>
            <w:pPr>
              <w:spacing w:after="0"/>
              <w:rPr>
                <w:sz w:val="24"/>
                <w:szCs w:val="24"/>
                <w:color w:val="auto"/>
              </w:rPr>
            </w:pPr>
          </w:p>
        </w:tc>
        <w:tc>
          <w:tcPr>
            <w:tcW w:w="1140" w:type="dxa"/>
            <w:vAlign w:val="bottom"/>
          </w:tcPr>
          <w:p>
            <w:pPr>
              <w:jc w:val="right"/>
              <w:ind w:right="74"/>
              <w:spacing w:after="0"/>
              <w:rPr>
                <w:sz w:val="20"/>
                <w:szCs w:val="20"/>
                <w:color w:val="auto"/>
              </w:rPr>
            </w:pPr>
            <w:r>
              <w:rPr>
                <w:rFonts w:ascii="Arial" w:cs="Arial" w:eastAsia="Arial" w:hAnsi="Arial"/>
                <w:sz w:val="17"/>
                <w:szCs w:val="17"/>
                <w:b w:val="1"/>
                <w:bCs w:val="1"/>
                <w:color w:val="auto"/>
              </w:rPr>
              <w:t>Change</w:t>
            </w:r>
          </w:p>
        </w:tc>
        <w:tc>
          <w:tcPr>
            <w:tcW w:w="1100" w:type="dxa"/>
            <w:vAlign w:val="bottom"/>
          </w:tcPr>
          <w:p>
            <w:pPr>
              <w:spacing w:after="0"/>
              <w:rPr>
                <w:sz w:val="24"/>
                <w:szCs w:val="24"/>
                <w:color w:val="auto"/>
              </w:rPr>
            </w:pPr>
          </w:p>
        </w:tc>
      </w:tr>
      <w:tr>
        <w:trPr>
          <w:trHeight w:val="213"/>
        </w:trPr>
        <w:tc>
          <w:tcPr>
            <w:tcW w:w="49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w:t>
            </w:r>
          </w:p>
        </w:tc>
      </w:tr>
      <w:tr>
        <w:trPr>
          <w:trHeight w:val="212"/>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3"/>
          </w:tcPr>
          <w:p>
            <w:pPr>
              <w:jc w:val="right"/>
              <w:spacing w:after="0"/>
              <w:rPr>
                <w:sz w:val="20"/>
                <w:szCs w:val="20"/>
                <w:color w:val="auto"/>
              </w:rPr>
            </w:pPr>
            <w:r>
              <w:rPr>
                <w:rFonts w:ascii="Arial" w:cs="Arial" w:eastAsia="Arial" w:hAnsi="Arial"/>
                <w:sz w:val="17"/>
                <w:szCs w:val="17"/>
                <w:b w:val="1"/>
                <w:bCs w:val="1"/>
                <w:color w:val="auto"/>
              </w:rPr>
              <w:t>(dollars in thousands)</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138,969</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117,470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w w:val="96"/>
              </w:rPr>
              <w:t>21,499</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r>
    </w:tbl>
    <w:p>
      <w:pPr>
        <w:spacing w:after="0" w:line="181"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6"/>
          <w:szCs w:val="16"/>
          <w:color w:val="auto"/>
        </w:rPr>
        <w:t>Total revenue increased by $21.5 million, or 18% for the nine months ended September 30, 2021 compared to the same period in 2020. The increase was driven by a 19% increase in average monthly revenue per paying client, partially offset by a 1% decrease in average monthly paying clients in the period as a result of factors described below. Our growth in average monthly revenue per paying client reflects continued growth in our WM Business subscription offering and other ad solutions, more client engagement driven by the increased functionality across our WM Business suite of solutions and the impact of the pricing increase related to transitioning all of our standard listing subscription clients to our new WM Business subscription package at the beginning of 2021. These impacts were partially offset by the removal of Canada-based clients who had higher monthly spend than our average client base as well as the elimination of our technology services fee on all delivery orders. For the nine months ended September 30, 2021, Featured Listing product, WM Business subscription offering and other ad solutions represented 56%, 23% and 21% of our total revenues, respectively.</w:t>
      </w:r>
    </w:p>
    <w:p>
      <w:pPr>
        <w:spacing w:after="0" w:line="67"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Total revenue excluding Canada was $139.0 million for the nine months ended September 30, 2021 compared to $91.3 million in the same period in 2020. The increase of $47.7 million, or 52%, in total revenue excluding Canada was primarily driven by a 23% increase in average monthly revenue per paying client and a 24% increase in average monthly paying clients.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Pr>
          <w:p>
            <w:pPr>
              <w:spacing w:after="0"/>
              <w:rPr>
                <w:sz w:val="20"/>
                <w:szCs w:val="20"/>
                <w:color w:val="auto"/>
              </w:rPr>
            </w:pPr>
            <w:r>
              <w:rPr>
                <w:rFonts w:ascii="Arial" w:cs="Arial" w:eastAsia="Arial" w:hAnsi="Arial"/>
                <w:sz w:val="17"/>
                <w:szCs w:val="17"/>
                <w:b w:val="1"/>
                <w:bCs w:val="1"/>
                <w:i w:val="1"/>
                <w:iCs w:val="1"/>
                <w:color w:val="auto"/>
              </w:rPr>
              <w:t>Cost of Revenue</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49"/>
        </w:trPr>
        <w:tc>
          <w:tcPr>
            <w:tcW w:w="4860" w:type="dxa"/>
            <w:vAlign w:val="bottom"/>
          </w:tcPr>
          <w:p>
            <w:pPr>
              <w:spacing w:after="0"/>
              <w:rPr>
                <w:sz w:val="24"/>
                <w:szCs w:val="24"/>
                <w:color w:val="auto"/>
              </w:rPr>
            </w:pPr>
          </w:p>
        </w:tc>
        <w:tc>
          <w:tcPr>
            <w:tcW w:w="3320" w:type="dxa"/>
            <w:vAlign w:val="bottom"/>
            <w:gridSpan w:val="5"/>
          </w:tcPr>
          <w:p>
            <w:pPr>
              <w:ind w:left="340"/>
              <w:spacing w:after="0"/>
              <w:rPr>
                <w:sz w:val="20"/>
                <w:szCs w:val="20"/>
                <w:color w:val="auto"/>
              </w:rPr>
            </w:pPr>
            <w:r>
              <w:rPr>
                <w:rFonts w:ascii="Arial" w:cs="Arial" w:eastAsia="Arial" w:hAnsi="Arial"/>
                <w:sz w:val="17"/>
                <w:szCs w:val="17"/>
                <w:b w:val="1"/>
                <w:bCs w:val="1"/>
                <w:color w:val="auto"/>
              </w:rPr>
              <w:t>Nine Months Ended September 30,</w:t>
            </w:r>
          </w:p>
        </w:tc>
        <w:tc>
          <w:tcPr>
            <w:tcW w:w="940" w:type="dxa"/>
            <w:vAlign w:val="bottom"/>
          </w:tcPr>
          <w:p>
            <w:pPr>
              <w:spacing w:after="0"/>
              <w:rPr>
                <w:sz w:val="24"/>
                <w:szCs w:val="24"/>
                <w:color w:val="auto"/>
              </w:rPr>
            </w:pPr>
          </w:p>
        </w:tc>
        <w:tc>
          <w:tcPr>
            <w:tcW w:w="960" w:type="dxa"/>
            <w:vAlign w:val="bottom"/>
          </w:tcPr>
          <w:p>
            <w:pPr>
              <w:jc w:val="right"/>
              <w:ind w:right="74"/>
              <w:spacing w:after="0"/>
              <w:rPr>
                <w:sz w:val="20"/>
                <w:szCs w:val="20"/>
                <w:color w:val="auto"/>
              </w:rPr>
            </w:pPr>
            <w:r>
              <w:rPr>
                <w:rFonts w:ascii="Arial" w:cs="Arial" w:eastAsia="Arial" w:hAnsi="Arial"/>
                <w:sz w:val="17"/>
                <w:szCs w:val="17"/>
                <w:b w:val="1"/>
                <w:bCs w:val="1"/>
                <w:color w:val="auto"/>
              </w:rPr>
              <w:t>Change</w:t>
            </w:r>
          </w:p>
        </w:tc>
        <w:tc>
          <w:tcPr>
            <w:tcW w:w="1020" w:type="dxa"/>
            <w:vAlign w:val="bottom"/>
          </w:tcPr>
          <w:p>
            <w:pPr>
              <w:spacing w:after="0"/>
              <w:rPr>
                <w:sz w:val="24"/>
                <w:szCs w:val="24"/>
                <w:color w:val="auto"/>
              </w:rPr>
            </w:pPr>
          </w:p>
        </w:tc>
      </w:tr>
      <w:tr>
        <w:trPr>
          <w:trHeight w:val="213"/>
        </w:trPr>
        <w:tc>
          <w:tcPr>
            <w:tcW w:w="48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w:t>
            </w:r>
          </w:p>
        </w:tc>
      </w:tr>
      <w:tr>
        <w:trPr>
          <w:trHeight w:val="212"/>
        </w:trPr>
        <w:tc>
          <w:tcPr>
            <w:tcW w:w="4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60" w:type="dxa"/>
            <w:vAlign w:val="bottom"/>
            <w:gridSpan w:val="4"/>
          </w:tcPr>
          <w:p>
            <w:pPr>
              <w:jc w:val="right"/>
              <w:ind w:right="254"/>
              <w:spacing w:after="0"/>
              <w:rPr>
                <w:sz w:val="20"/>
                <w:szCs w:val="20"/>
                <w:color w:val="auto"/>
              </w:rPr>
            </w:pPr>
            <w:r>
              <w:rPr>
                <w:rFonts w:ascii="Arial" w:cs="Arial" w:eastAsia="Arial" w:hAnsi="Arial"/>
                <w:sz w:val="17"/>
                <w:szCs w:val="17"/>
                <w:b w:val="1"/>
                <w:bCs w:val="1"/>
                <w:color w:val="auto"/>
              </w:rPr>
              <w:t>(dollars in thousands)</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revenues</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9"/>
              </w:rPr>
              <w:t>5,800</w:t>
            </w:r>
          </w:p>
        </w:tc>
        <w:tc>
          <w:tcPr>
            <w:tcW w:w="102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9"/>
              </w:rPr>
              <w:t>5,572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228</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8"/>
        </w:trPr>
        <w:tc>
          <w:tcPr>
            <w:tcW w:w="486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96 %</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95 %</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17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Cost of revenues increased by $0.2 million, or 4% for the nine months ended September 30, 2021 compared to the same period in 2020. The increase was due to an increase in web hosting and internet services of $0.8 million due to increased traffic to our website, offset by a decrease of $0.6 million in payment processing fees, as we provided more cost effective payment options to our clients.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40" w:type="dxa"/>
            <w:vAlign w:val="bottom"/>
          </w:tcPr>
          <w:p>
            <w:pPr>
              <w:spacing w:after="0"/>
              <w:rPr>
                <w:sz w:val="20"/>
                <w:szCs w:val="20"/>
                <w:color w:val="auto"/>
              </w:rPr>
            </w:pPr>
            <w:r>
              <w:rPr>
                <w:rFonts w:ascii="Arial" w:cs="Arial" w:eastAsia="Arial" w:hAnsi="Arial"/>
                <w:sz w:val="17"/>
                <w:szCs w:val="17"/>
                <w:b w:val="1"/>
                <w:bCs w:val="1"/>
                <w:i w:val="1"/>
                <w:iCs w:val="1"/>
                <w:color w:val="auto"/>
              </w:rPr>
              <w:t>Sales and Marketing Expenses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49"/>
        </w:trPr>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4"/>
          </w:tcPr>
          <w:p>
            <w:pPr>
              <w:ind w:left="100"/>
              <w:spacing w:after="0"/>
              <w:rPr>
                <w:sz w:val="20"/>
                <w:szCs w:val="20"/>
                <w:color w:val="auto"/>
              </w:rPr>
            </w:pPr>
            <w:r>
              <w:rPr>
                <w:rFonts w:ascii="Arial" w:cs="Arial" w:eastAsia="Arial" w:hAnsi="Arial"/>
                <w:sz w:val="17"/>
                <w:szCs w:val="17"/>
                <w:b w:val="1"/>
                <w:bCs w:val="1"/>
                <w:color w:val="auto"/>
              </w:rPr>
              <w:t>Nine Months Ended September 30,</w:t>
            </w:r>
          </w:p>
        </w:tc>
        <w:tc>
          <w:tcPr>
            <w:tcW w:w="840" w:type="dxa"/>
            <w:vAlign w:val="bottom"/>
          </w:tcPr>
          <w:p>
            <w:pPr>
              <w:spacing w:after="0"/>
              <w:rPr>
                <w:sz w:val="24"/>
                <w:szCs w:val="24"/>
                <w:color w:val="auto"/>
              </w:rPr>
            </w:pPr>
          </w:p>
        </w:tc>
        <w:tc>
          <w:tcPr>
            <w:tcW w:w="1080" w:type="dxa"/>
            <w:vAlign w:val="bottom"/>
          </w:tcPr>
          <w:p>
            <w:pPr>
              <w:jc w:val="right"/>
              <w:ind w:right="94"/>
              <w:spacing w:after="0"/>
              <w:rPr>
                <w:sz w:val="20"/>
                <w:szCs w:val="20"/>
                <w:color w:val="auto"/>
              </w:rPr>
            </w:pPr>
            <w:r>
              <w:rPr>
                <w:rFonts w:ascii="Arial" w:cs="Arial" w:eastAsia="Arial" w:hAnsi="Arial"/>
                <w:sz w:val="17"/>
                <w:szCs w:val="17"/>
                <w:b w:val="1"/>
                <w:bCs w:val="1"/>
                <w:color w:val="auto"/>
              </w:rPr>
              <w:t>Change</w:t>
            </w:r>
          </w:p>
        </w:tc>
        <w:tc>
          <w:tcPr>
            <w:tcW w:w="1020" w:type="dxa"/>
            <w:vAlign w:val="bottom"/>
          </w:tcPr>
          <w:p>
            <w:pPr>
              <w:spacing w:after="0"/>
              <w:rPr>
                <w:sz w:val="24"/>
                <w:szCs w:val="24"/>
                <w:color w:val="auto"/>
              </w:rPr>
            </w:pPr>
          </w:p>
        </w:tc>
      </w:tr>
      <w:tr>
        <w:trPr>
          <w:trHeight w:val="213"/>
        </w:trPr>
        <w:tc>
          <w:tcPr>
            <w:tcW w:w="48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w:t>
            </w:r>
          </w:p>
        </w:tc>
      </w:tr>
      <w:tr>
        <w:trPr>
          <w:trHeight w:val="212"/>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gridSpan w:val="3"/>
          </w:tcPr>
          <w:p>
            <w:pPr>
              <w:jc w:val="right"/>
              <w:ind w:right="154"/>
              <w:spacing w:after="0"/>
              <w:rPr>
                <w:sz w:val="20"/>
                <w:szCs w:val="20"/>
                <w:color w:val="auto"/>
              </w:rPr>
            </w:pPr>
            <w:r>
              <w:rPr>
                <w:rFonts w:ascii="Arial" w:cs="Arial" w:eastAsia="Arial" w:hAnsi="Arial"/>
                <w:sz w:val="17"/>
                <w:szCs w:val="17"/>
                <w:b w:val="1"/>
                <w:bCs w:val="1"/>
                <w:color w:val="auto"/>
              </w:rPr>
              <w:t>(dollars in thousands)</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 expenses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37,194</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21,437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96"/>
              </w:rPr>
              <w:t>15,757</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18"/>
        </w:trPr>
        <w:tc>
          <w:tcPr>
            <w:tcW w:w="484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27 %</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183"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Sales and marketing expenses increased by $15.8 million, or 74% for the nine months ended September 30, 2021 compared to the same period in 2020. The increase was primarily due to an increase in personnel-related costs of $9.7 million, as a result of increased headcount, an increase in sales incentive plan compensation of $1.4 million due to higher revenues, and an increase in stock-based compensation expense of $4.5 million recognized in 2021, an increase in event costs of $2.4 million, primarily related to a large event held in the second quarter of 2021, an increase in online advertising costs of $1.7 million as more advertising options become available in the cannabis industry, an increase in outside services of $0.8 million and an increase in branding and advertising of $0.8 million. Our stock-based compensation increased due in part to the removal of certain limitations on the exercisability of certain equity awards issued to employees and consultants upon the completion of the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Business Combination. The increase in stock-based compensation expense was also driven by the issuance of restricted stock units to our employees during the third quarter of 2021.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tcPr>
          <w:p>
            <w:pPr>
              <w:spacing w:after="0"/>
              <w:rPr>
                <w:sz w:val="20"/>
                <w:szCs w:val="20"/>
                <w:color w:val="auto"/>
              </w:rPr>
            </w:pPr>
            <w:r>
              <w:rPr>
                <w:rFonts w:ascii="Arial" w:cs="Arial" w:eastAsia="Arial" w:hAnsi="Arial"/>
                <w:sz w:val="17"/>
                <w:szCs w:val="17"/>
                <w:b w:val="1"/>
                <w:bCs w:val="1"/>
                <w:i w:val="1"/>
                <w:iCs w:val="1"/>
                <w:color w:val="auto"/>
              </w:rPr>
              <w:t>Product Development Expenses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49"/>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4"/>
          </w:tcPr>
          <w:p>
            <w:pPr>
              <w:ind w:left="100"/>
              <w:spacing w:after="0"/>
              <w:rPr>
                <w:sz w:val="20"/>
                <w:szCs w:val="20"/>
                <w:color w:val="auto"/>
              </w:rPr>
            </w:pPr>
            <w:r>
              <w:rPr>
                <w:rFonts w:ascii="Arial" w:cs="Arial" w:eastAsia="Arial" w:hAnsi="Arial"/>
                <w:sz w:val="17"/>
                <w:szCs w:val="17"/>
                <w:b w:val="1"/>
                <w:bCs w:val="1"/>
                <w:color w:val="auto"/>
              </w:rPr>
              <w:t>Nine Months Ended September 30,</w:t>
            </w:r>
          </w:p>
        </w:tc>
        <w:tc>
          <w:tcPr>
            <w:tcW w:w="880" w:type="dxa"/>
            <w:vAlign w:val="bottom"/>
          </w:tcPr>
          <w:p>
            <w:pPr>
              <w:spacing w:after="0"/>
              <w:rPr>
                <w:sz w:val="24"/>
                <w:szCs w:val="24"/>
                <w:color w:val="auto"/>
              </w:rPr>
            </w:pPr>
          </w:p>
        </w:tc>
        <w:tc>
          <w:tcPr>
            <w:tcW w:w="1020" w:type="dxa"/>
            <w:vAlign w:val="bottom"/>
          </w:tcPr>
          <w:p>
            <w:pPr>
              <w:jc w:val="right"/>
              <w:ind w:right="74"/>
              <w:spacing w:after="0"/>
              <w:rPr>
                <w:sz w:val="20"/>
                <w:szCs w:val="20"/>
                <w:color w:val="auto"/>
              </w:rPr>
            </w:pPr>
            <w:r>
              <w:rPr>
                <w:rFonts w:ascii="Arial" w:cs="Arial" w:eastAsia="Arial" w:hAnsi="Arial"/>
                <w:sz w:val="17"/>
                <w:szCs w:val="17"/>
                <w:b w:val="1"/>
                <w:bCs w:val="1"/>
                <w:color w:val="auto"/>
              </w:rPr>
              <w:t>Change</w:t>
            </w:r>
          </w:p>
        </w:tc>
        <w:tc>
          <w:tcPr>
            <w:tcW w:w="1000" w:type="dxa"/>
            <w:vAlign w:val="bottom"/>
          </w:tcPr>
          <w:p>
            <w:pPr>
              <w:spacing w:after="0"/>
              <w:rPr>
                <w:sz w:val="24"/>
                <w:szCs w:val="24"/>
                <w:color w:val="auto"/>
              </w:rPr>
            </w:pPr>
          </w:p>
        </w:tc>
      </w:tr>
      <w:tr>
        <w:trPr>
          <w:trHeight w:val="213"/>
        </w:trPr>
        <w:tc>
          <w:tcPr>
            <w:tcW w:w="50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w:t>
            </w:r>
          </w:p>
        </w:tc>
      </w:tr>
      <w:tr>
        <w:trPr>
          <w:trHeight w:val="212"/>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gridSpan w:val="3"/>
          </w:tcPr>
          <w:p>
            <w:pPr>
              <w:jc w:val="right"/>
              <w:ind w:right="194"/>
              <w:spacing w:after="0"/>
              <w:rPr>
                <w:sz w:val="20"/>
                <w:szCs w:val="20"/>
                <w:color w:val="auto"/>
              </w:rPr>
            </w:pPr>
            <w:r>
              <w:rPr>
                <w:rFonts w:ascii="Arial" w:cs="Arial" w:eastAsia="Arial" w:hAnsi="Arial"/>
                <w:sz w:val="17"/>
                <w:szCs w:val="17"/>
                <w:b w:val="1"/>
                <w:bCs w:val="1"/>
                <w:color w:val="auto"/>
              </w:rPr>
              <w:t>(dollars in thousands)</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development expenses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25,921</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20,325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5,596</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18"/>
        </w:trPr>
        <w:tc>
          <w:tcPr>
            <w:tcW w:w="502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19 %</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183"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Product development expenses increased by $5.6 million, or 28% for the nine months ended September 30, 2021 compared to the same period in 2020. The increase was due to an increase in personnel-related costs of $8.9 million, as a result of increased headcount and an increase of $3.9 million in stock-based compensation expense recognized in 2021 and an increase in outside services of $0.4 million, offset by capitalized software development costs of $3.7 million. Our stock-based compensation increased due in part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third quarter of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40" w:type="dxa"/>
            <w:vAlign w:val="bottom"/>
          </w:tcPr>
          <w:p>
            <w:pPr>
              <w:spacing w:after="0"/>
              <w:rPr>
                <w:sz w:val="20"/>
                <w:szCs w:val="20"/>
                <w:color w:val="auto"/>
              </w:rPr>
            </w:pPr>
            <w:r>
              <w:rPr>
                <w:rFonts w:ascii="Arial" w:cs="Arial" w:eastAsia="Arial" w:hAnsi="Arial"/>
                <w:sz w:val="17"/>
                <w:szCs w:val="17"/>
                <w:b w:val="1"/>
                <w:bCs w:val="1"/>
                <w:i w:val="1"/>
                <w:iCs w:val="1"/>
                <w:color w:val="auto"/>
              </w:rPr>
              <w:t>General and Administrative Expenses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49"/>
        </w:trPr>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gridSpan w:val="4"/>
          </w:tcPr>
          <w:p>
            <w:pPr>
              <w:ind w:left="100"/>
              <w:spacing w:after="0"/>
              <w:rPr>
                <w:sz w:val="20"/>
                <w:szCs w:val="20"/>
                <w:color w:val="auto"/>
              </w:rPr>
            </w:pPr>
            <w:r>
              <w:rPr>
                <w:rFonts w:ascii="Arial" w:cs="Arial" w:eastAsia="Arial" w:hAnsi="Arial"/>
                <w:sz w:val="17"/>
                <w:szCs w:val="17"/>
                <w:b w:val="1"/>
                <w:bCs w:val="1"/>
                <w:color w:val="auto"/>
              </w:rPr>
              <w:t>Nine Months Ended September 30,</w:t>
            </w:r>
          </w:p>
        </w:tc>
        <w:tc>
          <w:tcPr>
            <w:tcW w:w="820" w:type="dxa"/>
            <w:vAlign w:val="bottom"/>
          </w:tcPr>
          <w:p>
            <w:pPr>
              <w:spacing w:after="0"/>
              <w:rPr>
                <w:sz w:val="24"/>
                <w:szCs w:val="24"/>
                <w:color w:val="auto"/>
              </w:rPr>
            </w:pPr>
          </w:p>
        </w:tc>
        <w:tc>
          <w:tcPr>
            <w:tcW w:w="1060" w:type="dxa"/>
            <w:vAlign w:val="bottom"/>
          </w:tcPr>
          <w:p>
            <w:pPr>
              <w:jc w:val="right"/>
              <w:ind w:right="74"/>
              <w:spacing w:after="0"/>
              <w:rPr>
                <w:sz w:val="20"/>
                <w:szCs w:val="20"/>
                <w:color w:val="auto"/>
              </w:rPr>
            </w:pPr>
            <w:r>
              <w:rPr>
                <w:rFonts w:ascii="Arial" w:cs="Arial" w:eastAsia="Arial" w:hAnsi="Arial"/>
                <w:sz w:val="17"/>
                <w:szCs w:val="17"/>
                <w:b w:val="1"/>
                <w:bCs w:val="1"/>
                <w:color w:val="auto"/>
              </w:rPr>
              <w:t>Change</w:t>
            </w:r>
          </w:p>
        </w:tc>
        <w:tc>
          <w:tcPr>
            <w:tcW w:w="980" w:type="dxa"/>
            <w:vAlign w:val="bottom"/>
          </w:tcPr>
          <w:p>
            <w:pPr>
              <w:spacing w:after="0"/>
              <w:rPr>
                <w:sz w:val="24"/>
                <w:szCs w:val="24"/>
                <w:color w:val="auto"/>
              </w:rPr>
            </w:pPr>
          </w:p>
        </w:tc>
      </w:tr>
      <w:tr>
        <w:trPr>
          <w:trHeight w:val="213"/>
        </w:trPr>
        <w:tc>
          <w:tcPr>
            <w:tcW w:w="5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w:t>
            </w:r>
          </w:p>
        </w:tc>
      </w:tr>
      <w:tr>
        <w:trPr>
          <w:trHeight w:val="212"/>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3"/>
          </w:tcPr>
          <w:p>
            <w:pPr>
              <w:jc w:val="right"/>
              <w:ind w:right="114"/>
              <w:spacing w:after="0"/>
              <w:rPr>
                <w:sz w:val="20"/>
                <w:szCs w:val="20"/>
                <w:color w:val="auto"/>
              </w:rPr>
            </w:pPr>
            <w:r>
              <w:rPr>
                <w:rFonts w:ascii="Arial" w:cs="Arial" w:eastAsia="Arial" w:hAnsi="Arial"/>
                <w:sz w:val="17"/>
                <w:szCs w:val="17"/>
                <w:b w:val="1"/>
                <w:bCs w:val="1"/>
                <w:color w:val="auto"/>
              </w:rPr>
              <w:t>(dollars in thousands)</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70,356</w:t>
            </w:r>
          </w:p>
        </w:tc>
        <w:tc>
          <w:tcPr>
            <w:tcW w:w="3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37,147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92"/>
              </w:rPr>
              <w:t>33,209</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r>
      <w:tr>
        <w:trPr>
          <w:trHeight w:val="218"/>
        </w:trPr>
        <w:tc>
          <w:tcPr>
            <w:tcW w:w="514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51 %</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32 %</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54" w:lineRule="exact"/>
        <w:rPr>
          <w:sz w:val="20"/>
          <w:szCs w:val="20"/>
          <w:color w:val="auto"/>
        </w:rPr>
      </w:pPr>
    </w:p>
    <w:p>
      <w:pPr>
        <w:jc w:val="both"/>
        <w:ind w:firstLine="464"/>
        <w:spacing w:after="0"/>
        <w:rPr>
          <w:sz w:val="20"/>
          <w:szCs w:val="20"/>
          <w:color w:val="auto"/>
        </w:rPr>
      </w:pPr>
      <w:r>
        <w:rPr>
          <w:rFonts w:ascii="Arial" w:cs="Arial" w:eastAsia="Arial" w:hAnsi="Arial"/>
          <w:sz w:val="16"/>
          <w:szCs w:val="16"/>
          <w:color w:val="auto"/>
        </w:rPr>
        <w:t>General and administrative expenses increased by $33.2 million, or 89% for the nine months ended September 30, 2021 compared to the same period in 2020. This increase was primarily due to an increase in personnel-related costs of $18.8 million as a result of an increase in stock-based compensation expense in 2021 of $15.3 million, bonuses paid related to the completion of the Business Combination and increased severance costs, an increase in insurance costs of $3.9 million due to additional insurance coverage as a public company, an impairment charge of $2.4 million related to a right-of-use asset, an increase in professional and consulting fees of $3.0 million, an increase in allowance for doubtful accounts of $2.4 million, an increase in rent expense of $0.8 million due to a new office lease that commenced in March 2020, and an increase in software cost of $1.4 million as we entered into new software service agreements to effectively operate the business. Our stock-based compensation increased due in part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third quarter of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0" w:type="dxa"/>
            <w:vAlign w:val="bottom"/>
          </w:tcPr>
          <w:p>
            <w:pPr>
              <w:spacing w:after="0"/>
              <w:rPr>
                <w:sz w:val="20"/>
                <w:szCs w:val="20"/>
                <w:color w:val="auto"/>
              </w:rPr>
            </w:pPr>
            <w:r>
              <w:rPr>
                <w:rFonts w:ascii="Arial" w:cs="Arial" w:eastAsia="Arial" w:hAnsi="Arial"/>
                <w:sz w:val="17"/>
                <w:szCs w:val="17"/>
                <w:b w:val="1"/>
                <w:bCs w:val="1"/>
                <w:i w:val="1"/>
                <w:iCs w:val="1"/>
                <w:color w:val="auto"/>
              </w:rPr>
              <w:t>Depreciation and Amortization Expense</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49"/>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4"/>
          </w:tcPr>
          <w:p>
            <w:pPr>
              <w:ind w:left="100"/>
              <w:spacing w:after="0"/>
              <w:rPr>
                <w:sz w:val="20"/>
                <w:szCs w:val="20"/>
                <w:color w:val="auto"/>
              </w:rPr>
            </w:pPr>
            <w:r>
              <w:rPr>
                <w:rFonts w:ascii="Arial" w:cs="Arial" w:eastAsia="Arial" w:hAnsi="Arial"/>
                <w:sz w:val="17"/>
                <w:szCs w:val="17"/>
                <w:b w:val="1"/>
                <w:bCs w:val="1"/>
                <w:color w:val="auto"/>
              </w:rPr>
              <w:t>Nine Months Ended September 30,</w:t>
            </w:r>
          </w:p>
        </w:tc>
        <w:tc>
          <w:tcPr>
            <w:tcW w:w="900" w:type="dxa"/>
            <w:vAlign w:val="bottom"/>
          </w:tcPr>
          <w:p>
            <w:pPr>
              <w:spacing w:after="0"/>
              <w:rPr>
                <w:sz w:val="24"/>
                <w:szCs w:val="24"/>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b w:val="1"/>
                <w:bCs w:val="1"/>
                <w:color w:val="auto"/>
              </w:rPr>
              <w:t>Change</w:t>
            </w:r>
          </w:p>
        </w:tc>
        <w:tc>
          <w:tcPr>
            <w:tcW w:w="980" w:type="dxa"/>
            <w:vAlign w:val="bottom"/>
          </w:tcPr>
          <w:p>
            <w:pPr>
              <w:spacing w:after="0"/>
              <w:rPr>
                <w:sz w:val="24"/>
                <w:szCs w:val="24"/>
                <w:color w:val="auto"/>
              </w:rPr>
            </w:pPr>
          </w:p>
        </w:tc>
      </w:tr>
      <w:tr>
        <w:trPr>
          <w:trHeight w:val="213"/>
        </w:trPr>
        <w:tc>
          <w:tcPr>
            <w:tcW w:w="5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w:t>
            </w:r>
          </w:p>
        </w:tc>
        <w:tc>
          <w:tcPr>
            <w:tcW w:w="9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w:t>
            </w:r>
          </w:p>
        </w:tc>
      </w:tr>
      <w:tr>
        <w:trPr>
          <w:trHeight w:val="212"/>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gridSpan w:val="3"/>
          </w:tcPr>
          <w:p>
            <w:pPr>
              <w:jc w:val="right"/>
              <w:ind w:right="214"/>
              <w:spacing w:after="0"/>
              <w:rPr>
                <w:sz w:val="20"/>
                <w:szCs w:val="20"/>
                <w:color w:val="auto"/>
              </w:rPr>
            </w:pPr>
            <w:r>
              <w:rPr>
                <w:rFonts w:ascii="Arial" w:cs="Arial" w:eastAsia="Arial" w:hAnsi="Arial"/>
                <w:sz w:val="17"/>
                <w:szCs w:val="17"/>
                <w:b w:val="1"/>
                <w:bCs w:val="1"/>
                <w:color w:val="auto"/>
              </w:rPr>
              <w:t>(dollars in thousands)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2,970</w:t>
            </w:r>
          </w:p>
        </w:tc>
        <w:tc>
          <w:tcPr>
            <w:tcW w:w="3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2,980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(10)</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20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2 %</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3 %</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Depreciation and amortization were consistent for the nine months ended September 30, 2021 compared to the same period in 2020.</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00" w:type="dxa"/>
            <w:vAlign w:val="bottom"/>
          </w:tcPr>
          <w:p>
            <w:pPr>
              <w:spacing w:after="0"/>
              <w:rPr>
                <w:sz w:val="20"/>
                <w:szCs w:val="20"/>
                <w:color w:val="auto"/>
              </w:rPr>
            </w:pPr>
            <w:r>
              <w:rPr>
                <w:rFonts w:ascii="Arial" w:cs="Arial" w:eastAsia="Arial" w:hAnsi="Arial"/>
                <w:sz w:val="17"/>
                <w:szCs w:val="17"/>
                <w:b w:val="1"/>
                <w:bCs w:val="1"/>
                <w:i w:val="1"/>
                <w:iCs w:val="1"/>
                <w:color w:val="auto"/>
              </w:rPr>
              <w:t>Other Income (Expense), net</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6"/>
        </w:trPr>
        <w:tc>
          <w:tcPr>
            <w:tcW w:w="5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7"/>
                <w:szCs w:val="17"/>
                <w:b w:val="1"/>
                <w:bCs w:val="1"/>
                <w:color w:val="auto"/>
                <w:w w:val="94"/>
              </w:rPr>
              <w:t>Nine Months Ended September 30,</w:t>
            </w:r>
          </w:p>
        </w:tc>
        <w:tc>
          <w:tcPr>
            <w:tcW w:w="1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rPr>
              <w:t>Change</w:t>
            </w:r>
          </w:p>
        </w:tc>
        <w:tc>
          <w:tcPr>
            <w:tcW w:w="1000" w:type="dxa"/>
            <w:vAlign w:val="bottom"/>
            <w:tcBorders>
              <w:bottom w:val="single" w:sz="8" w:color="auto"/>
            </w:tcBorders>
          </w:tcPr>
          <w:p>
            <w:pPr>
              <w:spacing w:after="0"/>
              <w:rPr>
                <w:sz w:val="21"/>
                <w:szCs w:val="21"/>
                <w:color w:val="auto"/>
              </w:rPr>
            </w:pPr>
          </w:p>
        </w:tc>
      </w:tr>
      <w:tr>
        <w:trPr>
          <w:trHeight w:val="213"/>
        </w:trPr>
        <w:tc>
          <w:tcPr>
            <w:tcW w:w="5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w:t>
            </w:r>
          </w:p>
        </w:tc>
      </w:tr>
      <w:tr>
        <w:trPr>
          <w:trHeight w:val="212"/>
        </w:trPr>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3"/>
          </w:tcPr>
          <w:p>
            <w:pPr>
              <w:jc w:val="right"/>
              <w:ind w:right="134"/>
              <w:spacing w:after="0"/>
              <w:rPr>
                <w:sz w:val="20"/>
                <w:szCs w:val="20"/>
                <w:color w:val="auto"/>
              </w:rPr>
            </w:pPr>
            <w:r>
              <w:rPr>
                <w:rFonts w:ascii="Arial" w:cs="Arial" w:eastAsia="Arial" w:hAnsi="Arial"/>
                <w:sz w:val="17"/>
                <w:szCs w:val="17"/>
                <w:b w:val="1"/>
                <w:bCs w:val="1"/>
                <w:color w:val="auto"/>
              </w:rPr>
              <w:t>(dollars in thousands)</w:t>
            </w: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fair value of warrant liability</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83,628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83,628</w:t>
            </w:r>
          </w:p>
        </w:tc>
        <w:tc>
          <w:tcPr>
            <w:tcW w:w="10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100</w:t>
            </w:r>
          </w:p>
        </w:tc>
      </w:tr>
      <w:tr>
        <w:trPr>
          <w:trHeight w:val="218"/>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expense, net</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(6,341)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(1,277)</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(5,064)</w:t>
            </w:r>
          </w:p>
        </w:tc>
        <w:tc>
          <w:tcPr>
            <w:tcW w:w="100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397</w:t>
            </w:r>
          </w:p>
        </w:tc>
      </w:tr>
      <w:tr>
        <w:trPr>
          <w:trHeight w:val="213"/>
        </w:trPr>
        <w:tc>
          <w:tcPr>
            <w:tcW w:w="51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income (expense), net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77,287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(1,277)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78,564</w:t>
            </w:r>
          </w:p>
        </w:tc>
        <w:tc>
          <w:tcPr>
            <w:tcW w:w="10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N/M</w:t>
            </w:r>
          </w:p>
        </w:tc>
      </w:tr>
      <w:tr>
        <w:trPr>
          <w:trHeight w:val="218"/>
        </w:trPr>
        <w:tc>
          <w:tcPr>
            <w:tcW w:w="510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Other income, net increased by $78.6 million for the nine months ended September 30, 2021 compared to the same period in 2020. The increase in other income was due to changes in fair value of warrant liability of $83.6 million, offset by an increase in other expense, net of $5.1 million. The increase in other expense, net was primarily due to warrant transaction costs of $5.5 million related to the Business Combination, offset by a decrease of $0.6 million related to changes in foreign currency transaction losses.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w:t>
      </w:r>
    </w:p>
    <w:p>
      <w:pPr>
        <w:spacing w:after="0" w:line="114"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show our cash, accounts receivable and working capital as of the dates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1"/>
              </w:rPr>
              <w:t>September 30, 2021</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1"/>
              </w:rPr>
              <w:t>December 31, 2020</w:t>
            </w:r>
          </w:p>
        </w:tc>
      </w:tr>
      <w:tr>
        <w:trPr>
          <w:trHeight w:val="178"/>
        </w:trPr>
        <w:tc>
          <w:tcPr>
            <w:tcW w:w="7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gridSpan w:val="3"/>
          </w:tcPr>
          <w:p>
            <w:pPr>
              <w:jc w:val="right"/>
              <w:ind w:right="1138"/>
              <w:spacing w:after="0"/>
              <w:rPr>
                <w:sz w:val="20"/>
                <w:szCs w:val="20"/>
                <w:color w:val="auto"/>
              </w:rPr>
            </w:pPr>
            <w:r>
              <w:rPr>
                <w:rFonts w:ascii="Arial" w:cs="Arial" w:eastAsia="Arial" w:hAnsi="Arial"/>
                <w:sz w:val="14"/>
                <w:szCs w:val="14"/>
                <w:b w:val="1"/>
                <w:bCs w:val="1"/>
                <w:color w:val="auto"/>
              </w:rPr>
              <w:t>(in thousands)</w:t>
            </w:r>
          </w:p>
        </w:tc>
      </w:tr>
      <w:tr>
        <w:trPr>
          <w:trHeight w:val="220"/>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77,935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19,919</w:t>
            </w:r>
          </w:p>
        </w:tc>
      </w:tr>
      <w:tr>
        <w:trPr>
          <w:trHeight w:val="218"/>
        </w:trPr>
        <w:tc>
          <w:tcPr>
            <w:tcW w:w="7960" w:type="dxa"/>
            <w:vAlign w:val="bottom"/>
          </w:tcPr>
          <w:p>
            <w:pPr>
              <w:ind w:left="20"/>
              <w:spacing w:after="0"/>
              <w:rPr>
                <w:sz w:val="20"/>
                <w:szCs w:val="20"/>
                <w:color w:val="auto"/>
              </w:rPr>
            </w:pPr>
            <w:r>
              <w:rPr>
                <w:rFonts w:ascii="Arial" w:cs="Arial" w:eastAsia="Arial" w:hAnsi="Arial"/>
                <w:sz w:val="17"/>
                <w:szCs w:val="17"/>
                <w:color w:val="auto"/>
              </w:rPr>
              <w:t>Accounts receivable, net</w:t>
            </w:r>
          </w:p>
        </w:tc>
        <w:tc>
          <w:tcPr>
            <w:tcW w:w="160" w:type="dxa"/>
            <w:vAlign w:val="bottom"/>
          </w:tcPr>
          <w:p>
            <w:pPr>
              <w:spacing w:after="0"/>
              <w:rPr>
                <w:sz w:val="18"/>
                <w:szCs w:val="18"/>
                <w:color w:val="auto"/>
              </w:rPr>
            </w:pPr>
          </w:p>
        </w:tc>
        <w:tc>
          <w:tcPr>
            <w:tcW w:w="1460" w:type="dxa"/>
            <w:vAlign w:val="bottom"/>
          </w:tcPr>
          <w:p>
            <w:pPr>
              <w:jc w:val="right"/>
              <w:ind w:right="21"/>
              <w:spacing w:after="0"/>
              <w:rPr>
                <w:sz w:val="20"/>
                <w:szCs w:val="20"/>
                <w:color w:val="auto"/>
              </w:rPr>
            </w:pPr>
            <w:r>
              <w:rPr>
                <w:rFonts w:ascii="Arial" w:cs="Arial" w:eastAsia="Arial" w:hAnsi="Arial"/>
                <w:sz w:val="17"/>
                <w:szCs w:val="17"/>
                <w:color w:val="auto"/>
              </w:rPr>
              <w:t>12,784</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9,428</w:t>
            </w:r>
          </w:p>
        </w:tc>
      </w:tr>
      <w:tr>
        <w:trPr>
          <w:trHeight w:val="220"/>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68,161</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10,918</w:t>
            </w:r>
          </w:p>
        </w:tc>
      </w:tr>
    </w:tbl>
    <w:p>
      <w:pPr>
        <w:spacing w:after="0" w:line="200" w:lineRule="exact"/>
        <w:rPr>
          <w:sz w:val="20"/>
          <w:szCs w:val="20"/>
          <w:color w:val="auto"/>
        </w:rPr>
      </w:pPr>
    </w:p>
    <w:p>
      <w:pPr>
        <w:spacing w:after="0" w:line="226"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As of September 30, 2021, we have cash of $77.9 million. During the second quarter of fiscal year 2021, we completed the Business Combination, resulting in proceeds of approximately $80.0 million. The additional funds will be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14" w:lineRule="exact"/>
        <w:rPr>
          <w:sz w:val="20"/>
          <w:szCs w:val="20"/>
          <w:color w:val="auto"/>
        </w:rPr>
      </w:pPr>
    </w:p>
    <w:p>
      <w:pPr>
        <w:jc w:val="both"/>
        <w:ind w:firstLine="464"/>
        <w:spacing w:after="0" w:line="349" w:lineRule="auto"/>
        <w:rPr>
          <w:sz w:val="20"/>
          <w:szCs w:val="20"/>
          <w:color w:val="auto"/>
        </w:rPr>
      </w:pPr>
      <w:r>
        <w:rPr>
          <w:rFonts w:ascii="Arial" w:cs="Arial" w:eastAsia="Arial" w:hAnsi="Arial"/>
          <w:sz w:val="15"/>
          <w:szCs w:val="15"/>
          <w:color w:val="auto"/>
        </w:rPr>
        <w:t>Since our inception, we have financed our operations and capital expenditures primarily through cash flows generated by operations, a secured revolving line of credit agreement, the private sales of equity securities, and recently, the public sales of equity securities as a result of the Business Combination.</w:t>
      </w:r>
    </w:p>
    <w:p>
      <w:pPr>
        <w:spacing w:after="0" w:line="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40" w:type="dxa"/>
            <w:vAlign w:val="bottom"/>
          </w:tcPr>
          <w:p>
            <w:pPr>
              <w:spacing w:after="0"/>
              <w:rPr>
                <w:sz w:val="20"/>
                <w:szCs w:val="20"/>
                <w:color w:val="auto"/>
              </w:rPr>
            </w:pPr>
            <w:r>
              <w:rPr>
                <w:rFonts w:ascii="Arial" w:cs="Arial" w:eastAsia="Arial" w:hAnsi="Arial"/>
                <w:sz w:val="17"/>
                <w:szCs w:val="17"/>
                <w:b w:val="1"/>
                <w:bCs w:val="1"/>
                <w:i w:val="1"/>
                <w:iCs w:val="1"/>
                <w:color w:val="auto"/>
              </w:rPr>
              <w:t>Cash Flows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61"/>
        </w:trPr>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3"/>
          </w:tcPr>
          <w:p>
            <w:pPr>
              <w:jc w:val="right"/>
              <w:ind w:right="34"/>
              <w:spacing w:after="0"/>
              <w:rPr>
                <w:sz w:val="20"/>
                <w:szCs w:val="20"/>
                <w:color w:val="auto"/>
              </w:rPr>
            </w:pPr>
            <w:r>
              <w:rPr>
                <w:rFonts w:ascii="Arial" w:cs="Arial" w:eastAsia="Arial" w:hAnsi="Arial"/>
                <w:sz w:val="17"/>
                <w:szCs w:val="17"/>
                <w:b w:val="1"/>
                <w:bCs w:val="1"/>
                <w:color w:val="auto"/>
                <w:w w:val="88"/>
              </w:rPr>
              <w:t>Nine months ended September 30,</w:t>
            </w:r>
          </w:p>
        </w:tc>
      </w:tr>
      <w:tr>
        <w:trPr>
          <w:trHeight w:val="27"/>
        </w:trPr>
        <w:tc>
          <w:tcPr>
            <w:tcW w:w="8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2"/>
        </w:trPr>
        <w:tc>
          <w:tcPr>
            <w:tcW w:w="8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w w:val="84"/>
              </w:rPr>
              <w:t>2020</w:t>
            </w:r>
          </w:p>
        </w:tc>
      </w:tr>
      <w:tr>
        <w:trPr>
          <w:trHeight w:val="212"/>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b w:val="1"/>
                <w:bCs w:val="1"/>
                <w:color w:val="auto"/>
              </w:rPr>
              <w:t>(in thousands)</w:t>
            </w:r>
          </w:p>
        </w:tc>
        <w:tc>
          <w:tcPr>
            <w:tcW w:w="840" w:type="dxa"/>
            <w:vAlign w:val="bottom"/>
          </w:tcPr>
          <w:p>
            <w:pPr>
              <w:spacing w:after="0"/>
              <w:rPr>
                <w:sz w:val="18"/>
                <w:szCs w:val="18"/>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center"/>
              <w:ind w:left="454"/>
              <w:spacing w:after="0"/>
              <w:rPr>
                <w:sz w:val="20"/>
                <w:szCs w:val="20"/>
                <w:color w:val="auto"/>
              </w:rPr>
            </w:pPr>
            <w:r>
              <w:rPr>
                <w:rFonts w:ascii="Arial" w:cs="Arial" w:eastAsia="Arial" w:hAnsi="Arial"/>
                <w:sz w:val="17"/>
                <w:szCs w:val="17"/>
                <w:color w:val="auto"/>
                <w:w w:val="92"/>
              </w:rPr>
              <w:t>25,173</w:t>
            </w:r>
          </w:p>
        </w:tc>
        <w:tc>
          <w:tcPr>
            <w:tcW w:w="52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29,566</w:t>
            </w:r>
          </w:p>
        </w:tc>
      </w:tr>
      <w:tr>
        <w:trPr>
          <w:trHeight w:val="218"/>
        </w:trPr>
        <w:tc>
          <w:tcPr>
            <w:tcW w:w="844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center"/>
              <w:ind w:left="434"/>
              <w:spacing w:after="0"/>
              <w:rPr>
                <w:sz w:val="20"/>
                <w:szCs w:val="20"/>
                <w:color w:val="auto"/>
              </w:rPr>
            </w:pPr>
            <w:r>
              <w:rPr>
                <w:rFonts w:ascii="Arial" w:cs="Arial" w:eastAsia="Arial" w:hAnsi="Arial"/>
                <w:sz w:val="17"/>
                <w:szCs w:val="17"/>
                <w:color w:val="auto"/>
                <w:w w:val="91"/>
              </w:rPr>
              <w:t>(23,246)</w:t>
            </w:r>
          </w:p>
        </w:tc>
        <w:tc>
          <w:tcPr>
            <w:tcW w:w="52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(903)</w:t>
            </w:r>
          </w:p>
        </w:tc>
      </w:tr>
      <w:tr>
        <w:trPr>
          <w:trHeight w:val="220"/>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center"/>
              <w:ind w:left="454"/>
              <w:spacing w:after="0"/>
              <w:rPr>
                <w:sz w:val="20"/>
                <w:szCs w:val="20"/>
                <w:color w:val="auto"/>
              </w:rPr>
            </w:pPr>
            <w:r>
              <w:rPr>
                <w:rFonts w:ascii="Arial" w:cs="Arial" w:eastAsia="Arial" w:hAnsi="Arial"/>
                <w:sz w:val="17"/>
                <w:szCs w:val="17"/>
                <w:color w:val="auto"/>
                <w:w w:val="92"/>
              </w:rPr>
              <w:t>56,089</w:t>
            </w:r>
          </w:p>
        </w:tc>
        <w:tc>
          <w:tcPr>
            <w:tcW w:w="52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(9,499)</w:t>
            </w:r>
          </w:p>
        </w:tc>
      </w:tr>
    </w:tbl>
    <w:p>
      <w:pPr>
        <w:spacing w:after="0" w:line="28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Net Cash Provided by Operating Activities</w:t>
      </w:r>
    </w:p>
    <w:p>
      <w:pPr>
        <w:spacing w:after="0" w:line="114" w:lineRule="exact"/>
        <w:rPr>
          <w:sz w:val="20"/>
          <w:szCs w:val="20"/>
          <w:color w:val="auto"/>
        </w:rPr>
      </w:pPr>
    </w:p>
    <w:p>
      <w:pPr>
        <w:jc w:val="both"/>
        <w:ind w:firstLine="464"/>
        <w:spacing w:after="0" w:line="349" w:lineRule="auto"/>
        <w:rPr>
          <w:sz w:val="20"/>
          <w:szCs w:val="20"/>
          <w:color w:val="auto"/>
        </w:rPr>
      </w:pPr>
      <w:r>
        <w:rPr>
          <w:rFonts w:ascii="Arial" w:cs="Arial" w:eastAsia="Arial" w:hAnsi="Arial"/>
          <w:sz w:val="15"/>
          <w:szCs w:val="15"/>
          <w:color w:val="auto"/>
        </w:rPr>
        <w:t>Cash from operating activities consists primarily of net income adjusted for certain non-cash items, including depreciation and amortization, change in fair value of warrant liability, impairment loss, stock-based compensation, provision for doubtful accounts, deferred taxes and the effect of changes in working capital.</w:t>
      </w:r>
    </w:p>
    <w:p>
      <w:pPr>
        <w:spacing w:after="0" w:line="14"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Net cash from operating activities for the nine months ended September 30, 2021 was $25.2 million, which resulted from net income of $73.8 million, together with a net cash inflows of $3.0 million from changes in operating assets and liabilities, and non-cash items of $51.6 million, consisting of depreciation and amortization of $3.0 million, fair value of warrant liability of $83.6 million, impairment loss of $2.4 million, stock-based compensation of $23.6 million and provision for doubtful accounts of $3.0 million. The net cash inflows from changes in operating assets and liabilities were primarily due to a decrease in prepaid and other current assets of $6.5 million, an increase in accounts payable and accrued expenses of $0.3 million and an increase in deferred revenue of $2.5 million, offset by an increase in accounts receivable of $6.4 million. The changes in operating assets and liabilities are mostly due to fluctuations in timing of cash receipts and payments.</w:t>
      </w:r>
    </w:p>
    <w:p>
      <w:pPr>
        <w:spacing w:after="0" w:line="82"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Net cash from operating activities for the nine months ended September 30, 2020 was $29.6 million, which resulted from net income of $28.7 million, together with a net cash outflows of $2.1 million from changes in operating assets and liabilities, and non-cash items of $3.0 million, consisting of depreciation and amortization. The net cash outflows from changes in operating assets and liabilities were primarily due to an increase in accounts receivables of $4.3 million, a decrease in accounts payable and accrued expenses of $1.1 million and an increase in prepaid expenses and other current assets of $0.5 million. These changes were partially offset by an increase in deferred revenue of $3.2 million and a decrease in other assets of $0.5 million. The changes in operating assets and liabilities are mostly due to fluctuations in timing of cash receipts and payments.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Cash used in investing activities for the nine months ended September 30, 2021 was $23.2 million, which resulted from $16.0 million cash paid for acquisitions, $4.2 million cash paid for purchases of property and equipment, including certain capitalized software development cost and $3.0 million cash paid for other investments.</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Cash used in investing activities for the nine months ended September 30, 2020 was $0.9 million for purchases of property and equipment.</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Net Cash Provided by (Used in) Financing Activities</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Net Cash provided by financing activities for the nine months ended September 30, 2021 was $56.1 million, which resulted from net proceeds from Business Combination of $80.0 million, offset by $18.1 million distribution payments to members, $5.6 million paid for the repurchase of Class B Units and $0.2 million repayment of notes payable to members.</w:t>
      </w:r>
    </w:p>
    <w:p>
      <w:pPr>
        <w:spacing w:after="0" w:line="72"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Net cash used in financing activities for the nine months ended September 30, 2020 was $9.5 million, which resulted from $9.2 million distributions to members and $0.3 million paid for the repurchase of Class B Units.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 Balance Sheet Arrangements</w:t>
      </w:r>
    </w:p>
    <w:p>
      <w:pPr>
        <w:spacing w:after="0" w:line="12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 xml:space="preserve">We did not have any off-balance sheet arrangements in any of the periods presented in this quarterly report, except for operating leases as of December 31, 2020 prior to the adoption of Accounting Standards Codification (“ASC”) 842 - </w:t>
      </w:r>
      <w:r>
        <w:rPr>
          <w:rFonts w:ascii="Arial" w:cs="Arial" w:eastAsia="Arial" w:hAnsi="Arial"/>
          <w:sz w:val="17"/>
          <w:szCs w:val="17"/>
          <w:i w:val="1"/>
          <w:iCs w:val="1"/>
          <w:color w:val="auto"/>
        </w:rPr>
        <w:t>Leases</w:t>
      </w:r>
      <w:r>
        <w:rPr>
          <w:rFonts w:ascii="Arial" w:cs="Arial" w:eastAsia="Arial" w:hAnsi="Arial"/>
          <w:sz w:val="17"/>
          <w:szCs w:val="17"/>
          <w:color w:val="auto"/>
        </w:rPr>
        <w:t>, as discussed below.</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2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consolidated financial statements requires us to make estimates and assumptions that affect the reported amounts of assets,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37"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believe that the assumptions and estimates associated with revenue recognition, website and internal-use software development costs, income taxes, fair value measurements and equity-based compensation have the greatest potential impact on our condensed consolidated financial statements. Therefore, we consider these to be our critical accounting policies and estimates. For further information on all of our significant accounting policies, see Note 2 to our condensed consolidated financial statements included herein.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4"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Our revenues are derived primarily from monthly subscriptions and additional offerings for access to our Weedmaps platform and our WM Business SaaS solution.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Revenue is recognized over-time over the subscription period, generally a one-month period as the products are provided. We may also provide services to our customers that are recognized at a point in time. For example, prior to January 1, 2021, technology services fees relating to product reservation orders submitted were recognized when an order for delivery was submitted.</w:t>
      </w:r>
    </w:p>
    <w:p>
      <w:pPr>
        <w:spacing w:after="0" w:line="66"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6"/>
          <w:szCs w:val="16"/>
          <w:color w:val="auto"/>
        </w:rPr>
        <w:t>Deferred revenue primarily consists of billings or payments received in advance of revenue recognition from subscription offerings, as described above, and is recognized as the revenue recognition criteria are met. We generally invoice customers and receive payment on an upfront basis.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Website and Internal-Use Software Development Costs</w:t>
      </w:r>
    </w:p>
    <w:p>
      <w:pPr>
        <w:spacing w:after="0" w:line="114"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capitalize certain costs related to the development of our SaaS solutions. In accordance with authoritative guidance, we began to capitalize these costs to develop certain software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For the nine months ended September 30, 2021, we capitalized $3.7 million of costs related to the development of software applications.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 xml:space="preserve">We follow the guidance in ASC 820 -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for our financial assets and liabilities that are re-measured and reported at fair value at each reporting period.</w:t>
      </w:r>
    </w:p>
    <w:p>
      <w:pPr>
        <w:spacing w:after="0" w:line="61"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The fair value of our financial assets and liabilities reflects management’s estimate of amounts that we would have received in connection with the sale of the assets or paid in connection with the transfer of the liabilities in an orderly transaction between market participants at the measurement date. In connection with measuring the fair value of its assets and liabilities, we seek to maximize the use of observable inputs (market data obtained from independent sources) and to minimize the use of unobservable inputs (internal assumptions about how market participants would price assets and liabilities).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14"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6"/>
          <w:szCs w:val="16"/>
          <w:color w:val="auto"/>
        </w:rPr>
        <w:t xml:space="preserve">Effective January 1, 2021, we adopted ASC 842 - </w:t>
      </w:r>
      <w:r>
        <w:rPr>
          <w:rFonts w:ascii="Arial" w:cs="Arial" w:eastAsia="Arial" w:hAnsi="Arial"/>
          <w:sz w:val="16"/>
          <w:szCs w:val="16"/>
          <w:i w:val="1"/>
          <w:iCs w:val="1"/>
          <w:color w:val="auto"/>
        </w:rPr>
        <w:t>Leases</w:t>
      </w:r>
      <w:r>
        <w:rPr>
          <w:rFonts w:ascii="Arial" w:cs="Arial" w:eastAsia="Arial" w:hAnsi="Arial"/>
          <w:sz w:val="16"/>
          <w:szCs w:val="16"/>
          <w:color w:val="auto"/>
        </w:rPr>
        <w:t>. Under this guidance, lessees classify arrangements meeting the definition of a lease as operating or financing leases, and leases are recorded on the consolidated balance sheet as both a right-of-use asset and lease liability, calculated by discounting fixed lease payments over the lease term at the rate implicit in the lease or our incremental borrowing rate. Lease liabilities are increased by interest and reduced by payments each period, and the right of 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67"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In calculating the right-of-use asset and lease liability, we elected to combine lease and non-lease components for all classes of assets. We excluded short-term leases having initial terms of 12 months or less from the new guidance as an accounting policy election, and instead recognizes rent expense on a straight-line basis over the lease term.</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We continued to account for leases in the prior period financial statements under ASC 840 -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Section 107 of the JOBS Act provides that an “emerging growth company” can take advantage of the extended transition period provided in Section 7(a)(2)</w:t>
      </w:r>
    </w:p>
    <w:p>
      <w:pPr>
        <w:spacing w:after="0" w:line="45" w:lineRule="exact"/>
        <w:rPr>
          <w:sz w:val="20"/>
          <w:szCs w:val="20"/>
          <w:color w:val="auto"/>
        </w:rPr>
      </w:pPr>
    </w:p>
    <w:p>
      <w:pPr>
        <w:jc w:val="both"/>
        <w:ind w:firstLine="3"/>
        <w:spacing w:after="0" w:line="257" w:lineRule="auto"/>
        <w:tabs>
          <w:tab w:leader="none" w:pos="292" w:val="left"/>
        </w:tabs>
        <w:numPr>
          <w:ilvl w:val="0"/>
          <w:numId w:val="23"/>
        </w:numPr>
        <w:rPr>
          <w:rFonts w:ascii="Arial" w:cs="Arial" w:eastAsia="Arial" w:hAnsi="Arial"/>
          <w:sz w:val="17"/>
          <w:szCs w:val="17"/>
          <w:color w:val="auto"/>
        </w:rPr>
      </w:pPr>
      <w:r>
        <w:rPr>
          <w:rFonts w:ascii="Arial" w:cs="Arial" w:eastAsia="Arial" w:hAnsi="Arial"/>
          <w:sz w:val="17"/>
          <w:szCs w:val="17"/>
          <w:color w:val="auto"/>
        </w:rPr>
        <w:t>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2 to our condensed consolidated financial statements included herein.</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2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Fluctuation Risk</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We consider all highly liquid investments with an original maturity of three months or less to be cash equivalents. As of September 30, 2021, we did not have any cash equivalents.</w:t>
      </w:r>
    </w:p>
    <w:p>
      <w:pPr>
        <w:spacing w:after="0" w:line="6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0"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Silver Spike’s amendment to its annual report on Form 10-K, management re-evaluated, with the participation of Silver Spike’s then-current chief executive officer and chief financial officer (Silver Spike’s “Certifying Officers”), the effectiveness of Silver Spike’s disclosure controls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and procedures as of December 31, 2020, pursuant to Rule 13a-15(b) under the Exchange Act. Based upon that evaluation, Silver Spike’s Certifying Officers concluded that, solely due to the material weakness in Silver Spike’s internal control over financial reporting that led to Silver Spike’s restatement of its financial statements to reclassify its Public Warrants and Private Placement Warrants as described in the Explanatory Note to Silver Spike’s amendment to its annual report on Form 10-K, Silver Spike’s disclosure controls and procedures were not effective as December 31, 2020. Based on the evaluation, and in light of the material weakness in internal controls described above, our Chief Executive Officer and Chief Financial Officer have concluded that during the period covered by this report, our disclosure controls and procedures were not effective.</w:t>
      </w:r>
    </w:p>
    <w:p>
      <w:pPr>
        <w:spacing w:after="0" w:line="80"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0"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financial statements as described in the Explanatory Note to Silver Spike’s amendment to its annual report on Form 10-K,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200" w:lineRule="exact"/>
        <w:rPr>
          <w:sz w:val="20"/>
          <w:szCs w:val="20"/>
          <w:color w:val="auto"/>
        </w:rPr>
      </w:pPr>
    </w:p>
    <w:p>
      <w:pPr>
        <w:spacing w:after="0" w:line="249"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49"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5"/>
          <w:szCs w:val="15"/>
          <w:color w:val="auto"/>
        </w:rPr>
        <w:t>In September 2019, we received a grand jury subpoena prepared by the United States Attorney’s Office for the Eastern District of California (“DOJ”). The subpoena demanded certain categories of information from us, some of which we have already provided. Management believes that the outcome of such inquiry will not have a material adverse impact of our financial position, results of operations, or cash flow. On August 4, 2021, the DOJ notified the Company that the DOJ was withdrawing the subpoena issued in September 2019, and that it had no present plan to exercise its discretion to proceed further in the matter. The DOJ cautioned that its decision not to proceed further did not constitute a grant of immunity, and that its plans could change in the future without notice.</w:t>
      </w:r>
    </w:p>
    <w:p>
      <w:pPr>
        <w:spacing w:after="0" w:line="178" w:lineRule="exact"/>
        <w:rPr>
          <w:sz w:val="20"/>
          <w:szCs w:val="20"/>
          <w:color w:val="auto"/>
        </w:rPr>
      </w:pPr>
    </w:p>
    <w:p>
      <w:pPr>
        <w:jc w:val="both"/>
        <w:ind w:firstLine="464"/>
        <w:spacing w:after="0" w:line="292" w:lineRule="auto"/>
        <w:rPr>
          <w:sz w:val="20"/>
          <w:szCs w:val="20"/>
          <w:color w:val="auto"/>
        </w:rPr>
      </w:pPr>
      <w:r>
        <w:rPr>
          <w:rFonts w:ascii="Arial" w:cs="Arial" w:eastAsia="Arial" w:hAnsi="Arial"/>
          <w:sz w:val="15"/>
          <w:szCs w:val="15"/>
          <w:color w:val="auto"/>
        </w:rPr>
        <w:t>Beginning on January 27, 2021, purported stockholders of Silver Spike filed or threatened to file lawsuits in connection with the Merger,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Merger omits material information related to the proposed transaction, and asserts claims for breach of fiduciary duty against certain of Silver Spike’s then officers and directors and for aiding and abetting breach of fiduciary duty against Silver Spike. The Stout complaint also asserts aiding and abetting claims against Legacy WMH and Merger Sub. Plaintiffs seek injunctive relief to enjoin the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We have received similar demands from other purported shareholders of Silver Spike,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Merger, pending dissemination of supplemental disclosures, unspecified damages and attorneys’ fees and costs. The Brait action was voluntarily discontinued on June 29, 2021.We believe that these allegations are without merit. These matters are in the early stages and we are unable to reasonably determine the outcome or estimate the loss, if any, and as such, have not recorded a loss contingency.</w:t>
      </w:r>
    </w:p>
    <w:p>
      <w:pPr>
        <w:spacing w:after="0" w:line="15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4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Quarterly Report on Form 10-Q for the quarter ended June 30, 2021.</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Except as set forth below, there have been no material changes to our risk factors since our Quarterly Report on Form 10-Q for the quarter ended June 30,</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2021.</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Additional Risks Related to the Cannabis Industry</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may be subject to Telephone Consumer Protections Act (TCPA) risks for our communications with customers.</w:t>
      </w:r>
    </w:p>
    <w:p>
      <w:pPr>
        <w:spacing w:after="0" w:line="230"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Our acquisitions of Cannveya and Sprout will put us directly into contact with customers and their data. The Telephone Consumer Protections Act (TCPA) restricts calls or text messages to cellphones made using an “automatic telephone dialing system” without first obtaining the prior express consent of the called or texted party, in addition to other restrictions on contacting customers directly. Cannveya provides a means for our clients to communicate directly with their customers, and may expose us to potential lawsuits under the TCPA, if those third party clients do not adhere to TCPA restrictions. Even if the third party clients do adhere to the TCPA, we still run the risk of private lawsuits against us. While we have in place systems and policies for TCPA compliance, our direct communications with customers may put us at risk of a TCPA lawsuit.</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2.</w:t>
        <w:tab/>
        <w:t>UNREGISTERED SALES OF EQUITY SECURITIES AND USE OF PROCEEDS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249"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On September 3, 2021, the Company entered into the Asset Purchase Agreement with Sprout, Text Ripple, WM Loyalty, LLC, certain equity holders of Sprout and Text Ripple, and Jaret Christopher, as sellers’ representative pursuant to which the Company acquired certain assets of Sprout for a total consideration of approximately $31.2 million, including the issuance by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of 1,244,258 shares of Class A Common Stock. The shares were issued in reliance on the exemption from registration in Section 4(a)(2) under the Securities Act.</w:t>
      </w:r>
    </w:p>
    <w:p>
      <w:pPr>
        <w:spacing w:after="0" w:line="190"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On September 28, 2021, Ghost Management Group, LLC, a subsidiary of the Company, entered into the Equity Interest Purchase Agreement with TLH, certain security holders of TLH, and Justin Morris, as sellers’ representative, pursuant to which the Company acquired all of the equity interests of TLH for total consideration of approximately $15.1 million, including the issuance by the Company of 694,540 shares of shares of Class A Common Stock. The shares were issued in reliance on the exemption from registration in Section 4(a)(2) under the Securities Act.</w:t>
      </w:r>
    </w:p>
    <w:p>
      <w:pPr>
        <w:spacing w:after="0" w:line="17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3.</w:t>
        <w:tab/>
        <w:t>DEFAULTS UPON SENIOR SECURITIES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11"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5.</w:t>
        <w:tab/>
        <w:t>OTHER INFORMATION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 w:type="dxa"/>
            <w:vAlign w:val="bottom"/>
            <w:gridSpan w:val="4"/>
          </w:tcPr>
          <w:p>
            <w:pPr>
              <w:spacing w:after="0"/>
              <w:rPr>
                <w:sz w:val="20"/>
                <w:szCs w:val="20"/>
                <w:color w:val="auto"/>
              </w:rPr>
            </w:pPr>
            <w:r>
              <w:rPr>
                <w:rFonts w:ascii="Arial" w:cs="Arial" w:eastAsia="Arial" w:hAnsi="Arial"/>
                <w:sz w:val="17"/>
                <w:szCs w:val="17"/>
                <w:b w:val="1"/>
                <w:bCs w:val="1"/>
                <w:color w:val="auto"/>
              </w:rPr>
              <w:t>ITEM 6.</w:t>
            </w:r>
          </w:p>
        </w:tc>
        <w:tc>
          <w:tcPr>
            <w:tcW w:w="10540" w:type="dxa"/>
            <w:vAlign w:val="bottom"/>
            <w:gridSpan w:val="9"/>
          </w:tcPr>
          <w:p>
            <w:pPr>
              <w:ind w:left="60"/>
              <w:spacing w:after="0"/>
              <w:rPr>
                <w:sz w:val="20"/>
                <w:szCs w:val="20"/>
                <w:color w:val="auto"/>
              </w:rPr>
            </w:pPr>
            <w:r>
              <w:rPr>
                <w:rFonts w:ascii="Arial" w:cs="Arial" w:eastAsia="Arial" w:hAnsi="Arial"/>
                <w:sz w:val="17"/>
                <w:szCs w:val="17"/>
                <w:b w:val="1"/>
                <w:bCs w:val="1"/>
                <w:color w:val="auto"/>
              </w:rPr>
              <w:t>EXHIBITS</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80" w:type="dxa"/>
            <w:vAlign w:val="bottom"/>
            <w:gridSpan w:val="10"/>
          </w:tcPr>
          <w:p>
            <w:pPr>
              <w:ind w:left="60"/>
              <w:spacing w:after="0"/>
              <w:rPr>
                <w:sz w:val="20"/>
                <w:szCs w:val="20"/>
                <w:color w:val="auto"/>
              </w:rPr>
            </w:pPr>
            <w:r>
              <w:rPr>
                <w:rFonts w:ascii="Arial" w:cs="Arial" w:eastAsia="Arial" w:hAnsi="Arial"/>
                <w:sz w:val="17"/>
                <w:szCs w:val="17"/>
                <w:color w:val="auto"/>
              </w:rPr>
              <w:t>The following exhibits are filed as part of, or incorporated by reference into, this Quarterly Report on Form 10-Q.</w:t>
            </w:r>
          </w:p>
        </w:tc>
        <w:tc>
          <w:tcPr>
            <w:tcW w:w="0" w:type="dxa"/>
            <w:vAlign w:val="bottom"/>
          </w:tcPr>
          <w:p>
            <w:pPr>
              <w:spacing w:after="0"/>
              <w:rPr>
                <w:sz w:val="1"/>
                <w:szCs w:val="1"/>
                <w:color w:val="auto"/>
              </w:rPr>
            </w:pPr>
          </w:p>
        </w:tc>
      </w:tr>
      <w:tr>
        <w:trPr>
          <w:trHeight w:val="305"/>
        </w:trPr>
        <w:tc>
          <w:tcPr>
            <w:tcW w:w="74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b w:val="1"/>
                <w:bCs w:val="1"/>
                <w:color w:val="auto"/>
                <w:w w:val="95"/>
              </w:rPr>
              <w:t>Exhibit No.</w:t>
            </w:r>
          </w:p>
        </w:tc>
        <w:tc>
          <w:tcPr>
            <w:tcW w:w="4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0000FF"/>
            </w:tcBorders>
            <w:gridSpan w:val="2"/>
            <w:shd w:val="clear" w:color="auto" w:fill="CCEEFF"/>
          </w:tcPr>
          <w:p>
            <w:pPr>
              <w:spacing w:after="0" w:line="161" w:lineRule="exact"/>
              <w:rPr>
                <w:rFonts w:ascii="Arial" w:cs="Arial" w:eastAsia="Arial" w:hAnsi="Arial"/>
                <w:sz w:val="17"/>
                <w:szCs w:val="17"/>
                <w:color w:val="0000FF"/>
                <w:w w:val="84"/>
              </w:rPr>
            </w:pPr>
            <w:hyperlink w:anchor="page55">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w:t>
              </w:r>
            </w:hyperlink>
          </w:p>
        </w:tc>
        <w:tc>
          <w:tcPr>
            <w:tcW w:w="3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180" w:type="dxa"/>
            <w:vAlign w:val="bottom"/>
            <w:tcBorders>
              <w:bottom w:val="single" w:sz="8" w:color="0000FF"/>
            </w:tcBorders>
            <w:shd w:val="clear" w:color="auto" w:fill="CCEEFF"/>
          </w:tcPr>
          <w:p>
            <w:pPr>
              <w:spacing w:after="0" w:line="161" w:lineRule="exact"/>
              <w:rPr>
                <w:rFonts w:ascii="Arial" w:cs="Arial" w:eastAsia="Arial" w:hAnsi="Arial"/>
                <w:sz w:val="17"/>
                <w:szCs w:val="17"/>
                <w:color w:val="0000FF"/>
                <w:w w:val="92"/>
              </w:rPr>
            </w:pPr>
            <w:hyperlink w:anchor="page55">
              <w:r>
                <w:rPr>
                  <w:rFonts w:ascii="Arial" w:cs="Arial" w:eastAsia="Arial" w:hAnsi="Arial"/>
                  <w:sz w:val="17"/>
                  <w:szCs w:val="17"/>
                  <w:color w:val="0000FF"/>
                  <w:w w:val="92"/>
                </w:rPr>
                <w:t>Non-Employee Director Compensation Policy</w:t>
              </w:r>
            </w:hyperlink>
          </w:p>
        </w:tc>
        <w:tc>
          <w:tcPr>
            <w:tcW w:w="6900" w:type="dxa"/>
            <w:vAlign w:val="bottom"/>
            <w:tcBorders>
              <w:bottom w:val="single" w:sz="8" w:color="CCEEFF"/>
            </w:tcBorders>
            <w:gridSpan w:val="6"/>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80" w:type="dxa"/>
            <w:vAlign w:val="bottom"/>
            <w:gridSpan w:val="2"/>
            <w:vMerge w:val="restart"/>
          </w:tcPr>
          <w:p>
            <w:pPr>
              <w:spacing w:after="0"/>
              <w:rPr>
                <w:rFonts w:ascii="Arial" w:cs="Arial" w:eastAsia="Arial" w:hAnsi="Arial"/>
                <w:sz w:val="17"/>
                <w:szCs w:val="17"/>
                <w:color w:val="0000FF"/>
              </w:rPr>
            </w:pPr>
            <w:hyperlink w:anchor="page58">
              <w:r>
                <w:rPr>
                  <w:rFonts w:ascii="Arial" w:cs="Arial" w:eastAsia="Arial" w:hAnsi="Arial"/>
                  <w:sz w:val="17"/>
                  <w:szCs w:val="17"/>
                  <w:color w:val="0000FF"/>
                </w:rPr>
                <w:t>31.</w:t>
              </w:r>
              <w:r>
                <w:rPr>
                  <w:rFonts w:ascii="Arial" w:cs="Arial" w:eastAsia="Arial" w:hAnsi="Arial"/>
                  <w:sz w:val="17"/>
                  <w:szCs w:val="17"/>
                  <w:u w:val="single" w:color="auto"/>
                  <w:color w:val="0000FF"/>
                </w:rPr>
                <w:t>1</w:t>
              </w:r>
            </w:hyperlink>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7"/>
          </w:tcPr>
          <w:p>
            <w:pPr>
              <w:spacing w:after="0" w:line="180" w:lineRule="exact"/>
              <w:rPr>
                <w:rFonts w:ascii="Arial" w:cs="Arial" w:eastAsia="Arial" w:hAnsi="Arial"/>
                <w:sz w:val="17"/>
                <w:szCs w:val="17"/>
                <w:color w:val="0000FF"/>
                <w:w w:val="92"/>
              </w:rPr>
            </w:pPr>
            <w:hyperlink w:anchor="page58">
              <w:r>
                <w:rPr>
                  <w:rFonts w:ascii="Arial" w:cs="Arial" w:eastAsia="Arial" w:hAnsi="Arial"/>
                  <w:sz w:val="17"/>
                  <w:szCs w:val="17"/>
                  <w:color w:val="0000FF"/>
                  <w:w w:val="92"/>
                </w:rPr>
                <w:t>Certification of the Principal Executive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4"/>
          </w:tcPr>
          <w:p>
            <w:pPr>
              <w:spacing w:after="0" w:line="161" w:lineRule="exact"/>
              <w:rPr>
                <w:rFonts w:ascii="Arial" w:cs="Arial" w:eastAsia="Arial" w:hAnsi="Arial"/>
                <w:sz w:val="17"/>
                <w:szCs w:val="17"/>
                <w:color w:val="0000FF"/>
              </w:rPr>
            </w:pPr>
            <w:hyperlink w:anchor="page58">
              <w:r>
                <w:rPr>
                  <w:rFonts w:ascii="Arial" w:cs="Arial" w:eastAsia="Arial" w:hAnsi="Arial"/>
                  <w:sz w:val="17"/>
                  <w:szCs w:val="17"/>
                  <w:color w:val="0000FF"/>
                </w:rPr>
                <w:t>pursuant to Section 302 of the Sarbanes-Oxley Act of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shd w:val="clear" w:color="auto" w:fill="CCEEFF"/>
          </w:tcPr>
          <w:p>
            <w:pPr>
              <w:spacing w:after="0"/>
              <w:rPr>
                <w:sz w:val="16"/>
                <w:szCs w:val="16"/>
                <w:color w:val="auto"/>
              </w:rPr>
            </w:pPr>
          </w:p>
        </w:tc>
        <w:tc>
          <w:tcPr>
            <w:tcW w:w="380" w:type="dxa"/>
            <w:vAlign w:val="bottom"/>
            <w:gridSpan w:val="2"/>
            <w:vMerge w:val="restart"/>
            <w:shd w:val="clear" w:color="auto" w:fill="CCEEFF"/>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31.</w:t>
              </w:r>
              <w:r>
                <w:rPr>
                  <w:rFonts w:ascii="Arial" w:cs="Arial" w:eastAsia="Arial" w:hAnsi="Arial"/>
                  <w:sz w:val="17"/>
                  <w:szCs w:val="17"/>
                  <w:u w:val="single" w:color="auto"/>
                  <w:color w:val="0000FF"/>
                </w:rPr>
                <w:t>2</w:t>
              </w:r>
            </w:hyperlink>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80" w:type="dxa"/>
            <w:vAlign w:val="bottom"/>
            <w:gridSpan w:val="7"/>
            <w:shd w:val="clear" w:color="auto" w:fill="CCEEFF"/>
          </w:tcPr>
          <w:p>
            <w:pPr>
              <w:spacing w:after="0" w:line="192" w:lineRule="exact"/>
              <w:rPr>
                <w:rFonts w:ascii="Arial" w:cs="Arial" w:eastAsia="Arial" w:hAnsi="Arial"/>
                <w:sz w:val="17"/>
                <w:szCs w:val="17"/>
                <w:color w:val="0000FF"/>
                <w:w w:val="92"/>
              </w:rPr>
            </w:pPr>
            <w:hyperlink w:anchor="page60">
              <w:r>
                <w:rPr>
                  <w:rFonts w:ascii="Arial" w:cs="Arial" w:eastAsia="Arial" w:hAnsi="Arial"/>
                  <w:sz w:val="17"/>
                  <w:szCs w:val="17"/>
                  <w:color w:val="0000FF"/>
                  <w:w w:val="92"/>
                </w:rPr>
                <w:t>Certification of the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66"/>
        </w:trPr>
        <w:tc>
          <w:tcPr>
            <w:tcW w:w="20" w:type="dxa"/>
            <w:vAlign w:val="bottom"/>
            <w:tcBorders>
              <w:top w:val="single" w:sz="8" w:color="CCEEFF"/>
            </w:tcBorders>
            <w:vMerge w:val="continue"/>
            <w:shd w:val="clear" w:color="auto" w:fill="CCEEFF"/>
          </w:tcPr>
          <w:p>
            <w:pPr>
              <w:spacing w:after="0"/>
              <w:rPr>
                <w:sz w:val="14"/>
                <w:szCs w:val="14"/>
                <w:color w:val="auto"/>
              </w:rPr>
            </w:pPr>
          </w:p>
        </w:tc>
        <w:tc>
          <w:tcPr>
            <w:tcW w:w="380" w:type="dxa"/>
            <w:vAlign w:val="bottom"/>
            <w:tcBorders>
              <w:top w:val="single" w:sz="8" w:color="CCEEFF"/>
            </w:tcBorders>
            <w:gridSpan w:val="2"/>
            <w:vMerge w:val="continue"/>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40" w:type="dxa"/>
            <w:vAlign w:val="bottom"/>
            <w:tcBorders>
              <w:top w:val="single" w:sz="8" w:color="0000FF"/>
            </w:tcBorders>
            <w:gridSpan w:val="5"/>
            <w:shd w:val="clear" w:color="auto" w:fill="CCEEFF"/>
          </w:tcPr>
          <w:p>
            <w:pPr>
              <w:spacing w:after="0" w:line="148" w:lineRule="exact"/>
              <w:rPr>
                <w:rFonts w:ascii="Arial" w:cs="Arial" w:eastAsia="Arial" w:hAnsi="Arial"/>
                <w:sz w:val="17"/>
                <w:szCs w:val="17"/>
                <w:color w:val="0000FF"/>
              </w:rPr>
            </w:pPr>
            <w:hyperlink w:anchor="page60">
              <w:r>
                <w:rPr>
                  <w:rFonts w:ascii="Arial" w:cs="Arial" w:eastAsia="Arial" w:hAnsi="Arial"/>
                  <w:sz w:val="17"/>
                  <w:szCs w:val="17"/>
                  <w:color w:val="0000FF"/>
                </w:rPr>
                <w:t>pursuant to Section 302 of the Sarbanes-Oxley Act of 2002</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1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59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80" w:type="dxa"/>
            <w:vAlign w:val="bottom"/>
            <w:gridSpan w:val="2"/>
            <w:vMerge w:val="restart"/>
          </w:tcPr>
          <w:p>
            <w:pPr>
              <w:spacing w:after="0"/>
              <w:rPr>
                <w:rFonts w:ascii="Arial" w:cs="Arial" w:eastAsia="Arial" w:hAnsi="Arial"/>
                <w:sz w:val="17"/>
                <w:szCs w:val="17"/>
                <w:color w:val="0000FF"/>
                <w:w w:val="90"/>
              </w:rPr>
            </w:pPr>
            <w:hyperlink w:anchor="page61">
              <w:r>
                <w:rPr>
                  <w:rFonts w:ascii="Arial" w:cs="Arial" w:eastAsia="Arial" w:hAnsi="Arial"/>
                  <w:sz w:val="17"/>
                  <w:szCs w:val="17"/>
                  <w:color w:val="0000FF"/>
                  <w:w w:val="90"/>
                </w:rPr>
                <w:t>32.</w:t>
              </w:r>
              <w:r>
                <w:rPr>
                  <w:rFonts w:ascii="Arial" w:cs="Arial" w:eastAsia="Arial" w:hAnsi="Arial"/>
                  <w:sz w:val="17"/>
                  <w:szCs w:val="17"/>
                  <w:u w:val="single" w:color="auto"/>
                  <w:color w:val="0000FF"/>
                  <w:w w:val="90"/>
                </w:rPr>
                <w:t>1*</w:t>
              </w:r>
            </w:hyperlink>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7"/>
          </w:tcPr>
          <w:p>
            <w:pPr>
              <w:spacing w:after="0" w:line="180" w:lineRule="exact"/>
              <w:rPr>
                <w:rFonts w:ascii="Arial" w:cs="Arial" w:eastAsia="Arial" w:hAnsi="Arial"/>
                <w:sz w:val="17"/>
                <w:szCs w:val="17"/>
                <w:color w:val="0000FF"/>
                <w:w w:val="97"/>
              </w:rPr>
            </w:pPr>
            <w:hyperlink w:anchor="page61">
              <w:r>
                <w:rPr>
                  <w:rFonts w:ascii="Arial" w:cs="Arial" w:eastAsia="Arial" w:hAnsi="Arial"/>
                  <w:sz w:val="17"/>
                  <w:szCs w:val="17"/>
                  <w:color w:val="0000FF"/>
                  <w:w w:val="97"/>
                </w:rPr>
                <w:t>Certifications of the Principal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0" w:type="dxa"/>
            <w:vAlign w:val="bottom"/>
            <w:tcBorders>
              <w:bottom w:val="single" w:sz="8" w:color="0000FF"/>
            </w:tcBorders>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w w:val="91"/>
              </w:rPr>
            </w:pPr>
            <w:hyperlink w:anchor="page61">
              <w:r>
                <w:rPr>
                  <w:rFonts w:ascii="Arial" w:cs="Arial" w:eastAsia="Arial" w:hAnsi="Arial"/>
                  <w:sz w:val="17"/>
                  <w:szCs w:val="17"/>
                  <w:color w:val="0000FF"/>
                  <w:w w:val="91"/>
                </w:rPr>
                <w:t>Section 906 of the Sarbanes-Oxley Act of 2002</w:t>
              </w:r>
            </w:hyperlink>
          </w:p>
        </w:tc>
        <w:tc>
          <w:tcPr>
            <w:tcW w:w="680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0" w:type="dxa"/>
            <w:vAlign w:val="bottom"/>
            <w:gridSpan w:val="4"/>
            <w:vMerge w:val="restart"/>
            <w:shd w:val="clear" w:color="auto" w:fill="CCEEFF"/>
          </w:tcPr>
          <w:p>
            <w:pPr>
              <w:ind w:left="20"/>
              <w:spacing w:after="0"/>
              <w:rPr>
                <w:sz w:val="20"/>
                <w:szCs w:val="20"/>
                <w:color w:val="auto"/>
              </w:rPr>
            </w:pPr>
            <w:r>
              <w:rPr>
                <w:rFonts w:ascii="Arial" w:cs="Arial" w:eastAsia="Arial" w:hAnsi="Arial"/>
                <w:sz w:val="17"/>
                <w:szCs w:val="17"/>
                <w:color w:val="auto"/>
              </w:rPr>
              <w:t>101.INS</w:t>
            </w: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80" w:type="dxa"/>
            <w:vAlign w:val="bottom"/>
            <w:gridSpan w:val="7"/>
            <w:shd w:val="clear" w:color="auto" w:fill="CCEEFF"/>
          </w:tcPr>
          <w:p>
            <w:pPr>
              <w:spacing w:after="0" w:line="180" w:lineRule="exact"/>
              <w:rPr>
                <w:sz w:val="20"/>
                <w:szCs w:val="20"/>
                <w:color w:val="auto"/>
              </w:rPr>
            </w:pPr>
            <w:r>
              <w:rPr>
                <w:rFonts w:ascii="Arial" w:cs="Arial" w:eastAsia="Arial" w:hAnsi="Arial"/>
                <w:sz w:val="17"/>
                <w:szCs w:val="17"/>
                <w:color w:val="auto"/>
                <w:w w:val="92"/>
              </w:rPr>
              <w:t>Inline XBRL Instance Document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19"/>
        </w:trPr>
        <w:tc>
          <w:tcPr>
            <w:tcW w:w="740" w:type="dxa"/>
            <w:vAlign w:val="bottom"/>
            <w:gridSpan w:val="4"/>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8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the Inline XBRL document)</w:t>
            </w:r>
          </w:p>
        </w:tc>
        <w:tc>
          <w:tcPr>
            <w:tcW w:w="0" w:type="dxa"/>
            <w:vAlign w:val="bottom"/>
          </w:tcPr>
          <w:p>
            <w:pPr>
              <w:spacing w:after="0"/>
              <w:rPr>
                <w:sz w:val="1"/>
                <w:szCs w:val="1"/>
                <w:color w:val="auto"/>
              </w:rPr>
            </w:pPr>
          </w:p>
        </w:tc>
      </w:tr>
      <w:tr>
        <w:trPr>
          <w:trHeight w:val="218"/>
        </w:trPr>
        <w:tc>
          <w:tcPr>
            <w:tcW w:w="740" w:type="dxa"/>
            <w:vAlign w:val="bottom"/>
            <w:gridSpan w:val="4"/>
          </w:tcPr>
          <w:p>
            <w:pPr>
              <w:ind w:left="20"/>
              <w:spacing w:after="0"/>
              <w:rPr>
                <w:sz w:val="20"/>
                <w:szCs w:val="20"/>
                <w:color w:val="auto"/>
              </w:rPr>
            </w:pPr>
            <w:r>
              <w:rPr>
                <w:rFonts w:ascii="Arial" w:cs="Arial" w:eastAsia="Arial" w:hAnsi="Arial"/>
                <w:sz w:val="17"/>
                <w:szCs w:val="17"/>
                <w:color w:val="auto"/>
              </w:rPr>
              <w:t>101.SCH</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7"/>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20"/>
        </w:trPr>
        <w:tc>
          <w:tcPr>
            <w:tcW w:w="7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101.CAL</w:t>
            </w: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8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18"/>
        </w:trPr>
        <w:tc>
          <w:tcPr>
            <w:tcW w:w="740" w:type="dxa"/>
            <w:vAlign w:val="bottom"/>
            <w:gridSpan w:val="4"/>
          </w:tcPr>
          <w:p>
            <w:pPr>
              <w:ind w:left="20"/>
              <w:spacing w:after="0"/>
              <w:rPr>
                <w:sz w:val="20"/>
                <w:szCs w:val="20"/>
                <w:color w:val="auto"/>
              </w:rPr>
            </w:pPr>
            <w:r>
              <w:rPr>
                <w:rFonts w:ascii="Arial" w:cs="Arial" w:eastAsia="Arial" w:hAnsi="Arial"/>
                <w:sz w:val="17"/>
                <w:szCs w:val="17"/>
                <w:color w:val="auto"/>
              </w:rPr>
              <w:t>101.DEF</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7"/>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20"/>
        </w:trPr>
        <w:tc>
          <w:tcPr>
            <w:tcW w:w="7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101.LAB</w:t>
            </w: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8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18"/>
        </w:trPr>
        <w:tc>
          <w:tcPr>
            <w:tcW w:w="740" w:type="dxa"/>
            <w:vAlign w:val="bottom"/>
            <w:gridSpan w:val="4"/>
          </w:tcPr>
          <w:p>
            <w:pPr>
              <w:ind w:left="20"/>
              <w:spacing w:after="0"/>
              <w:rPr>
                <w:sz w:val="20"/>
                <w:szCs w:val="20"/>
                <w:color w:val="auto"/>
              </w:rPr>
            </w:pPr>
            <w:r>
              <w:rPr>
                <w:rFonts w:ascii="Arial" w:cs="Arial" w:eastAsia="Arial" w:hAnsi="Arial"/>
                <w:sz w:val="17"/>
                <w:szCs w:val="17"/>
                <w:color w:val="auto"/>
              </w:rPr>
              <w:t>101.PRE</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7"/>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20"/>
        </w:trPr>
        <w:tc>
          <w:tcPr>
            <w:tcW w:w="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8"/>
              </w:rPr>
              <w:t>104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8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2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Indicates management contract or compensatory plan, contract or agreement.</w:t>
      </w:r>
    </w:p>
    <w:p>
      <w:pPr>
        <w:spacing w:after="0" w:line="37" w:lineRule="exact"/>
        <w:rPr>
          <w:sz w:val="20"/>
          <w:szCs w:val="20"/>
          <w:color w:val="auto"/>
        </w:rPr>
      </w:pPr>
    </w:p>
    <w:p>
      <w:pPr>
        <w:jc w:val="both"/>
        <w:ind w:left="1200" w:right="20" w:hanging="217"/>
        <w:spacing w:after="0" w:line="257" w:lineRule="auto"/>
        <w:tabs>
          <w:tab w:leader="none" w:pos="1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20"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Pursuant to the requirements of Securities Exchange Act of 1934, the registrant has duly caused this report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7480" w:type="dxa"/>
            <w:vAlign w:val="bottom"/>
            <w:gridSpan w:val="3"/>
          </w:tcPr>
          <w:p>
            <w:pPr>
              <w:ind w:left="2220"/>
              <w:spacing w:after="0"/>
              <w:rPr>
                <w:sz w:val="20"/>
                <w:szCs w:val="20"/>
                <w:color w:val="auto"/>
              </w:rPr>
            </w:pPr>
            <w:r>
              <w:rPr>
                <w:rFonts w:ascii="Arial" w:cs="Arial" w:eastAsia="Arial" w:hAnsi="Arial"/>
                <w:sz w:val="17"/>
                <w:szCs w:val="17"/>
                <w:b w:val="1"/>
                <w:bCs w:val="1"/>
                <w:color w:val="auto"/>
              </w:rPr>
              <w:t>WM TECHNOLOGY, INC.</w:t>
            </w:r>
          </w:p>
        </w:tc>
      </w:tr>
      <w:tr>
        <w:trPr>
          <w:trHeight w:val="710"/>
        </w:trPr>
        <w:tc>
          <w:tcPr>
            <w:tcW w:w="480" w:type="dxa"/>
            <w:vAlign w:val="bottom"/>
          </w:tcPr>
          <w:p>
            <w:pPr>
              <w:spacing w:after="0"/>
              <w:rPr>
                <w:sz w:val="20"/>
                <w:szCs w:val="20"/>
                <w:color w:val="auto"/>
              </w:rPr>
            </w:pPr>
            <w:r>
              <w:rPr>
                <w:rFonts w:ascii="Arial" w:cs="Arial" w:eastAsia="Arial" w:hAnsi="Arial"/>
                <w:sz w:val="17"/>
                <w:szCs w:val="17"/>
                <w:color w:val="auto"/>
              </w:rPr>
              <w:t>Date:</w:t>
            </w:r>
          </w:p>
        </w:tc>
        <w:tc>
          <w:tcPr>
            <w:tcW w:w="3260" w:type="dxa"/>
            <w:vAlign w:val="bottom"/>
          </w:tcPr>
          <w:p>
            <w:pPr>
              <w:ind w:left="120"/>
              <w:spacing w:after="0"/>
              <w:rPr>
                <w:sz w:val="20"/>
                <w:szCs w:val="20"/>
                <w:color w:val="auto"/>
              </w:rPr>
            </w:pPr>
            <w:r>
              <w:rPr>
                <w:rFonts w:ascii="Arial" w:cs="Arial" w:eastAsia="Arial" w:hAnsi="Arial"/>
                <w:sz w:val="17"/>
                <w:szCs w:val="17"/>
                <w:color w:val="auto"/>
              </w:rPr>
              <w:t>November 12, 2021</w:t>
            </w:r>
          </w:p>
        </w:tc>
        <w:tc>
          <w:tcPr>
            <w:tcW w:w="2660" w:type="dxa"/>
            <w:vAlign w:val="bottom"/>
          </w:tcPr>
          <w:p>
            <w:pPr>
              <w:ind w:left="2220"/>
              <w:spacing w:after="0"/>
              <w:rPr>
                <w:sz w:val="20"/>
                <w:szCs w:val="20"/>
                <w:color w:val="auto"/>
              </w:rPr>
            </w:pPr>
            <w:r>
              <w:rPr>
                <w:rFonts w:ascii="Arial" w:cs="Arial" w:eastAsia="Arial" w:hAnsi="Arial"/>
                <w:sz w:val="17"/>
                <w:szCs w:val="17"/>
                <w:color w:val="auto"/>
              </w:rPr>
              <w:t>By:</w:t>
            </w:r>
          </w:p>
        </w:tc>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Christopher Beals</w:t>
            </w:r>
          </w:p>
        </w:tc>
      </w:tr>
      <w:tr>
        <w:trPr>
          <w:trHeight w:val="211"/>
        </w:trPr>
        <w:tc>
          <w:tcPr>
            <w:tcW w:w="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4220" w:type="dxa"/>
            <w:vAlign w:val="bottom"/>
          </w:tcPr>
          <w:p>
            <w:pPr>
              <w:ind w:left="120"/>
              <w:spacing w:after="0"/>
              <w:rPr>
                <w:sz w:val="20"/>
                <w:szCs w:val="20"/>
                <w:color w:val="auto"/>
              </w:rPr>
            </w:pPr>
            <w:r>
              <w:rPr>
                <w:rFonts w:ascii="Arial" w:cs="Arial" w:eastAsia="Arial" w:hAnsi="Arial"/>
                <w:sz w:val="17"/>
                <w:szCs w:val="17"/>
                <w:color w:val="auto"/>
              </w:rPr>
              <w:t>Christopher Beals</w:t>
            </w:r>
          </w:p>
        </w:tc>
      </w:tr>
      <w:tr>
        <w:trPr>
          <w:trHeight w:val="219"/>
        </w:trPr>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4220" w:type="dxa"/>
            <w:vAlign w:val="bottom"/>
          </w:tcPr>
          <w:p>
            <w:pPr>
              <w:ind w:left="120"/>
              <w:spacing w:after="0"/>
              <w:rPr>
                <w:sz w:val="20"/>
                <w:szCs w:val="20"/>
                <w:color w:val="auto"/>
              </w:rPr>
            </w:pPr>
            <w:r>
              <w:rPr>
                <w:rFonts w:ascii="Arial" w:cs="Arial" w:eastAsia="Arial" w:hAnsi="Arial"/>
                <w:sz w:val="17"/>
                <w:szCs w:val="17"/>
                <w:color w:val="auto"/>
              </w:rPr>
              <w:t>Chief Executive Officer</w:t>
            </w:r>
          </w:p>
        </w:tc>
      </w:tr>
      <w:tr>
        <w:trPr>
          <w:trHeight w:val="219"/>
        </w:trPr>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7"/>
                <w:szCs w:val="17"/>
                <w:i w:val="1"/>
                <w:iCs w:val="1"/>
                <w:color w:val="auto"/>
              </w:rPr>
              <w:t>(Principal Executive Officer)</w:t>
            </w:r>
          </w:p>
        </w:tc>
      </w:tr>
      <w:tr>
        <w:trPr>
          <w:trHeight w:val="568"/>
        </w:trPr>
        <w:tc>
          <w:tcPr>
            <w:tcW w:w="480" w:type="dxa"/>
            <w:vAlign w:val="bottom"/>
          </w:tcPr>
          <w:p>
            <w:pPr>
              <w:spacing w:after="0"/>
              <w:rPr>
                <w:sz w:val="20"/>
                <w:szCs w:val="20"/>
                <w:color w:val="auto"/>
              </w:rPr>
            </w:pPr>
            <w:r>
              <w:rPr>
                <w:rFonts w:ascii="Arial" w:cs="Arial" w:eastAsia="Arial" w:hAnsi="Arial"/>
                <w:sz w:val="17"/>
                <w:szCs w:val="17"/>
                <w:color w:val="auto"/>
              </w:rPr>
              <w:t>Date:</w:t>
            </w:r>
          </w:p>
        </w:tc>
        <w:tc>
          <w:tcPr>
            <w:tcW w:w="3260" w:type="dxa"/>
            <w:vAlign w:val="bottom"/>
          </w:tcPr>
          <w:p>
            <w:pPr>
              <w:ind w:left="120"/>
              <w:spacing w:after="0"/>
              <w:rPr>
                <w:sz w:val="20"/>
                <w:szCs w:val="20"/>
                <w:color w:val="auto"/>
              </w:rPr>
            </w:pPr>
            <w:r>
              <w:rPr>
                <w:rFonts w:ascii="Arial" w:cs="Arial" w:eastAsia="Arial" w:hAnsi="Arial"/>
                <w:sz w:val="17"/>
                <w:szCs w:val="17"/>
                <w:color w:val="auto"/>
              </w:rPr>
              <w:t>November 12, 2021</w:t>
            </w:r>
          </w:p>
        </w:tc>
        <w:tc>
          <w:tcPr>
            <w:tcW w:w="2660" w:type="dxa"/>
            <w:vAlign w:val="bottom"/>
          </w:tcPr>
          <w:p>
            <w:pPr>
              <w:ind w:left="2220"/>
              <w:spacing w:after="0"/>
              <w:rPr>
                <w:sz w:val="20"/>
                <w:szCs w:val="20"/>
                <w:color w:val="auto"/>
              </w:rPr>
            </w:pPr>
            <w:r>
              <w:rPr>
                <w:rFonts w:ascii="Arial" w:cs="Arial" w:eastAsia="Arial" w:hAnsi="Arial"/>
                <w:sz w:val="17"/>
                <w:szCs w:val="17"/>
                <w:color w:val="auto"/>
              </w:rPr>
              <w:t>By:</w:t>
            </w:r>
          </w:p>
        </w:tc>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Arden Lee</w:t>
            </w:r>
          </w:p>
        </w:tc>
      </w:tr>
      <w:tr>
        <w:trPr>
          <w:trHeight w:val="211"/>
        </w:trPr>
        <w:tc>
          <w:tcPr>
            <w:tcW w:w="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4220" w:type="dxa"/>
            <w:vAlign w:val="bottom"/>
          </w:tcPr>
          <w:p>
            <w:pPr>
              <w:ind w:left="120"/>
              <w:spacing w:after="0"/>
              <w:rPr>
                <w:sz w:val="20"/>
                <w:szCs w:val="20"/>
                <w:color w:val="auto"/>
              </w:rPr>
            </w:pPr>
            <w:r>
              <w:rPr>
                <w:rFonts w:ascii="Arial" w:cs="Arial" w:eastAsia="Arial" w:hAnsi="Arial"/>
                <w:sz w:val="17"/>
                <w:szCs w:val="17"/>
                <w:color w:val="auto"/>
              </w:rPr>
              <w:t>Arden Lee</w:t>
            </w:r>
          </w:p>
        </w:tc>
      </w:tr>
      <w:tr>
        <w:trPr>
          <w:trHeight w:val="219"/>
        </w:trPr>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4220" w:type="dxa"/>
            <w:vAlign w:val="bottom"/>
          </w:tcPr>
          <w:p>
            <w:pPr>
              <w:ind w:left="120"/>
              <w:spacing w:after="0"/>
              <w:rPr>
                <w:sz w:val="20"/>
                <w:szCs w:val="20"/>
                <w:color w:val="auto"/>
              </w:rPr>
            </w:pPr>
            <w:r>
              <w:rPr>
                <w:rFonts w:ascii="Arial" w:cs="Arial" w:eastAsia="Arial" w:hAnsi="Arial"/>
                <w:sz w:val="17"/>
                <w:szCs w:val="17"/>
                <w:color w:val="auto"/>
              </w:rPr>
              <w:t>Chief Financial Officer</w:t>
            </w:r>
          </w:p>
        </w:tc>
      </w:tr>
      <w:tr>
        <w:trPr>
          <w:trHeight w:val="170"/>
        </w:trPr>
        <w:tc>
          <w:tcPr>
            <w:tcW w:w="4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20" w:type="dxa"/>
            <w:vAlign w:val="bottom"/>
          </w:tcPr>
          <w:p>
            <w:pPr>
              <w:ind w:left="120"/>
              <w:spacing w:after="0" w:line="170" w:lineRule="exact"/>
              <w:rPr>
                <w:sz w:val="20"/>
                <w:szCs w:val="20"/>
                <w:color w:val="auto"/>
              </w:rPr>
            </w:pPr>
            <w:r>
              <w:rPr>
                <w:rFonts w:ascii="Arial" w:cs="Arial" w:eastAsia="Arial" w:hAnsi="Arial"/>
                <w:sz w:val="17"/>
                <w:szCs w:val="17"/>
                <w:i w:val="1"/>
                <w:iCs w:val="1"/>
                <w:color w:val="auto"/>
              </w:rPr>
              <w:t>(Principal Financial Officer and Principal Accounting</w:t>
            </w:r>
          </w:p>
        </w:tc>
      </w:tr>
      <w:tr>
        <w:trPr>
          <w:trHeight w:val="217"/>
        </w:trPr>
        <w:tc>
          <w:tcPr>
            <w:tcW w:w="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20" w:type="dxa"/>
            <w:vAlign w:val="bottom"/>
          </w:tcPr>
          <w:p>
            <w:pPr>
              <w:ind w:left="120"/>
              <w:spacing w:after="0"/>
              <w:rPr>
                <w:sz w:val="20"/>
                <w:szCs w:val="20"/>
                <w:color w:val="auto"/>
              </w:rPr>
            </w:pPr>
            <w:r>
              <w:rPr>
                <w:rFonts w:ascii="Arial" w:cs="Arial" w:eastAsia="Arial" w:hAnsi="Arial"/>
                <w:sz w:val="17"/>
                <w:szCs w:val="17"/>
                <w:i w:val="1"/>
                <w:iCs w:val="1"/>
                <w:color w:val="auto"/>
              </w:rPr>
              <w:t>Officer)</w:t>
            </w:r>
          </w:p>
        </w:tc>
      </w:tr>
      <w:tr>
        <w:trPr>
          <w:trHeight w:val="864"/>
        </w:trPr>
        <w:tc>
          <w:tcPr>
            <w:tcW w:w="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60" w:type="dxa"/>
            <w:vAlign w:val="bottom"/>
          </w:tcPr>
          <w:p>
            <w:pPr>
              <w:jc w:val="right"/>
              <w:ind w:right="634"/>
              <w:spacing w:after="0"/>
              <w:rPr>
                <w:sz w:val="20"/>
                <w:szCs w:val="20"/>
                <w:color w:val="auto"/>
              </w:rPr>
            </w:pPr>
            <w:r>
              <w:rPr>
                <w:rFonts w:ascii="Arial" w:cs="Arial" w:eastAsia="Arial" w:hAnsi="Arial"/>
                <w:sz w:val="17"/>
                <w:szCs w:val="17"/>
                <w:color w:val="auto"/>
              </w:rPr>
              <w:t>52</w:t>
            </w:r>
          </w:p>
        </w:tc>
        <w:tc>
          <w:tcPr>
            <w:tcW w:w="60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ectPr>
          <w:pgSz w:w="11900" w:h="16838" w:orient="portrait"/>
          <w:cols w:equalWidth="0" w:num="1">
            <w:col w:w="11240"/>
          </w:cols>
          <w:pgMar w:left="320" w:top="230" w:right="339" w:bottom="1440" w:gutter="0" w:footer="0" w:header="0"/>
        </w:sectPr>
      </w:pPr>
    </w:p>
    <w:bookmarkStart w:id="54" w:name="page55"/>
    <w:bookmarkEnd w:id="54"/>
    <w:p>
      <w:pPr>
        <w:ind w:left="10080"/>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WM Technology, Inc.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Non-Employee Director Compensation Policy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Approved and Adopted by the Board of Directors: June 16, 2021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Effective June 16, 2021</w:t>
      </w:r>
    </w:p>
    <w:p>
      <w:pPr>
        <w:spacing w:after="0" w:line="205" w:lineRule="exact"/>
        <w:rPr>
          <w:sz w:val="20"/>
          <w:szCs w:val="20"/>
          <w:color w:val="auto"/>
        </w:rPr>
      </w:pPr>
    </w:p>
    <w:p>
      <w:pPr>
        <w:ind w:right="80"/>
        <w:spacing w:after="0" w:line="226" w:lineRule="auto"/>
        <w:rPr>
          <w:sz w:val="20"/>
          <w:szCs w:val="20"/>
          <w:color w:val="auto"/>
        </w:rPr>
      </w:pPr>
      <w:r>
        <w:rPr>
          <w:rFonts w:ascii="Arial" w:cs="Arial" w:eastAsia="Arial" w:hAnsi="Arial"/>
          <w:sz w:val="21"/>
          <w:szCs w:val="21"/>
          <w:color w:val="auto"/>
        </w:rPr>
        <w:t>The purpose of this Non-Employee Director Compensation Policy (the “</w:t>
      </w:r>
      <w:r>
        <w:rPr>
          <w:rFonts w:ascii="Arial" w:cs="Arial" w:eastAsia="Arial" w:hAnsi="Arial"/>
          <w:sz w:val="21"/>
          <w:szCs w:val="21"/>
          <w:u w:val="single" w:color="auto"/>
          <w:color w:val="auto"/>
        </w:rPr>
        <w:t>Policy</w:t>
      </w:r>
      <w:r>
        <w:rPr>
          <w:rFonts w:ascii="Arial" w:cs="Arial" w:eastAsia="Arial" w:hAnsi="Arial"/>
          <w:sz w:val="21"/>
          <w:szCs w:val="21"/>
          <w:color w:val="auto"/>
        </w:rPr>
        <w:t>”) of WM Technology,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is to provide a total compensation package that enables the Company to attract and retain, on a long-term basis, high-caliber directors who are not employees or officers of the Company or its subsidiaries (“</w:t>
      </w:r>
      <w:r>
        <w:rPr>
          <w:rFonts w:ascii="Arial" w:cs="Arial" w:eastAsia="Arial" w:hAnsi="Arial"/>
          <w:sz w:val="21"/>
          <w:szCs w:val="21"/>
          <w:u w:val="single" w:color="auto"/>
          <w:color w:val="auto"/>
        </w:rPr>
        <w:t>Outside Directors</w:t>
      </w:r>
      <w:r>
        <w:rPr>
          <w:rFonts w:ascii="Arial" w:cs="Arial" w:eastAsia="Arial" w:hAnsi="Arial"/>
          <w:sz w:val="21"/>
          <w:szCs w:val="21"/>
          <w:color w:val="auto"/>
        </w:rPr>
        <w:t>”). An Outside Director may decline all or any portion of his or her compensation by giving notice to the Company prior to the date cash may be paid or equity awards are to be granted, as the case may be.</w:t>
      </w:r>
    </w:p>
    <w:p>
      <w:pPr>
        <w:spacing w:after="0" w:line="191" w:lineRule="exact"/>
        <w:rPr>
          <w:sz w:val="20"/>
          <w:szCs w:val="20"/>
          <w:color w:val="auto"/>
        </w:rPr>
      </w:pPr>
    </w:p>
    <w:p>
      <w:pPr>
        <w:spacing w:after="0" w:line="228" w:lineRule="auto"/>
        <w:rPr>
          <w:sz w:val="20"/>
          <w:szCs w:val="20"/>
          <w:color w:val="auto"/>
        </w:rPr>
      </w:pPr>
      <w:r>
        <w:rPr>
          <w:rFonts w:ascii="Arial" w:cs="Arial" w:eastAsia="Arial" w:hAnsi="Arial"/>
          <w:sz w:val="21"/>
          <w:szCs w:val="21"/>
          <w:color w:val="auto"/>
        </w:rPr>
        <w:t>In furtherance of the purpose stated above, all Outside Directors who will continue as a member of the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following the closing of the Company’s business combination with Silver Spike Acquisition Corp. (the “</w:t>
      </w:r>
      <w:r>
        <w:rPr>
          <w:rFonts w:ascii="Arial" w:cs="Arial" w:eastAsia="Arial" w:hAnsi="Arial"/>
          <w:sz w:val="21"/>
          <w:szCs w:val="21"/>
          <w:u w:val="single" w:color="auto"/>
          <w:color w:val="auto"/>
        </w:rPr>
        <w:t>Closing</w:t>
      </w:r>
      <w:r>
        <w:rPr>
          <w:rFonts w:ascii="Arial" w:cs="Arial" w:eastAsia="Arial" w:hAnsi="Arial"/>
          <w:sz w:val="21"/>
          <w:szCs w:val="21"/>
          <w:color w:val="auto"/>
        </w:rPr>
        <w:t>”) shall receive, as compensation for services provided to the Company, (a) the cash retainers set forth below and (b) a grant of restricted stock units as set forth below.</w:t>
      </w:r>
    </w:p>
    <w:p>
      <w:pPr>
        <w:spacing w:after="0" w:line="185" w:lineRule="exact"/>
        <w:rPr>
          <w:sz w:val="20"/>
          <w:szCs w:val="20"/>
          <w:color w:val="auto"/>
        </w:rPr>
      </w:pPr>
    </w:p>
    <w:p>
      <w:pPr>
        <w:ind w:left="1300" w:hanging="678"/>
        <w:spacing w:after="0"/>
        <w:tabs>
          <w:tab w:leader="none" w:pos="1300" w:val="left"/>
        </w:tabs>
        <w:numPr>
          <w:ilvl w:val="0"/>
          <w:numId w:val="2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Cash Retainers</w:t>
      </w:r>
    </w:p>
    <w:p>
      <w:pPr>
        <w:spacing w:after="0" w:line="216" w:lineRule="exact"/>
        <w:rPr>
          <w:sz w:val="20"/>
          <w:szCs w:val="20"/>
          <w:color w:val="auto"/>
        </w:rPr>
      </w:pPr>
    </w:p>
    <w:p>
      <w:pPr>
        <w:jc w:val="both"/>
        <w:ind w:right="360"/>
        <w:spacing w:after="0" w:line="232" w:lineRule="auto"/>
        <w:rPr>
          <w:sz w:val="20"/>
          <w:szCs w:val="20"/>
          <w:color w:val="auto"/>
        </w:rPr>
      </w:pPr>
      <w:r>
        <w:rPr>
          <w:rFonts w:ascii="Arial" w:cs="Arial" w:eastAsia="Arial" w:hAnsi="Arial"/>
          <w:sz w:val="21"/>
          <w:szCs w:val="21"/>
          <w:color w:val="auto"/>
        </w:rPr>
        <w:t>Outside Directors are eligible to receive the annual cash retainers in the amounts and subject to the terms and conditions as set forth below. All payments shall be made in arrears on the last business day of each fiscal quarter in which the Outside Director’s service occurred. All annual cash retainers are vested upon payment.</w:t>
      </w:r>
    </w:p>
    <w:p>
      <w:pPr>
        <w:spacing w:after="0" w:line="189"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For the fiscal year in which the Closing occurs, each annual retainer set forth below will be pro- rated based on the days remaining in the fiscal year in which the Closing occurs, with the pro-rated amount paid for the fiscal quarter in which the Closing occurs, and regular full quarterly payments thereafter. If, following the Closing, an Outside Director joins the Board or a committee of the Board at a time other than effective as of the first day of a fiscal quarter, each annual retainer set forth below will be pro-rated based on days served in the applicable fiscal year, with the pro-rated amount paid for the first fiscal quarter in which the Outside Director provides the service, and regular full quarterly payments thereafter.</w:t>
      </w:r>
    </w:p>
    <w:p>
      <w:pPr>
        <w:spacing w:after="0" w:line="190" w:lineRule="exact"/>
        <w:rPr>
          <w:sz w:val="20"/>
          <w:szCs w:val="20"/>
          <w:color w:val="auto"/>
        </w:rPr>
      </w:pPr>
    </w:p>
    <w:p>
      <w:pPr>
        <w:ind w:right="420" w:firstLine="622"/>
        <w:spacing w:after="0" w:line="239" w:lineRule="auto"/>
        <w:tabs>
          <w:tab w:leader="none" w:pos="1054"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Annual Retainer for Board Membership</w:t>
      </w:r>
      <w:r>
        <w:rPr>
          <w:rFonts w:ascii="Arial" w:cs="Arial" w:eastAsia="Arial" w:hAnsi="Arial"/>
          <w:sz w:val="21"/>
          <w:szCs w:val="21"/>
          <w:color w:val="auto"/>
        </w:rPr>
        <w:t>: $50,000 for general availability and participation in meetings and conference calls of our Board.</w:t>
      </w:r>
    </w:p>
    <w:p>
      <w:pPr>
        <w:spacing w:after="0" w:line="189" w:lineRule="exact"/>
        <w:rPr>
          <w:rFonts w:ascii="Arial" w:cs="Arial" w:eastAsia="Arial" w:hAnsi="Arial"/>
          <w:sz w:val="21"/>
          <w:szCs w:val="21"/>
          <w:color w:val="auto"/>
        </w:rPr>
      </w:pPr>
    </w:p>
    <w:p>
      <w:pPr>
        <w:ind w:left="1060" w:hanging="438"/>
        <w:spacing w:after="0"/>
        <w:tabs>
          <w:tab w:leader="none" w:pos="1060"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Additional Annual Retainers for Committee Membership</w:t>
      </w:r>
      <w:r>
        <w:rPr>
          <w:rFonts w:ascii="Arial" w:cs="Arial" w:eastAsia="Arial" w:hAnsi="Arial"/>
          <w:sz w:val="21"/>
          <w:szCs w:val="21"/>
          <w:color w:val="auto"/>
        </w:rPr>
        <w:t>:</w:t>
      </w:r>
    </w:p>
    <w:p>
      <w:pPr>
        <w:spacing w:after="0" w:line="210" w:lineRule="exact"/>
        <w:rPr>
          <w:sz w:val="20"/>
          <w:szCs w:val="20"/>
          <w:color w:val="auto"/>
        </w:rPr>
      </w:pPr>
    </w:p>
    <w:p>
      <w:pPr>
        <w:ind w:left="1800"/>
        <w:spacing w:after="0"/>
        <w:rPr>
          <w:sz w:val="20"/>
          <w:szCs w:val="20"/>
          <w:color w:val="auto"/>
        </w:rPr>
      </w:pPr>
      <w:r>
        <w:rPr>
          <w:rFonts w:ascii="Arial" w:cs="Arial" w:eastAsia="Arial" w:hAnsi="Arial"/>
          <w:sz w:val="21"/>
          <w:szCs w:val="21"/>
          <w:color w:val="auto"/>
        </w:rPr>
        <w:t>Audit Committee Chairperson: $20,000</w:t>
      </w:r>
    </w:p>
    <w:p>
      <w:pPr>
        <w:spacing w:after="0" w:line="300" w:lineRule="exact"/>
        <w:rPr>
          <w:sz w:val="20"/>
          <w:szCs w:val="20"/>
          <w:color w:val="auto"/>
        </w:rPr>
      </w:pPr>
    </w:p>
    <w:p>
      <w:pPr>
        <w:ind w:left="1800"/>
        <w:spacing w:after="0"/>
        <w:rPr>
          <w:sz w:val="20"/>
          <w:szCs w:val="20"/>
          <w:color w:val="auto"/>
        </w:rPr>
      </w:pPr>
      <w:r>
        <w:rPr>
          <w:rFonts w:ascii="Arial" w:cs="Arial" w:eastAsia="Arial" w:hAnsi="Arial"/>
          <w:sz w:val="21"/>
          <w:szCs w:val="21"/>
          <w:color w:val="auto"/>
        </w:rPr>
        <w:t>Audit Committee member (other than Chairperson): $8,000</w:t>
      </w:r>
    </w:p>
    <w:p>
      <w:pPr>
        <w:spacing w:after="0" w:line="171" w:lineRule="exact"/>
        <w:rPr>
          <w:sz w:val="20"/>
          <w:szCs w:val="20"/>
          <w:color w:val="auto"/>
        </w:rPr>
      </w:pPr>
    </w:p>
    <w:p>
      <w:pPr>
        <w:ind w:left="1800"/>
        <w:spacing w:after="0"/>
        <w:rPr>
          <w:sz w:val="20"/>
          <w:szCs w:val="20"/>
          <w:color w:val="auto"/>
        </w:rPr>
      </w:pPr>
      <w:r>
        <w:rPr>
          <w:rFonts w:ascii="Arial" w:cs="Arial" w:eastAsia="Arial" w:hAnsi="Arial"/>
          <w:sz w:val="21"/>
          <w:szCs w:val="21"/>
          <w:color w:val="auto"/>
        </w:rPr>
        <w:t>Compensation Committee Chairperson: $12,000</w:t>
      </w:r>
    </w:p>
    <w:p>
      <w:pPr>
        <w:spacing w:after="0" w:line="158" w:lineRule="exact"/>
        <w:rPr>
          <w:sz w:val="20"/>
          <w:szCs w:val="20"/>
          <w:color w:val="auto"/>
        </w:rPr>
      </w:pPr>
    </w:p>
    <w:p>
      <w:pPr>
        <w:ind w:left="1800"/>
        <w:spacing w:after="0"/>
        <w:rPr>
          <w:sz w:val="20"/>
          <w:szCs w:val="20"/>
          <w:color w:val="auto"/>
        </w:rPr>
      </w:pPr>
      <w:r>
        <w:rPr>
          <w:rFonts w:ascii="Arial" w:cs="Arial" w:eastAsia="Arial" w:hAnsi="Arial"/>
          <w:sz w:val="21"/>
          <w:szCs w:val="21"/>
          <w:color w:val="auto"/>
        </w:rPr>
        <w:t>Compensation Committee member (other than Chairperson): $5,000</w:t>
      </w:r>
    </w:p>
    <w:p>
      <w:pPr>
        <w:spacing w:after="0" w:line="132" w:lineRule="exact"/>
        <w:rPr>
          <w:sz w:val="20"/>
          <w:szCs w:val="20"/>
          <w:color w:val="auto"/>
        </w:rPr>
      </w:pPr>
    </w:p>
    <w:p>
      <w:pPr>
        <w:ind w:left="1800"/>
        <w:spacing w:after="0"/>
        <w:rPr>
          <w:sz w:val="20"/>
          <w:szCs w:val="20"/>
          <w:color w:val="auto"/>
        </w:rPr>
      </w:pPr>
      <w:r>
        <w:rPr>
          <w:rFonts w:ascii="Arial" w:cs="Arial" w:eastAsia="Arial" w:hAnsi="Arial"/>
          <w:sz w:val="21"/>
          <w:szCs w:val="21"/>
          <w:color w:val="auto"/>
        </w:rPr>
        <w:t>Nominating and Corporate Governance Committee Chairperson: $7,500</w:t>
      </w:r>
    </w:p>
    <w:p>
      <w:pPr>
        <w:sectPr>
          <w:pgSz w:w="11900" w:h="16838" w:orient="portrait"/>
          <w:cols w:equalWidth="0" w:num="1">
            <w:col w:w="11240"/>
          </w:cols>
          <w:pgMar w:left="320" w:top="783" w:right="33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21"/>
          <w:szCs w:val="21"/>
          <w:color w:val="auto"/>
        </w:rPr>
        <w:t>Nominating and Corporate Governance Committee member (other than Chairperson): $3,500</w:t>
      </w:r>
    </w:p>
    <w:p>
      <w:pPr>
        <w:spacing w:after="0" w:line="287" w:lineRule="exact"/>
        <w:rPr>
          <w:sz w:val="20"/>
          <w:szCs w:val="20"/>
          <w:color w:val="auto"/>
        </w:rPr>
      </w:pPr>
    </w:p>
    <w:p>
      <w:pPr>
        <w:ind w:left="1060" w:hanging="438"/>
        <w:spacing w:after="0"/>
        <w:tabs>
          <w:tab w:leader="none" w:pos="1060"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Additional Annual Retainer for Chairperson of our Board of Directors (if an Outside Director)</w:t>
      </w:r>
      <w:r>
        <w:rPr>
          <w:rFonts w:ascii="Arial" w:cs="Arial" w:eastAsia="Arial" w:hAnsi="Arial"/>
          <w:sz w:val="21"/>
          <w:szCs w:val="21"/>
          <w:color w:val="auto"/>
        </w:rPr>
        <w:t>: $20,000</w:t>
      </w:r>
    </w:p>
    <w:p>
      <w:pPr>
        <w:spacing w:after="0" w:line="209" w:lineRule="exact"/>
        <w:rPr>
          <w:rFonts w:ascii="Arial" w:cs="Arial" w:eastAsia="Arial" w:hAnsi="Arial"/>
          <w:sz w:val="21"/>
          <w:szCs w:val="21"/>
          <w:color w:val="auto"/>
        </w:rPr>
      </w:pPr>
    </w:p>
    <w:p>
      <w:pPr>
        <w:ind w:left="1060" w:hanging="438"/>
        <w:spacing w:after="0"/>
        <w:tabs>
          <w:tab w:leader="none" w:pos="106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Additional Annual Retainer for Lead Independent Director</w:t>
      </w:r>
      <w:r>
        <w:rPr>
          <w:rFonts w:ascii="Arial" w:cs="Arial" w:eastAsia="Arial" w:hAnsi="Arial"/>
          <w:sz w:val="19"/>
          <w:szCs w:val="19"/>
          <w:color w:val="auto"/>
        </w:rPr>
        <w:t>: $15,000 for serving as lead independent director of our Board</w:t>
      </w:r>
    </w:p>
    <w:p>
      <w:pPr>
        <w:spacing w:after="0" w:line="1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of Directors.</w:t>
      </w:r>
    </w:p>
    <w:p>
      <w:pPr>
        <w:spacing w:after="0" w:line="186" w:lineRule="exact"/>
        <w:rPr>
          <w:sz w:val="20"/>
          <w:szCs w:val="20"/>
          <w:color w:val="auto"/>
        </w:rPr>
      </w:pPr>
    </w:p>
    <w:p>
      <w:pPr>
        <w:ind w:left="1320" w:hanging="698"/>
        <w:spacing w:after="0"/>
        <w:tabs>
          <w:tab w:leader="none" w:pos="1320"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Equity Retainers</w:t>
      </w:r>
    </w:p>
    <w:p>
      <w:pPr>
        <w:spacing w:after="0" w:line="216" w:lineRule="exact"/>
        <w:rPr>
          <w:sz w:val="20"/>
          <w:szCs w:val="20"/>
          <w:color w:val="auto"/>
        </w:rPr>
      </w:pPr>
    </w:p>
    <w:p>
      <w:pPr>
        <w:ind w:firstLine="622"/>
        <w:spacing w:after="0" w:line="247" w:lineRule="auto"/>
        <w:tabs>
          <w:tab w:leader="none" w:pos="1105"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Initial Grant</w:t>
      </w:r>
      <w:r>
        <w:rPr>
          <w:rFonts w:ascii="Arial" w:cs="Arial" w:eastAsia="Arial" w:hAnsi="Arial"/>
          <w:sz w:val="19"/>
          <w:szCs w:val="19"/>
          <w:color w:val="auto"/>
        </w:rPr>
        <w:t>. Effective upon the Closing, without any further action of the Board or Compensation Committee of the Board, each Outside Director who is elected or appointed for the first time to be an Outside Director will automatically, upon the date of his or her initial election or appointment to be an Outside Director (the “</w:t>
      </w:r>
      <w:r>
        <w:rPr>
          <w:rFonts w:ascii="Arial" w:cs="Arial" w:eastAsia="Arial" w:hAnsi="Arial"/>
          <w:sz w:val="19"/>
          <w:szCs w:val="19"/>
          <w:u w:val="single" w:color="auto"/>
          <w:color w:val="auto"/>
        </w:rPr>
        <w:t>Commencement Date</w:t>
      </w:r>
      <w:r>
        <w:rPr>
          <w:rFonts w:ascii="Arial" w:cs="Arial" w:eastAsia="Arial" w:hAnsi="Arial"/>
          <w:sz w:val="19"/>
          <w:szCs w:val="19"/>
          <w:color w:val="auto"/>
        </w:rPr>
        <w:t>”), will receive an initial, one- time grant of restricted stock units (the “</w:t>
      </w:r>
      <w:r>
        <w:rPr>
          <w:rFonts w:ascii="Arial" w:cs="Arial" w:eastAsia="Arial" w:hAnsi="Arial"/>
          <w:sz w:val="19"/>
          <w:szCs w:val="19"/>
          <w:u w:val="single" w:color="auto"/>
          <w:color w:val="auto"/>
        </w:rPr>
        <w:t>Initial Grant</w:t>
      </w:r>
      <w:r>
        <w:rPr>
          <w:rFonts w:ascii="Arial" w:cs="Arial" w:eastAsia="Arial" w:hAnsi="Arial"/>
          <w:sz w:val="19"/>
          <w:szCs w:val="19"/>
          <w:color w:val="auto"/>
        </w:rPr>
        <w:t>”) with an aggregate value of approximately $400,000, that vests in three equal annual installments over three years from the Commencement Date. For the avoidance of doubt, the Initial Grant may only be granted once to any Outside Director. Notwithstanding the foregoing, no Initial Grant will be made until a Form S-8 Registration Statement has been filed by the Company in respect of the shares available for issuance under the Plan (as defined below), in which case the Commencement Date will remain the date of the Outside Director’s initial election or appointment.</w:t>
      </w:r>
    </w:p>
    <w:p>
      <w:pPr>
        <w:spacing w:after="0" w:line="186" w:lineRule="exact"/>
        <w:rPr>
          <w:rFonts w:ascii="Arial" w:cs="Arial" w:eastAsia="Arial" w:hAnsi="Arial"/>
          <w:sz w:val="19"/>
          <w:szCs w:val="19"/>
          <w:color w:val="auto"/>
        </w:rPr>
      </w:pPr>
    </w:p>
    <w:p>
      <w:pPr>
        <w:ind w:right="140" w:firstLine="622"/>
        <w:spacing w:after="0" w:line="238" w:lineRule="auto"/>
        <w:tabs>
          <w:tab w:leader="none" w:pos="1066"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Annual Grant</w:t>
      </w:r>
      <w:r>
        <w:rPr>
          <w:rFonts w:ascii="Arial" w:cs="Arial" w:eastAsia="Arial" w:hAnsi="Arial"/>
          <w:sz w:val="20"/>
          <w:szCs w:val="20"/>
          <w:color w:val="auto"/>
        </w:rPr>
        <w:t>. Without any further action of the Board or Compensation Committee of the Board, at the close of business on the date of each annual meeting of the Company’s stockholders (the “</w:t>
      </w:r>
      <w:r>
        <w:rPr>
          <w:rFonts w:ascii="Arial" w:cs="Arial" w:eastAsia="Arial" w:hAnsi="Arial"/>
          <w:sz w:val="20"/>
          <w:szCs w:val="20"/>
          <w:u w:val="single" w:color="auto"/>
          <w:color w:val="auto"/>
        </w:rPr>
        <w:t>Annual Meeting Date</w:t>
      </w:r>
      <w:r>
        <w:rPr>
          <w:rFonts w:ascii="Arial" w:cs="Arial" w:eastAsia="Arial" w:hAnsi="Arial"/>
          <w:sz w:val="20"/>
          <w:szCs w:val="20"/>
          <w:color w:val="auto"/>
        </w:rPr>
        <w:t>”), each Outside Director who will continue as a member of the Board following such Annual Meeting Date will receive a grant of restricted stock units on the Annual Meeting Date (the “</w:t>
      </w:r>
      <w:r>
        <w:rPr>
          <w:rFonts w:ascii="Arial" w:cs="Arial" w:eastAsia="Arial" w:hAnsi="Arial"/>
          <w:sz w:val="20"/>
          <w:szCs w:val="20"/>
          <w:u w:val="single" w:color="auto"/>
          <w:color w:val="auto"/>
        </w:rPr>
        <w:t>Annual Grant</w:t>
      </w:r>
      <w:r>
        <w:rPr>
          <w:rFonts w:ascii="Arial" w:cs="Arial" w:eastAsia="Arial" w:hAnsi="Arial"/>
          <w:sz w:val="20"/>
          <w:szCs w:val="20"/>
          <w:color w:val="auto"/>
        </w:rPr>
        <w:t>”) with an aggregate value of approximately $200,000, that vests in full on the earlier of (i) the first anniversary of the grant date or (ii) the next Annual Meeting Date.</w:t>
      </w:r>
    </w:p>
    <w:p>
      <w:pPr>
        <w:spacing w:after="0" w:line="182" w:lineRule="exact"/>
        <w:rPr>
          <w:sz w:val="20"/>
          <w:szCs w:val="20"/>
          <w:color w:val="auto"/>
        </w:rPr>
      </w:pPr>
    </w:p>
    <w:p>
      <w:pPr>
        <w:ind w:left="1320" w:hanging="698"/>
        <w:spacing w:after="0"/>
        <w:tabs>
          <w:tab w:leader="none" w:pos="1320" w:val="left"/>
        </w:tabs>
        <w:numPr>
          <w:ilvl w:val="0"/>
          <w:numId w:val="3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General</w:t>
      </w:r>
    </w:p>
    <w:p>
      <w:pPr>
        <w:spacing w:after="0" w:line="216" w:lineRule="exact"/>
        <w:rPr>
          <w:sz w:val="20"/>
          <w:szCs w:val="20"/>
          <w:color w:val="auto"/>
        </w:rPr>
      </w:pPr>
    </w:p>
    <w:p>
      <w:pPr>
        <w:ind w:right="440"/>
        <w:spacing w:after="0" w:line="239" w:lineRule="auto"/>
        <w:rPr>
          <w:sz w:val="20"/>
          <w:szCs w:val="20"/>
          <w:color w:val="auto"/>
        </w:rPr>
      </w:pPr>
      <w:r>
        <w:rPr>
          <w:rFonts w:ascii="Arial" w:cs="Arial" w:eastAsia="Arial" w:hAnsi="Arial"/>
          <w:sz w:val="21"/>
          <w:szCs w:val="21"/>
          <w:color w:val="auto"/>
        </w:rPr>
        <w:t>All grants of equity retainer awards to Outside Directors pursuant to this Policy will be automatic and nondiscretionary and will be made in accordance with the following provisions:</w:t>
      </w:r>
    </w:p>
    <w:p>
      <w:pPr>
        <w:spacing w:after="0" w:line="189" w:lineRule="exact"/>
        <w:rPr>
          <w:sz w:val="20"/>
          <w:szCs w:val="20"/>
          <w:color w:val="auto"/>
        </w:rPr>
      </w:pPr>
    </w:p>
    <w:p>
      <w:pPr>
        <w:ind w:right="560" w:firstLine="622"/>
        <w:spacing w:after="0" w:line="239" w:lineRule="auto"/>
        <w:tabs>
          <w:tab w:leader="none" w:pos="1054"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Plan</w:t>
      </w:r>
      <w:r>
        <w:rPr>
          <w:rFonts w:ascii="Arial" w:cs="Arial" w:eastAsia="Arial" w:hAnsi="Arial"/>
          <w:sz w:val="21"/>
          <w:szCs w:val="21"/>
          <w:color w:val="auto"/>
        </w:rPr>
        <w:t>. The grants of equity retainer awards to Outside Directors will be made pursuant to the Company’s 2021 Equity Incentive Plan (the “</w:t>
      </w:r>
      <w:r>
        <w:rPr>
          <w:rFonts w:ascii="Arial" w:cs="Arial" w:eastAsia="Arial" w:hAnsi="Arial"/>
          <w:sz w:val="21"/>
          <w:szCs w:val="21"/>
          <w:u w:val="single" w:color="auto"/>
          <w:color w:val="auto"/>
        </w:rPr>
        <w:t>Plan</w:t>
      </w:r>
      <w:r>
        <w:rPr>
          <w:rFonts w:ascii="Arial" w:cs="Arial" w:eastAsia="Arial" w:hAnsi="Arial"/>
          <w:sz w:val="21"/>
          <w:szCs w:val="21"/>
          <w:color w:val="auto"/>
        </w:rPr>
        <w:t>”).</w:t>
      </w:r>
    </w:p>
    <w:p>
      <w:pPr>
        <w:spacing w:after="0" w:line="189" w:lineRule="exact"/>
        <w:rPr>
          <w:rFonts w:ascii="Arial" w:cs="Arial" w:eastAsia="Arial" w:hAnsi="Arial"/>
          <w:sz w:val="21"/>
          <w:szCs w:val="21"/>
          <w:color w:val="auto"/>
        </w:rPr>
      </w:pPr>
    </w:p>
    <w:p>
      <w:pPr>
        <w:ind w:right="60" w:firstLine="622"/>
        <w:spacing w:after="0" w:line="238" w:lineRule="auto"/>
        <w:tabs>
          <w:tab w:leader="none" w:pos="1066"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Value</w:t>
      </w:r>
      <w:r>
        <w:rPr>
          <w:rFonts w:ascii="Arial" w:cs="Arial" w:eastAsia="Arial" w:hAnsi="Arial"/>
          <w:sz w:val="20"/>
          <w:szCs w:val="20"/>
          <w:color w:val="auto"/>
        </w:rPr>
        <w:t>. For purposes of this Policy, the number of restricted stock units granted to an Outside Director hereunder shall be equal to the closing market price on the Nasdaq Stock Market (or such other market on which the Company’s Class A common stock is then principally listed) of one share of the Company’s Class A common stock on the day prior to the effective date of the grant. If the value of each grant of restricted stock units is denominated in dollars, the number of shares of restricted stock units that are granted pursuant to each award shall be rounded down to the nearest whole share.</w:t>
      </w:r>
    </w:p>
    <w:p>
      <w:pPr>
        <w:spacing w:after="0" w:line="187" w:lineRule="exact"/>
        <w:rPr>
          <w:rFonts w:ascii="Arial" w:cs="Arial" w:eastAsia="Arial" w:hAnsi="Arial"/>
          <w:sz w:val="20"/>
          <w:szCs w:val="20"/>
          <w:color w:val="auto"/>
        </w:rPr>
      </w:pPr>
    </w:p>
    <w:p>
      <w:pPr>
        <w:ind w:right="140" w:firstLine="622"/>
        <w:spacing w:after="0" w:line="228" w:lineRule="auto"/>
        <w:tabs>
          <w:tab w:leader="none" w:pos="1054"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Revisions</w:t>
      </w:r>
      <w:r>
        <w:rPr>
          <w:rFonts w:ascii="Arial" w:cs="Arial" w:eastAsia="Arial" w:hAnsi="Arial"/>
          <w:sz w:val="21"/>
          <w:szCs w:val="21"/>
          <w:color w:val="auto"/>
        </w:rPr>
        <w:t>. The Board and/or the Compensation Committee in its discretion may change and otherwise revise the terms of awards to be granted under this Policy, including, without limitation, the number of shares subject thereto, for awards of the same or different type granted on or after the date the Board and/or the Compensation Committee determines to make any such change or revision.</w:t>
      </w:r>
    </w:p>
    <w:p>
      <w:pPr>
        <w:spacing w:after="0" w:line="191" w:lineRule="exact"/>
        <w:rPr>
          <w:rFonts w:ascii="Arial" w:cs="Arial" w:eastAsia="Arial" w:hAnsi="Arial"/>
          <w:sz w:val="21"/>
          <w:szCs w:val="21"/>
          <w:color w:val="auto"/>
        </w:rPr>
      </w:pPr>
    </w:p>
    <w:p>
      <w:pPr>
        <w:ind w:right="40" w:firstLine="622"/>
        <w:spacing w:after="0" w:line="232" w:lineRule="auto"/>
        <w:tabs>
          <w:tab w:leader="none" w:pos="1066"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Vesting; Change in Control Acceleration</w:t>
      </w:r>
      <w:r>
        <w:rPr>
          <w:rFonts w:ascii="Arial" w:cs="Arial" w:eastAsia="Arial" w:hAnsi="Arial"/>
          <w:sz w:val="21"/>
          <w:szCs w:val="21"/>
          <w:color w:val="auto"/>
        </w:rPr>
        <w:t>. All vesting is subject to the Outside Director’s Continuous Service (as defined in the Plan) through the applicable vesting date. Notwithstanding the foregoing vesting schedule, for each Outside Director who remains in Continuous Service with the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814" w:right="339" w:bottom="1440" w:gutter="0" w:footer="0" w:header="0"/>
        </w:sectPr>
      </w:pPr>
    </w:p>
    <w:bookmarkStart w:id="56" w:name="page57"/>
    <w:bookmarkEnd w:id="56"/>
    <w:p>
      <w:pPr>
        <w:ind w:right="260"/>
        <w:spacing w:after="0" w:line="290" w:lineRule="auto"/>
        <w:rPr>
          <w:sz w:val="20"/>
          <w:szCs w:val="20"/>
          <w:color w:val="auto"/>
        </w:rPr>
      </w:pPr>
      <w:r>
        <w:rPr>
          <w:rFonts w:ascii="Arial" w:cs="Arial" w:eastAsia="Arial" w:hAnsi="Arial"/>
          <w:sz w:val="19"/>
          <w:szCs w:val="19"/>
          <w:color w:val="auto"/>
        </w:rPr>
        <w:t>Company until immediately prior to the closing of a Change in Control (as defined in the Plan), the equity retainer awards granted to Outside Directors pursuant to this Policy shall become 100% vested immediately prior to the closing of such Change in Control.</w:t>
      </w:r>
    </w:p>
    <w:p>
      <w:pPr>
        <w:spacing w:after="0" w:line="142" w:lineRule="exact"/>
        <w:rPr>
          <w:sz w:val="20"/>
          <w:szCs w:val="20"/>
          <w:color w:val="auto"/>
        </w:rPr>
      </w:pPr>
    </w:p>
    <w:p>
      <w:pPr>
        <w:ind w:right="20" w:firstLine="622"/>
        <w:spacing w:after="0" w:line="232" w:lineRule="auto"/>
        <w:tabs>
          <w:tab w:leader="none" w:pos="1054"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Remaining Terms</w:t>
      </w:r>
      <w:r>
        <w:rPr>
          <w:rFonts w:ascii="Arial" w:cs="Arial" w:eastAsia="Arial" w:hAnsi="Arial"/>
          <w:sz w:val="21"/>
          <w:szCs w:val="21"/>
          <w:color w:val="auto"/>
        </w:rPr>
        <w:t>. The remaining terms and conditions of each restricted stock unit, including transferability, will be as set forth in the Company’s standard restricted stock unit award agreement, in the applicable form adopted from time to time by the Board or the Compensation Committee of the Board.</w:t>
      </w:r>
    </w:p>
    <w:p>
      <w:pPr>
        <w:spacing w:after="0" w:line="183"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21"/>
          <w:szCs w:val="21"/>
          <w:b w:val="1"/>
          <w:bCs w:val="1"/>
          <w:color w:val="auto"/>
        </w:rPr>
        <w:t>IV.</w:t>
      </w:r>
      <w:r>
        <w:rPr>
          <w:sz w:val="20"/>
          <w:szCs w:val="20"/>
          <w:color w:val="auto"/>
        </w:rPr>
        <w:tab/>
      </w:r>
      <w:r>
        <w:rPr>
          <w:rFonts w:ascii="Arial" w:cs="Arial" w:eastAsia="Arial" w:hAnsi="Arial"/>
          <w:sz w:val="21"/>
          <w:szCs w:val="21"/>
          <w:b w:val="1"/>
          <w:bCs w:val="1"/>
          <w:u w:val="single" w:color="auto"/>
          <w:color w:val="auto"/>
        </w:rPr>
        <w:t>Expenses</w:t>
      </w:r>
    </w:p>
    <w:p>
      <w:pPr>
        <w:spacing w:after="0" w:line="20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will reimburse all reasonable out-of-pocket travel expenses incurred by Outside Directors in attending meetings of the Board or any Committee thereof; provided, that the Outside Director timely submits to the Company appropriate documentation substantiating such expenses in accordance with the Company’s travel and expense policy, as in effect from time to time.</w:t>
      </w:r>
    </w:p>
    <w:p>
      <w:pPr>
        <w:spacing w:after="0" w:line="154" w:lineRule="exact"/>
        <w:rPr>
          <w:sz w:val="20"/>
          <w:szCs w:val="20"/>
          <w:color w:val="auto"/>
        </w:rPr>
      </w:pPr>
    </w:p>
    <w:p>
      <w:pPr>
        <w:ind w:left="1280" w:hanging="658"/>
        <w:spacing w:after="0"/>
        <w:tabs>
          <w:tab w:leader="none" w:pos="1280" w:val="left"/>
        </w:tabs>
        <w:numPr>
          <w:ilvl w:val="0"/>
          <w:numId w:val="3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Maximum Annual Compensation</w:t>
      </w:r>
    </w:p>
    <w:p>
      <w:pPr>
        <w:spacing w:after="0" w:line="216"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The aggregate value of all compensation granted or paid, as applicable, to any individual for service as an Outside Director with respect to any calendar year, including equity awards granted and cash fees paid by the Company to such Outside Director, will not exceed (i) $750,000 in total value or (ii) in the event such Outside Director is first appointed or elected to the Board during any calendar year, $1,000,000 in total value, in each case calculating the value of any equity awards based on the grant date fair value of such equity awards for financial reporting purposes (or such other limit as may be set forth in Section 3(d) of the Plan or any similar provision of a successor plan). The foregoing limitation shall commence with the first calendar year that begins following the Closing.</w:t>
      </w:r>
    </w:p>
    <w:p>
      <w:pPr>
        <w:spacing w:after="0" w:line="175" w:lineRule="exact"/>
        <w:rPr>
          <w:sz w:val="20"/>
          <w:szCs w:val="20"/>
          <w:color w:val="auto"/>
        </w:rPr>
      </w:pPr>
    </w:p>
    <w:p>
      <w:pPr>
        <w:ind w:left="620"/>
        <w:spacing w:after="0"/>
        <w:tabs>
          <w:tab w:leader="none" w:pos="1300" w:val="left"/>
        </w:tabs>
        <w:rPr>
          <w:sz w:val="20"/>
          <w:szCs w:val="20"/>
          <w:color w:val="auto"/>
        </w:rPr>
      </w:pPr>
      <w:r>
        <w:rPr>
          <w:rFonts w:ascii="Arial" w:cs="Arial" w:eastAsia="Arial" w:hAnsi="Arial"/>
          <w:sz w:val="21"/>
          <w:szCs w:val="21"/>
          <w:b w:val="1"/>
          <w:bCs w:val="1"/>
          <w:color w:val="auto"/>
        </w:rPr>
        <w:t>VI.</w:t>
      </w:r>
      <w:r>
        <w:rPr>
          <w:sz w:val="20"/>
          <w:szCs w:val="20"/>
          <w:color w:val="auto"/>
        </w:rPr>
        <w:tab/>
      </w:r>
      <w:r>
        <w:rPr>
          <w:rFonts w:ascii="Arial" w:cs="Arial" w:eastAsia="Arial" w:hAnsi="Arial"/>
          <w:sz w:val="21"/>
          <w:szCs w:val="21"/>
          <w:b w:val="1"/>
          <w:bCs w:val="1"/>
          <w:u w:val="single" w:color="auto"/>
          <w:color w:val="auto"/>
        </w:rPr>
        <w:t>Administration</w:t>
      </w:r>
    </w:p>
    <w:p>
      <w:pPr>
        <w:spacing w:after="0" w:line="216" w:lineRule="exact"/>
        <w:rPr>
          <w:sz w:val="20"/>
          <w:szCs w:val="20"/>
          <w:color w:val="auto"/>
        </w:rPr>
      </w:pPr>
    </w:p>
    <w:p>
      <w:pPr>
        <w:ind w:right="320"/>
        <w:spacing w:after="0" w:line="265" w:lineRule="auto"/>
        <w:rPr>
          <w:sz w:val="20"/>
          <w:szCs w:val="20"/>
          <w:color w:val="auto"/>
        </w:rPr>
      </w:pPr>
      <w:r>
        <w:rPr>
          <w:rFonts w:ascii="Arial" w:cs="Arial" w:eastAsia="Arial" w:hAnsi="Arial"/>
          <w:sz w:val="19"/>
          <w:szCs w:val="19"/>
          <w:color w:val="auto"/>
        </w:rPr>
        <w:t>The Board, or Compensation Committee of the Board, will administer the Policy. The Board or the Compensation Committee of the Board will have the sole discretion and authority to administer, interpret, amend and terminate the Policy, and the decisions of the Board or the Compensation Committee of the Board will be final and binding on all persons having an interest in the Policy.</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20"/>
          </w:cols>
          <w:pgMar w:left="320" w:top="737" w:right="359" w:bottom="1440" w:gutter="0" w:footer="0" w:header="0"/>
        </w:sectPr>
      </w:pPr>
    </w:p>
    <w:bookmarkStart w:id="57" w:name="page58"/>
    <w:bookmarkEnd w:id="57"/>
    <w:p>
      <w:pPr>
        <w:jc w:val="right"/>
        <w:spacing w:after="0"/>
        <w:rPr>
          <w:sz w:val="20"/>
          <w:szCs w:val="20"/>
          <w:color w:val="auto"/>
        </w:rPr>
      </w:pPr>
      <w:r>
        <w:rPr>
          <w:rFonts w:ascii="Arial" w:cs="Arial" w:eastAsia="Arial" w:hAnsi="Arial"/>
          <w:sz w:val="17"/>
          <w:szCs w:val="17"/>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RULES 13a-14(a) AND 15d-14(a)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 THE SECURITIES EXCHANGE ACT OF 1934, AS AMENDED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Christopher Beals, certify that: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have reviewed this Quarterly Report on Form 10-Q of WM Technology Inc.;</w:t>
      </w:r>
    </w:p>
    <w:p>
      <w:pPr>
        <w:spacing w:after="0" w:line="24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90" w:lineRule="exact"/>
        <w:rPr>
          <w:sz w:val="20"/>
          <w:szCs w:val="20"/>
          <w:color w:val="auto"/>
        </w:rPr>
      </w:pPr>
    </w:p>
    <w:p>
      <w:pPr>
        <w:jc w:val="both"/>
        <w:ind w:left="320" w:hanging="317"/>
        <w:spacing w:after="0" w:line="266" w:lineRule="auto"/>
        <w:tabs>
          <w:tab w:leader="none" w:pos="317"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300" w:hanging="297"/>
        <w:spacing w:after="0"/>
        <w:tabs>
          <w:tab w:leader="none" w:pos="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(Paragraph intentionally omitted in accordance with SEC Release Nos. 34-47986 and 34-54942);</w:t>
      </w:r>
    </w:p>
    <w:p>
      <w:pPr>
        <w:spacing w:after="0" w:line="242" w:lineRule="exact"/>
        <w:rPr>
          <w:rFonts w:ascii="Arial" w:cs="Arial" w:eastAsia="Arial" w:hAnsi="Arial"/>
          <w:sz w:val="17"/>
          <w:szCs w:val="17"/>
          <w:color w:val="auto"/>
        </w:rPr>
      </w:pPr>
    </w:p>
    <w:p>
      <w:pPr>
        <w:ind w:left="320" w:hanging="317"/>
        <w:spacing w:after="0" w:line="279" w:lineRule="auto"/>
        <w:tabs>
          <w:tab w:leader="none" w:pos="317" w:val="left"/>
        </w:tabs>
        <w:numPr>
          <w:ilvl w:val="0"/>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7"/>
          <w:szCs w:val="17"/>
          <w:color w:val="auto"/>
        </w:rPr>
      </w:pPr>
    </w:p>
    <w:p>
      <w:pPr>
        <w:jc w:val="both"/>
        <w:ind w:left="320" w:hanging="317"/>
        <w:spacing w:after="0" w:line="266" w:lineRule="auto"/>
        <w:tabs>
          <w:tab w:leader="none" w:pos="314"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sz w:val="20"/>
          <w:szCs w:val="20"/>
          <w:color w:val="auto"/>
        </w:rPr>
      </w:pPr>
    </w:p>
    <w:p>
      <w:pPr>
        <w:ind w:left="320" w:hanging="317"/>
        <w:spacing w:after="0" w:line="279" w:lineRule="auto"/>
        <w:tabs>
          <w:tab w:leader="none" w:pos="488"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320" w:hanging="317"/>
        <w:spacing w:after="0" w:line="279" w:lineRule="auto"/>
        <w:tabs>
          <w:tab w:leader="none" w:pos="531"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tabs>
          <w:tab w:leader="none" w:pos="840" w:val="left"/>
          <w:tab w:leader="none" w:pos="6880" w:val="left"/>
          <w:tab w:leader="none" w:pos="758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November 12,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1054100</wp:posOffset>
            </wp:positionV>
            <wp:extent cx="23247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Christopher Beals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1359" w:right="339" w:bottom="892" w:gutter="0" w:footer="0" w:header="0"/>
        </w:sectPr>
      </w:pPr>
    </w:p>
    <w:p>
      <w:pPr>
        <w:spacing w:after="0" w:line="200" w:lineRule="exact"/>
        <w:rPr>
          <w:sz w:val="20"/>
          <w:szCs w:val="20"/>
          <w:color w:val="auto"/>
        </w:rPr>
      </w:pPr>
    </w:p>
    <w:p>
      <w:pPr>
        <w:spacing w:after="0" w:line="339" w:lineRule="exact"/>
        <w:rPr>
          <w:sz w:val="20"/>
          <w:szCs w:val="20"/>
          <w:color w:val="auto"/>
        </w:rPr>
      </w:pPr>
    </w:p>
    <w:p>
      <w:pPr>
        <w:ind w:left="76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359" w:right="339" w:bottom="892" w:gutter="0" w:footer="0" w:header="0"/>
          <w:type w:val="continuous"/>
        </w:sectPr>
      </w:pPr>
    </w:p>
    <w:bookmarkStart w:id="58" w:name="page59"/>
    <w:bookmarkEnd w:id="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rFonts w:ascii="Arial" w:cs="Arial" w:eastAsia="Arial" w:hAnsi="Arial"/>
          <w:sz w:val="17"/>
          <w:szCs w:val="17"/>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RULES 13a-14(a) AND 15d-14(a)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 THE SECURITIES EXCHANGE ACT OF 1934, AS AMENDED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Arden Lee, certify that: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have reviewed this Quarterly Report on Form 10-Q of WM Technology Inc.;</w:t>
      </w:r>
    </w:p>
    <w:p>
      <w:pPr>
        <w:spacing w:after="0" w:line="24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90" w:lineRule="exact"/>
        <w:rPr>
          <w:sz w:val="20"/>
          <w:szCs w:val="20"/>
          <w:color w:val="auto"/>
        </w:rPr>
      </w:pPr>
    </w:p>
    <w:p>
      <w:pPr>
        <w:jc w:val="both"/>
        <w:ind w:left="320" w:hanging="317"/>
        <w:spacing w:after="0" w:line="266" w:lineRule="auto"/>
        <w:tabs>
          <w:tab w:leader="none" w:pos="317"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300" w:hanging="297"/>
        <w:spacing w:after="0"/>
        <w:tabs>
          <w:tab w:leader="none" w:pos="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(Paragraph intentionally omitted in accordance with SEC Release Nos. 34-47986 and 34-54942);</w:t>
      </w:r>
    </w:p>
    <w:p>
      <w:pPr>
        <w:spacing w:after="0" w:line="242" w:lineRule="exact"/>
        <w:rPr>
          <w:rFonts w:ascii="Arial" w:cs="Arial" w:eastAsia="Arial" w:hAnsi="Arial"/>
          <w:sz w:val="17"/>
          <w:szCs w:val="17"/>
          <w:color w:val="auto"/>
        </w:rPr>
      </w:pPr>
    </w:p>
    <w:p>
      <w:pPr>
        <w:ind w:left="320" w:hanging="317"/>
        <w:spacing w:after="0" w:line="279" w:lineRule="auto"/>
        <w:tabs>
          <w:tab w:leader="none" w:pos="317" w:val="left"/>
        </w:tabs>
        <w:numPr>
          <w:ilvl w:val="0"/>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7"/>
          <w:szCs w:val="17"/>
          <w:color w:val="auto"/>
        </w:rPr>
      </w:pPr>
    </w:p>
    <w:p>
      <w:pPr>
        <w:jc w:val="both"/>
        <w:ind w:left="320" w:hanging="317"/>
        <w:spacing w:after="0" w:line="266" w:lineRule="auto"/>
        <w:tabs>
          <w:tab w:leader="none" w:pos="314"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sz w:val="20"/>
          <w:szCs w:val="20"/>
          <w:color w:val="auto"/>
        </w:rPr>
      </w:pPr>
    </w:p>
    <w:p>
      <w:pPr>
        <w:ind w:left="320" w:hanging="317"/>
        <w:spacing w:after="0" w:line="279" w:lineRule="auto"/>
        <w:tabs>
          <w:tab w:leader="none" w:pos="488"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320" w:hanging="317"/>
        <w:spacing w:after="0" w:line="279" w:lineRule="auto"/>
        <w:tabs>
          <w:tab w:leader="none" w:pos="531"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ind w:left="120"/>
        <w:spacing w:after="0"/>
        <w:tabs>
          <w:tab w:leader="none" w:pos="840" w:val="left"/>
          <w:tab w:leader="none" w:pos="6880" w:val="left"/>
          <w:tab w:leader="none" w:pos="76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November 12,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1054100</wp:posOffset>
            </wp:positionV>
            <wp:extent cx="23247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Arden Lee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1359"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7640"/>
        <w:spacing w:after="0"/>
        <w:rPr>
          <w:sz w:val="20"/>
          <w:szCs w:val="20"/>
          <w:color w:val="auto"/>
        </w:rPr>
      </w:pPr>
      <w:r>
        <w:rPr>
          <w:rFonts w:ascii="Arial" w:cs="Arial" w:eastAsia="Arial" w:hAnsi="Arial"/>
          <w:sz w:val="16"/>
          <w:szCs w:val="16"/>
          <w:i w:val="1"/>
          <w:iCs w:val="1"/>
          <w:color w:val="auto"/>
        </w:rPr>
        <w:t>(Principal Financial Officer and Principal</w:t>
      </w:r>
    </w:p>
    <w:p>
      <w:pPr>
        <w:spacing w:after="0" w:line="33" w:lineRule="exact"/>
        <w:rPr>
          <w:sz w:val="20"/>
          <w:szCs w:val="20"/>
          <w:color w:val="auto"/>
        </w:rPr>
      </w:pPr>
    </w:p>
    <w:p>
      <w:pPr>
        <w:ind w:left="7640"/>
        <w:spacing w:after="0"/>
        <w:rPr>
          <w:sz w:val="20"/>
          <w:szCs w:val="20"/>
          <w:color w:val="auto"/>
        </w:rPr>
      </w:pPr>
      <w:r>
        <w:rPr>
          <w:rFonts w:ascii="Arial" w:cs="Arial" w:eastAsia="Arial" w:hAnsi="Arial"/>
          <w:sz w:val="17"/>
          <w:szCs w:val="17"/>
          <w:i w:val="1"/>
          <w:iCs w:val="1"/>
          <w:color w:val="auto"/>
        </w:rPr>
        <w:t>Accounting Officer)</w:t>
      </w:r>
    </w:p>
    <w:p>
      <w:pPr>
        <w:sectPr>
          <w:pgSz w:w="11900" w:h="16838" w:orient="portrait"/>
          <w:cols w:equalWidth="0" w:num="1">
            <w:col w:w="11240"/>
          </w:cols>
          <w:pgMar w:left="320" w:top="1359" w:right="339" w:bottom="1440" w:gutter="0" w:footer="0" w:header="0"/>
          <w:type w:val="continuous"/>
        </w:sectPr>
      </w:pPr>
    </w:p>
    <w:bookmarkStart w:id="60" w:name="page61"/>
    <w:bookmarkEnd w:id="60"/>
    <w:p>
      <w:pPr>
        <w:spacing w:after="0" w:line="15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32.1</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OF CHIEF EXECUTIVE OFFICER AND CHIEF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 Christopher Beals, the Chief Executive Officer of WM Technology, Inc., certify, pursuant to 18 U.S.C. Section 1350, as adopted pursuant to Section 906 of the Sarbanes-Oxley Act of 2002, that the Quarterly Report on Form 10-Q of WM Technology, Inc. for the quarterly period ended September 30, 2021,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spacing w:after="0" w:line="139" w:lineRule="exact"/>
        <w:rPr>
          <w:sz w:val="20"/>
          <w:szCs w:val="20"/>
          <w:color w:val="auto"/>
        </w:rPr>
      </w:pPr>
    </w:p>
    <w:p>
      <w:pPr>
        <w:ind w:left="120"/>
        <w:spacing w:after="0"/>
        <w:tabs>
          <w:tab w:leader="none" w:pos="840" w:val="left"/>
          <w:tab w:leader="none" w:pos="6880" w:val="left"/>
          <w:tab w:leader="none" w:pos="76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November 12,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55880</wp:posOffset>
            </wp:positionV>
            <wp:extent cx="23247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94"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Christopher Beals</w:t>
      </w:r>
    </w:p>
    <w:p>
      <w:pPr>
        <w:spacing w:after="0" w:line="101"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Chief Executive Officer</w:t>
      </w:r>
    </w:p>
    <w:p>
      <w:pPr>
        <w:spacing w:after="0" w:line="101" w:lineRule="exact"/>
        <w:rPr>
          <w:sz w:val="20"/>
          <w:szCs w:val="20"/>
          <w:color w:val="auto"/>
        </w:rPr>
      </w:pPr>
    </w:p>
    <w:p>
      <w:pPr>
        <w:ind w:left="764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 Arden Lee, the Chief Financial Officer of WM Technology, Inc., certify, pursuant to 18 U.S.C. Section 1350, as adopted pursuant to Section 906 of the Sarbanes-Oxley Act of 2002, that the Quarterly Report on Form 10-Q of WM Technology, Inc. for the quarterly period ended September 30, 2021,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spacing w:after="0" w:line="139" w:lineRule="exact"/>
        <w:rPr>
          <w:sz w:val="20"/>
          <w:szCs w:val="20"/>
          <w:color w:val="auto"/>
        </w:rPr>
      </w:pPr>
    </w:p>
    <w:p>
      <w:pPr>
        <w:ind w:left="120"/>
        <w:spacing w:after="0"/>
        <w:tabs>
          <w:tab w:leader="none" w:pos="840" w:val="left"/>
          <w:tab w:leader="none" w:pos="6880" w:val="left"/>
          <w:tab w:leader="none" w:pos="76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November 12,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55880</wp:posOffset>
            </wp:positionV>
            <wp:extent cx="23247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94"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Arden Lee</w:t>
      </w:r>
    </w:p>
    <w:p>
      <w:pPr>
        <w:spacing w:after="0" w:line="101"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Chief Financial Officer</w:t>
      </w:r>
    </w:p>
    <w:p>
      <w:pPr>
        <w:spacing w:after="0" w:line="101" w:lineRule="exact"/>
        <w:rPr>
          <w:sz w:val="20"/>
          <w:szCs w:val="20"/>
          <w:color w:val="auto"/>
        </w:rPr>
      </w:pPr>
    </w:p>
    <w:p>
      <w:pPr>
        <w:ind w:left="7640"/>
        <w:spacing w:after="0"/>
        <w:rPr>
          <w:sz w:val="20"/>
          <w:szCs w:val="20"/>
          <w:color w:val="auto"/>
        </w:rPr>
      </w:pPr>
      <w:r>
        <w:rPr>
          <w:rFonts w:ascii="Arial" w:cs="Arial" w:eastAsia="Arial" w:hAnsi="Arial"/>
          <w:sz w:val="17"/>
          <w:szCs w:val="17"/>
          <w:i w:val="1"/>
          <w:iCs w:val="1"/>
          <w:color w:val="auto"/>
        </w:rPr>
        <w:t>(Principal Financial Officer and Principal</w:t>
      </w:r>
    </w:p>
    <w:p>
      <w:pPr>
        <w:spacing w:after="0" w:line="22" w:lineRule="exact"/>
        <w:rPr>
          <w:sz w:val="20"/>
          <w:szCs w:val="20"/>
          <w:color w:val="auto"/>
        </w:rPr>
      </w:pPr>
    </w:p>
    <w:p>
      <w:pPr>
        <w:ind w:left="7640"/>
        <w:spacing w:after="0"/>
        <w:rPr>
          <w:sz w:val="20"/>
          <w:szCs w:val="20"/>
          <w:color w:val="auto"/>
        </w:rPr>
      </w:pPr>
      <w:r>
        <w:rPr>
          <w:rFonts w:ascii="Arial" w:cs="Arial" w:eastAsia="Arial" w:hAnsi="Arial"/>
          <w:sz w:val="17"/>
          <w:szCs w:val="17"/>
          <w:i w:val="1"/>
          <w:iCs w:val="1"/>
          <w:color w:val="auto"/>
        </w:rPr>
        <w:t>Accounting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¹"/>
      <w:numFmt w:val="bullet"/>
      <w:start w:val="1"/>
    </w:lvl>
  </w:abstractNum>
  <w:abstractNum w:abstractNumId="2">
    <w:nsid w:val="62BBD95A"/>
    <w:multiLevelType w:val="hybridMultilevel"/>
    <w:lvl w:ilvl="0">
      <w:lvlJc w:val="left"/>
      <w:lvlText w:val="%1."/>
      <w:numFmt w:val="decimal"/>
      <w:start w:val="2"/>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lowerRoman"/>
      <w:start w:val="2"/>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6"/>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decimal"/>
      <w:start w:val="7"/>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9"/>
    </w:lvl>
  </w:abstractNum>
  <w:abstractNum w:abstractNumId="13">
    <w:nsid w:val="4353D0CD"/>
    <w:multiLevelType w:val="hybridMultilevel"/>
    <w:lvl w:ilvl="0">
      <w:lvlJc w:val="left"/>
      <w:lvlText w:val="%1."/>
      <w:numFmt w:val="decimal"/>
      <w:start w:val="10"/>
    </w:lvl>
  </w:abstractNum>
  <w:abstractNum w:abstractNumId="14">
    <w:nsid w:val="B03E0C6"/>
    <w:multiLevelType w:val="hybridMultilevel"/>
    <w:lvl w:ilvl="0">
      <w:lvlJc w:val="left"/>
      <w:lvlText w:val="%1."/>
      <w:numFmt w:val="decimal"/>
      <w:start w:val="11"/>
    </w:lvl>
  </w:abstractNum>
  <w:abstractNum w:abstractNumId="15">
    <w:nsid w:val="189A769B"/>
    <w:multiLevelType w:val="hybridMultilevel"/>
    <w:lvl w:ilvl="0">
      <w:lvlJc w:val="left"/>
      <w:lvlText w:val="%1."/>
      <w:numFmt w:val="decimal"/>
      <w:start w:val="12"/>
    </w:lvl>
  </w:abstractNum>
  <w:abstractNum w:abstractNumId="16">
    <w:nsid w:val="54E49EB4"/>
    <w:multiLevelType w:val="hybridMultilevel"/>
    <w:lvl w:ilvl="0">
      <w:lvlJc w:val="left"/>
      <w:lvlText w:val="%1."/>
      <w:numFmt w:val="decimal"/>
      <w:start w:val="13"/>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¹"/>
      <w:numFmt w:val="bullet"/>
      <w:start w:val="1"/>
    </w:lvl>
  </w:abstractNum>
  <w:abstractNum w:abstractNumId="20">
    <w:nsid w:val="2901D82"/>
    <w:multiLevelType w:val="hybridMultilevel"/>
    <w:lvl w:ilvl="0">
      <w:lvlJc w:val="left"/>
      <w:lvlText w:val="¹"/>
      <w:numFmt w:val="bullet"/>
      <w:start w:val="1"/>
    </w:lvl>
  </w:abstractNum>
  <w:abstractNum w:abstractNumId="21">
    <w:nsid w:val="3A95F874"/>
    <w:multiLevelType w:val="hybridMultilevel"/>
    <w:lvl w:ilvl="0">
      <w:lvlJc w:val="left"/>
      <w:lvlText w:val="¹"/>
      <w:numFmt w:val="bullet"/>
      <w:start w:val="1"/>
    </w:lvl>
  </w:abstractNum>
  <w:abstractNum w:abstractNumId="22">
    <w:nsid w:val="8138641"/>
    <w:multiLevelType w:val="hybridMultilevel"/>
    <w:lvl w:ilvl="0">
      <w:lvlJc w:val="left"/>
      <w:lvlText w:val="(%1)"/>
      <w:numFmt w:val="upperLetter"/>
      <w:start w:val="2"/>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upperLetter"/>
      <w:start w:val="9"/>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3"/>
    </w:lvl>
  </w:abstractNum>
  <w:abstractNum w:abstractNumId="27">
    <w:nsid w:val="22221A70"/>
    <w:multiLevelType w:val="hybridMultilevel"/>
    <w:lvl w:ilvl="0">
      <w:lvlJc w:val="left"/>
      <w:lvlText w:val="%1."/>
      <w:numFmt w:val="upperLetter"/>
      <w:start w:val="35"/>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upperLetter"/>
      <w:start w:val="6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5"/>
    </w:lvl>
  </w:abstractNum>
  <w:abstractNum w:abstractNumId="32">
    <w:nsid w:val="5577F8E1"/>
    <w:multiLevelType w:val="hybridMultilevel"/>
    <w:lvl w:ilvl="0">
      <w:lvlJc w:val="left"/>
      <w:lvlText w:val="%1."/>
      <w:numFmt w:val="upperLetter"/>
      <w:start w:val="22"/>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2021-11-12T19:27:40Z</dcterms:created>
  <dcterms:modified xsi:type="dcterms:W3CDTF">2021-11-12T19:27:40Z</dcterms:modified>
</cp:coreProperties>
</file>