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Date of report (date of earliest event reported): June 11, 2021 (June 10, 2021)</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SILVER SPIKE ACQUISITION CORP.</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Commission File Number: 001-39021</w:t>
      </w:r>
    </w:p>
    <w:p>
      <w:pPr>
        <w:sectPr>
          <w:pgSz w:w="11900" w:h="16838" w:orient="portrait"/>
          <w:cols w:equalWidth="0" w:num="1">
            <w:col w:w="11200"/>
          </w:cols>
          <w:pgMar w:left="320" w:top="535" w:right="379" w:bottom="1440" w:gutter="0" w:footer="0" w:header="0"/>
        </w:sectPr>
      </w:pPr>
    </w:p>
    <w:p>
      <w:pPr>
        <w:spacing w:after="0" w:line="242" w:lineRule="exact"/>
        <w:rPr>
          <w:sz w:val="24"/>
          <w:szCs w:val="24"/>
          <w:color w:val="auto"/>
        </w:rPr>
      </w:pPr>
    </w:p>
    <w:p>
      <w:pPr>
        <w:ind w:left="2140"/>
        <w:spacing w:after="0"/>
        <w:rPr>
          <w:sz w:val="20"/>
          <w:szCs w:val="20"/>
          <w:color w:val="auto"/>
        </w:rPr>
      </w:pPr>
      <w:r>
        <w:rPr>
          <w:rFonts w:ascii="Arial" w:cs="Arial" w:eastAsia="Arial" w:hAnsi="Arial"/>
          <w:sz w:val="16"/>
          <w:szCs w:val="16"/>
          <w:b w:val="1"/>
          <w:bCs w:val="1"/>
          <w:color w:val="auto"/>
        </w:rPr>
        <w:t>Cayman Islands</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98-1605615</w:t>
      </w:r>
    </w:p>
    <w:p>
      <w:pPr>
        <w:spacing w:after="0" w:line="200" w:lineRule="exact"/>
        <w:rPr>
          <w:sz w:val="24"/>
          <w:szCs w:val="24"/>
          <w:color w:val="auto"/>
        </w:rPr>
      </w:pPr>
    </w:p>
    <w:p>
      <w:pPr>
        <w:sectPr>
          <w:pgSz w:w="11900" w:h="16838" w:orient="portrait"/>
          <w:cols w:equalWidth="0" w:num="2">
            <w:col w:w="7340" w:space="720"/>
            <w:col w:w="3140"/>
          </w:cols>
          <w:pgMar w:left="320" w:top="535" w:right="379" w:bottom="1440" w:gutter="0" w:footer="0" w:header="0"/>
          <w:type w:val="continuous"/>
        </w:sectPr>
      </w:pPr>
    </w:p>
    <w:p>
      <w:pPr>
        <w:spacing w:after="0" w:line="52" w:lineRule="exact"/>
        <w:rPr>
          <w:sz w:val="24"/>
          <w:szCs w:val="24"/>
          <w:color w:val="auto"/>
        </w:rPr>
      </w:pPr>
    </w:p>
    <w:p>
      <w:pPr>
        <w:ind w:left="6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40" w:space="720"/>
            <w:col w:w="3940"/>
          </w:cols>
          <w:pgMar w:left="320" w:top="535" w:right="379" w:bottom="1440" w:gutter="0" w:footer="0" w:header="0"/>
          <w:type w:val="continuous"/>
        </w:sectPr>
      </w:pP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660 Madison Avenue, Suite 1600, New York, New York 10065</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(Address of principal executive offices, including zip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 905-4923</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jc w:val="center"/>
        <w:ind w:right="-39"/>
        <w:spacing w:after="0" w:line="230" w:lineRule="auto"/>
        <w:rPr>
          <w:sz w:val="20"/>
          <w:szCs w:val="20"/>
          <w:color w:val="auto"/>
        </w:rPr>
      </w:pPr>
      <w:r>
        <w:rPr>
          <w:rFonts w:ascii="Arial" w:cs="Arial" w:eastAsia="Arial" w:hAnsi="Arial"/>
          <w:sz w:val="22"/>
          <w:szCs w:val="22"/>
          <w:b w:val="1"/>
          <w:bCs w:val="1"/>
          <w:color w:val="auto"/>
        </w:rPr>
        <w:t>N/A</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1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ind w:left="500" w:hanging="330"/>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00" w:hanging="330"/>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00" w:hanging="330"/>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00" w:hanging="330"/>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140.13e-4(c))</w:t>
      </w:r>
    </w:p>
    <w:p>
      <w:pPr>
        <w:spacing w:after="0" w:line="229"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w w:val="88"/>
              </w:rPr>
              <w:t>Title of each class</w:t>
            </w:r>
          </w:p>
        </w:tc>
        <w:tc>
          <w:tcPr>
            <w:tcW w:w="2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Trading Symbol(s)</w:t>
            </w:r>
          </w:p>
        </w:tc>
        <w:tc>
          <w:tcPr>
            <w:tcW w:w="372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21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22"/>
        </w:trPr>
        <w:tc>
          <w:tcPr>
            <w:tcW w:w="5600" w:type="dxa"/>
            <w:vAlign w:val="bottom"/>
            <w:gridSpan w:val="3"/>
          </w:tcPr>
          <w:p>
            <w:pPr>
              <w:spacing w:after="0"/>
              <w:rPr>
                <w:sz w:val="20"/>
                <w:szCs w:val="20"/>
                <w:color w:val="auto"/>
              </w:rPr>
            </w:pPr>
            <w:r>
              <w:rPr>
                <w:rFonts w:ascii="Arial" w:cs="Arial" w:eastAsia="Arial" w:hAnsi="Arial"/>
                <w:sz w:val="18"/>
                <w:szCs w:val="18"/>
                <w:color w:val="auto"/>
              </w:rPr>
              <w:t>Class A ordinary shares, par value $0.0001 per share</w:t>
            </w:r>
          </w:p>
        </w:tc>
        <w:tc>
          <w:tcPr>
            <w:tcW w:w="36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SSPK</w:t>
            </w:r>
          </w:p>
        </w:tc>
        <w:tc>
          <w:tcPr>
            <w:tcW w:w="54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16"/>
        </w:trPr>
        <w:tc>
          <w:tcPr>
            <w:tcW w:w="5600" w:type="dxa"/>
            <w:vAlign w:val="bottom"/>
            <w:gridSpan w:val="3"/>
          </w:tcPr>
          <w:p>
            <w:pPr>
              <w:spacing w:after="0"/>
              <w:rPr>
                <w:sz w:val="20"/>
                <w:szCs w:val="20"/>
                <w:color w:val="auto"/>
              </w:rPr>
            </w:pPr>
            <w:r>
              <w:rPr>
                <w:rFonts w:ascii="Arial" w:cs="Arial" w:eastAsia="Arial" w:hAnsi="Arial"/>
                <w:sz w:val="18"/>
                <w:szCs w:val="18"/>
                <w:color w:val="auto"/>
                <w:w w:val="98"/>
              </w:rPr>
              <w:t>Redeemable warrants, each whole warrant exercisable for one Class A</w:t>
            </w:r>
          </w:p>
        </w:tc>
        <w:tc>
          <w:tcPr>
            <w:tcW w:w="3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SSPKW</w:t>
            </w:r>
          </w:p>
        </w:tc>
        <w:tc>
          <w:tcPr>
            <w:tcW w:w="54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16"/>
        </w:trPr>
        <w:tc>
          <w:tcPr>
            <w:tcW w:w="5600" w:type="dxa"/>
            <w:vAlign w:val="bottom"/>
            <w:gridSpan w:val="3"/>
          </w:tcPr>
          <w:p>
            <w:pPr>
              <w:ind w:left="180"/>
              <w:spacing w:after="0"/>
              <w:rPr>
                <w:sz w:val="20"/>
                <w:szCs w:val="20"/>
                <w:color w:val="auto"/>
              </w:rPr>
            </w:pPr>
            <w:r>
              <w:rPr>
                <w:rFonts w:ascii="Arial" w:cs="Arial" w:eastAsia="Arial" w:hAnsi="Arial"/>
                <w:sz w:val="18"/>
                <w:szCs w:val="18"/>
                <w:color w:val="auto"/>
              </w:rPr>
              <w:t>ordinary share at an exercise price of $11.50</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6"/>
        </w:trPr>
        <w:tc>
          <w:tcPr>
            <w:tcW w:w="5600" w:type="dxa"/>
            <w:vAlign w:val="bottom"/>
            <w:gridSpan w:val="3"/>
          </w:tcPr>
          <w:p>
            <w:pPr>
              <w:spacing w:after="0"/>
              <w:rPr>
                <w:sz w:val="20"/>
                <w:szCs w:val="20"/>
                <w:color w:val="auto"/>
              </w:rPr>
            </w:pPr>
            <w:r>
              <w:rPr>
                <w:rFonts w:ascii="Arial" w:cs="Arial" w:eastAsia="Arial" w:hAnsi="Arial"/>
                <w:sz w:val="18"/>
                <w:szCs w:val="18"/>
                <w:color w:val="auto"/>
                <w:w w:val="96"/>
              </w:rPr>
              <w:t>Units, each consisting of one Class A ordinary share and one-half of one</w:t>
            </w:r>
          </w:p>
        </w:tc>
        <w:tc>
          <w:tcPr>
            <w:tcW w:w="3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SSPKU</w:t>
            </w:r>
          </w:p>
        </w:tc>
        <w:tc>
          <w:tcPr>
            <w:tcW w:w="54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30"/>
        </w:trPr>
        <w:tc>
          <w:tcPr>
            <w:tcW w:w="5600" w:type="dxa"/>
            <w:vAlign w:val="bottom"/>
            <w:gridSpan w:val="3"/>
          </w:tcPr>
          <w:p>
            <w:pPr>
              <w:ind w:left="180"/>
              <w:spacing w:after="0"/>
              <w:rPr>
                <w:sz w:val="20"/>
                <w:szCs w:val="20"/>
                <w:color w:val="auto"/>
              </w:rPr>
            </w:pPr>
            <w:r>
              <w:rPr>
                <w:rFonts w:ascii="Arial" w:cs="Arial" w:eastAsia="Arial" w:hAnsi="Arial"/>
                <w:sz w:val="18"/>
                <w:szCs w:val="18"/>
                <w:color w:val="auto"/>
              </w:rPr>
              <w:t>redeemable warrant</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222" w:lineRule="exact"/>
        <w:rPr>
          <w:sz w:val="24"/>
          <w:szCs w:val="24"/>
          <w:color w:val="auto"/>
        </w:rPr>
      </w:pPr>
    </w:p>
    <w:p>
      <w:pPr>
        <w:ind w:right="340"/>
        <w:spacing w:after="0" w:line="274"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(17 CFR 230.405) or Rule 12b-2 of the Securities Exchange Act of 1934 (17 CFR 240.12b-2).</w:t>
      </w:r>
    </w:p>
    <w:p>
      <w:pPr>
        <w:spacing w:after="0" w:line="151"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22"/>
          <w:szCs w:val="22"/>
          <w:color w:val="auto"/>
        </w:rPr>
        <w:t>☒</w:t>
      </w:r>
    </w:p>
    <w:p>
      <w:pPr>
        <w:spacing w:after="0" w:line="273" w:lineRule="exact"/>
        <w:rPr>
          <w:sz w:val="24"/>
          <w:szCs w:val="24"/>
          <w:color w:val="auto"/>
        </w:rPr>
      </w:pPr>
    </w:p>
    <w:p>
      <w:pPr>
        <w:ind w:right="10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Agreement and Plan of Merger Amendment</w:t>
      </w:r>
    </w:p>
    <w:p>
      <w:pPr>
        <w:spacing w:after="0" w:line="233" w:lineRule="exact"/>
        <w:rPr>
          <w:sz w:val="20"/>
          <w:szCs w:val="20"/>
          <w:color w:val="auto"/>
        </w:rPr>
      </w:pPr>
    </w:p>
    <w:p>
      <w:pPr>
        <w:ind w:right="20"/>
        <w:spacing w:after="0" w:line="274" w:lineRule="auto"/>
        <w:rPr>
          <w:sz w:val="20"/>
          <w:szCs w:val="20"/>
          <w:color w:val="auto"/>
        </w:rPr>
      </w:pPr>
      <w:r>
        <w:rPr>
          <w:rFonts w:ascii="Arial" w:cs="Arial" w:eastAsia="Arial" w:hAnsi="Arial"/>
          <w:sz w:val="19"/>
          <w:szCs w:val="19"/>
          <w:color w:val="auto"/>
        </w:rPr>
        <w:t>On June 10, 2021, Silver Spike Acquisition Corp., a Cayman Island exempted company (“</w:t>
      </w:r>
      <w:r>
        <w:rPr>
          <w:rFonts w:ascii="Arial" w:cs="Arial" w:eastAsia="Arial" w:hAnsi="Arial"/>
          <w:sz w:val="19"/>
          <w:szCs w:val="19"/>
          <w:b w:val="1"/>
          <w:bCs w:val="1"/>
          <w:color w:val="auto"/>
        </w:rPr>
        <w:t>Silver Spike</w:t>
      </w:r>
      <w:r>
        <w:rPr>
          <w:rFonts w:ascii="Arial" w:cs="Arial" w:eastAsia="Arial" w:hAnsi="Arial"/>
          <w:sz w:val="19"/>
          <w:szCs w:val="19"/>
          <w:color w:val="auto"/>
        </w:rPr>
        <w:t>” or the “</w:t>
      </w:r>
      <w:r>
        <w:rPr>
          <w:rFonts w:ascii="Arial" w:cs="Arial" w:eastAsia="Arial" w:hAnsi="Arial"/>
          <w:sz w:val="19"/>
          <w:szCs w:val="19"/>
          <w:b w:val="1"/>
          <w:bCs w:val="1"/>
          <w:color w:val="auto"/>
        </w:rPr>
        <w:t>Company</w:t>
      </w:r>
      <w:r>
        <w:rPr>
          <w:rFonts w:ascii="Arial" w:cs="Arial" w:eastAsia="Arial" w:hAnsi="Arial"/>
          <w:sz w:val="19"/>
          <w:szCs w:val="19"/>
          <w:color w:val="auto"/>
        </w:rPr>
        <w:t>”), entered into the First Amendment (the “</w:t>
      </w:r>
      <w:r>
        <w:rPr>
          <w:rFonts w:ascii="Arial" w:cs="Arial" w:eastAsia="Arial" w:hAnsi="Arial"/>
          <w:sz w:val="19"/>
          <w:szCs w:val="19"/>
          <w:b w:val="1"/>
          <w:bCs w:val="1"/>
          <w:color w:val="auto"/>
        </w:rPr>
        <w:t>Amendment</w:t>
      </w:r>
      <w:r>
        <w:rPr>
          <w:rFonts w:ascii="Arial" w:cs="Arial" w:eastAsia="Arial" w:hAnsi="Arial"/>
          <w:sz w:val="19"/>
          <w:szCs w:val="19"/>
          <w:color w:val="auto"/>
        </w:rPr>
        <w:t>”) to the Agreement and Plan of Merger (the “</w:t>
      </w:r>
      <w:r>
        <w:rPr>
          <w:rFonts w:ascii="Arial" w:cs="Arial" w:eastAsia="Arial" w:hAnsi="Arial"/>
          <w:sz w:val="19"/>
          <w:szCs w:val="19"/>
          <w:b w:val="1"/>
          <w:bCs w:val="1"/>
          <w:color w:val="auto"/>
        </w:rPr>
        <w:t>Merger Agreement</w:t>
      </w:r>
      <w:r>
        <w:rPr>
          <w:rFonts w:ascii="Arial" w:cs="Arial" w:eastAsia="Arial" w:hAnsi="Arial"/>
          <w:sz w:val="19"/>
          <w:szCs w:val="19"/>
          <w:color w:val="auto"/>
        </w:rPr>
        <w:t>”), dated December 10, 2020, by and among Silver Spike, Silver Spike Merger Sub LLC, a Delaware limited liability company and a wholly owned direct subsidiary of Silver Spike (“</w:t>
      </w:r>
      <w:r>
        <w:rPr>
          <w:rFonts w:ascii="Arial" w:cs="Arial" w:eastAsia="Arial" w:hAnsi="Arial"/>
          <w:sz w:val="19"/>
          <w:szCs w:val="19"/>
          <w:b w:val="1"/>
          <w:bCs w:val="1"/>
          <w:color w:val="auto"/>
        </w:rPr>
        <w:t>Merger Sub</w:t>
      </w:r>
      <w:r>
        <w:rPr>
          <w:rFonts w:ascii="Arial" w:cs="Arial" w:eastAsia="Arial" w:hAnsi="Arial"/>
          <w:sz w:val="19"/>
          <w:szCs w:val="19"/>
          <w:color w:val="auto"/>
        </w:rPr>
        <w:t>”), WM Holding Company, LLC, a Delaware limited liability company (“</w:t>
      </w:r>
      <w:r>
        <w:rPr>
          <w:rFonts w:ascii="Arial" w:cs="Arial" w:eastAsia="Arial" w:hAnsi="Arial"/>
          <w:sz w:val="19"/>
          <w:szCs w:val="19"/>
          <w:b w:val="1"/>
          <w:bCs w:val="1"/>
          <w:color w:val="auto"/>
        </w:rPr>
        <w:t>WMH</w:t>
      </w:r>
      <w:r>
        <w:rPr>
          <w:rFonts w:ascii="Arial" w:cs="Arial" w:eastAsia="Arial" w:hAnsi="Arial"/>
          <w:sz w:val="19"/>
          <w:szCs w:val="19"/>
          <w:color w:val="auto"/>
        </w:rPr>
        <w:t>”), and Ghost Media Group, LLC, a Nevada limited liability company, solely in its capacity as the initial holder representative. Pursuant to the Merger Agreement, (i) Silver Spike will domesticate from a Cayman Islands exempted company to a Delaware corporation with the new name of “WM Technology, Inc.” (“</w:t>
      </w:r>
      <w:r>
        <w:rPr>
          <w:rFonts w:ascii="Arial" w:cs="Arial" w:eastAsia="Arial" w:hAnsi="Arial"/>
          <w:sz w:val="19"/>
          <w:szCs w:val="19"/>
          <w:b w:val="1"/>
          <w:bCs w:val="1"/>
          <w:color w:val="auto"/>
        </w:rPr>
        <w:t>New WMH</w:t>
      </w:r>
      <w:r>
        <w:rPr>
          <w:rFonts w:ascii="Arial" w:cs="Arial" w:eastAsia="Arial" w:hAnsi="Arial"/>
          <w:sz w:val="19"/>
          <w:szCs w:val="19"/>
          <w:color w:val="auto"/>
        </w:rPr>
        <w:t>”), and (ii) Merger Sub will merge with and into WMH with WMH continuing as the surviving entity and a subsidiary of New WMH (clauses (i) and (ii) together with the other transactions contemplated by the Merger Agreement, the “</w:t>
      </w:r>
      <w:r>
        <w:rPr>
          <w:rFonts w:ascii="Arial" w:cs="Arial" w:eastAsia="Arial" w:hAnsi="Arial"/>
          <w:sz w:val="19"/>
          <w:szCs w:val="19"/>
          <w:b w:val="1"/>
          <w:bCs w:val="1"/>
          <w:color w:val="auto"/>
        </w:rPr>
        <w:t>Business Combination</w:t>
      </w:r>
      <w:r>
        <w:rPr>
          <w:rFonts w:ascii="Arial" w:cs="Arial" w:eastAsia="Arial" w:hAnsi="Arial"/>
          <w:sz w:val="19"/>
          <w:szCs w:val="19"/>
          <w:color w:val="auto"/>
        </w:rPr>
        <w:t>”). Capitalized terms used in this Current Report on Form 8-K but not otherwise defined herein have the meanings given to them in the Merger Agreement.</w:t>
      </w:r>
    </w:p>
    <w:p>
      <w:pPr>
        <w:spacing w:after="0" w:line="185"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Under the terms of the Merger Agreement, either the Company or WMH could terminate the Merger Agreement by written notice to the other party if the closing of the Business Combination did not occur by June 10, 2021 (the “</w:t>
      </w:r>
      <w:r>
        <w:rPr>
          <w:rFonts w:ascii="Arial" w:cs="Arial" w:eastAsia="Arial" w:hAnsi="Arial"/>
          <w:sz w:val="22"/>
          <w:szCs w:val="22"/>
          <w:b w:val="1"/>
          <w:bCs w:val="1"/>
          <w:color w:val="auto"/>
        </w:rPr>
        <w:t>Termination Date</w:t>
      </w:r>
      <w:r>
        <w:rPr>
          <w:rFonts w:ascii="Arial" w:cs="Arial" w:eastAsia="Arial" w:hAnsi="Arial"/>
          <w:sz w:val="22"/>
          <w:szCs w:val="22"/>
          <w:color w:val="auto"/>
        </w:rPr>
        <w:t>”) (subject to certain exceptions). Pursuant to the Amendment, the Merger Agreement was amended to change the Termination Date to July 10, 2021.</w:t>
      </w:r>
    </w:p>
    <w:p>
      <w:pPr>
        <w:spacing w:after="0" w:line="212" w:lineRule="exact"/>
        <w:rPr>
          <w:sz w:val="20"/>
          <w:szCs w:val="20"/>
          <w:color w:val="auto"/>
        </w:rPr>
      </w:pPr>
    </w:p>
    <w:p>
      <w:pPr>
        <w:ind w:right="260"/>
        <w:spacing w:after="0" w:line="274" w:lineRule="auto"/>
        <w:rPr>
          <w:sz w:val="20"/>
          <w:szCs w:val="20"/>
          <w:color w:val="auto"/>
        </w:rPr>
      </w:pPr>
      <w:r>
        <w:rPr>
          <w:rFonts w:ascii="Arial" w:cs="Arial" w:eastAsia="Arial" w:hAnsi="Arial"/>
          <w:sz w:val="21"/>
          <w:szCs w:val="21"/>
          <w:color w:val="auto"/>
        </w:rPr>
        <w:t>The foregoing description of the Amendment does not purport to be complete and is qualified in its entirety by the terms of the Amendment, a copy of which is attached as Exhibit 2.1 hereto and is incorporated by reference herein.</w:t>
      </w:r>
    </w:p>
    <w:p>
      <w:pPr>
        <w:spacing w:after="0" w:line="181" w:lineRule="exact"/>
        <w:rPr>
          <w:sz w:val="20"/>
          <w:szCs w:val="20"/>
          <w:color w:val="auto"/>
        </w:rPr>
      </w:pPr>
    </w:p>
    <w:p>
      <w:pPr>
        <w:ind w:left="820" w:right="260" w:hanging="809"/>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ind w:right="480"/>
        <w:spacing w:after="0"/>
        <w:rPr>
          <w:sz w:val="20"/>
          <w:szCs w:val="20"/>
          <w:color w:val="auto"/>
        </w:rPr>
      </w:pPr>
      <w:r>
        <w:rPr>
          <w:rFonts w:ascii="Arial" w:cs="Arial" w:eastAsia="Arial" w:hAnsi="Arial"/>
          <w:sz w:val="22"/>
          <w:szCs w:val="22"/>
          <w:color w:val="auto"/>
        </w:rPr>
        <w:t>As described below under Item 5.07 of this Current Report on Form 8-K, on June 10, 2021, Silver Spike convened its extraordinary general meeting (the “</w:t>
      </w:r>
      <w:r>
        <w:rPr>
          <w:rFonts w:ascii="Arial" w:cs="Arial" w:eastAsia="Arial" w:hAnsi="Arial"/>
          <w:sz w:val="22"/>
          <w:szCs w:val="22"/>
          <w:b w:val="1"/>
          <w:bCs w:val="1"/>
          <w:color w:val="auto"/>
        </w:rPr>
        <w:t>General Meeting</w:t>
      </w:r>
      <w:r>
        <w:rPr>
          <w:rFonts w:ascii="Arial" w:cs="Arial" w:eastAsia="Arial" w:hAnsi="Arial"/>
          <w:sz w:val="22"/>
          <w:szCs w:val="22"/>
          <w:color w:val="auto"/>
        </w:rPr>
        <w:t>”) to approve, among other things, the previously announced Business Combination.</w:t>
      </w:r>
    </w:p>
    <w:p>
      <w:pPr>
        <w:spacing w:after="0" w:line="213"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At the General Meeting, the Company’s shareholders approved, among other items, the New WMH 2021 Equity Incentive Plan (the “</w:t>
      </w:r>
      <w:r>
        <w:rPr>
          <w:rFonts w:ascii="Arial" w:cs="Arial" w:eastAsia="Arial" w:hAnsi="Arial"/>
          <w:sz w:val="21"/>
          <w:szCs w:val="21"/>
          <w:b w:val="1"/>
          <w:bCs w:val="1"/>
          <w:color w:val="auto"/>
        </w:rPr>
        <w:t>Incentive Plan</w:t>
      </w:r>
      <w:r>
        <w:rPr>
          <w:rFonts w:ascii="Arial" w:cs="Arial" w:eastAsia="Arial" w:hAnsi="Arial"/>
          <w:sz w:val="21"/>
          <w:szCs w:val="21"/>
          <w:color w:val="auto"/>
        </w:rPr>
        <w:t>”) and the New WMH 2021 Employee Stock Purchase Plan (the “</w:t>
      </w:r>
      <w:r>
        <w:rPr>
          <w:rFonts w:ascii="Arial" w:cs="Arial" w:eastAsia="Arial" w:hAnsi="Arial"/>
          <w:sz w:val="21"/>
          <w:szCs w:val="21"/>
          <w:b w:val="1"/>
          <w:bCs w:val="1"/>
          <w:color w:val="auto"/>
        </w:rPr>
        <w:t>Stock Plan</w:t>
      </w:r>
      <w:r>
        <w:rPr>
          <w:rFonts w:ascii="Arial" w:cs="Arial" w:eastAsia="Arial" w:hAnsi="Arial"/>
          <w:sz w:val="21"/>
          <w:szCs w:val="21"/>
          <w:color w:val="auto"/>
        </w:rPr>
        <w:t>”). A description of the material terms of each of the Incentive Plan and Stock Plan is included in the Company’s Definitive Proxy Statement on Schedule 14A filed with the Securities and Exchange Commission on May 25, 2021 (the “</w:t>
      </w:r>
      <w:r>
        <w:rPr>
          <w:rFonts w:ascii="Arial" w:cs="Arial" w:eastAsia="Arial" w:hAnsi="Arial"/>
          <w:sz w:val="21"/>
          <w:szCs w:val="21"/>
          <w:b w:val="1"/>
          <w:bCs w:val="1"/>
          <w:color w:val="auto"/>
        </w:rPr>
        <w:t>Proxy Statement</w:t>
      </w:r>
      <w:r>
        <w:rPr>
          <w:rFonts w:ascii="Arial" w:cs="Arial" w:eastAsia="Arial" w:hAnsi="Arial"/>
          <w:sz w:val="21"/>
          <w:szCs w:val="21"/>
          <w:color w:val="auto"/>
        </w:rPr>
        <w:t>”), which descriptions are incorporated herein by reference. Such descriptions do not purport to be complete and are qualified in their entirety by reference to the full text of the Incentive Plan and Stock Plan, which are attached as Annex F and Annex G, respectively, to the Proxy Statement and are also incorporated herein by reference.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49" w:lineRule="exact"/>
        <w:rPr>
          <w:sz w:val="20"/>
          <w:szCs w:val="20"/>
          <w:color w:val="auto"/>
        </w:rPr>
      </w:pPr>
    </w:p>
    <w:p>
      <w:pPr>
        <w:ind w:right="100"/>
        <w:spacing w:after="0" w:line="248" w:lineRule="auto"/>
        <w:rPr>
          <w:sz w:val="20"/>
          <w:szCs w:val="20"/>
          <w:color w:val="auto"/>
        </w:rPr>
      </w:pPr>
      <w:r>
        <w:rPr>
          <w:rFonts w:ascii="Arial" w:cs="Arial" w:eastAsia="Arial" w:hAnsi="Arial"/>
          <w:sz w:val="21"/>
          <w:szCs w:val="21"/>
          <w:color w:val="auto"/>
        </w:rPr>
        <w:t>On June 10, 2021, Silver Spike convened the General Meeting. At the General Meeting, a total of 16,870,394 Class A ordinary shares and 6,250,000 Class B ordinary shares of Silver Spike, out of a total of 24,998,575 Class A ordinary shares and 6,250,000 Class B ordinary shares issued and outstanding and entitled to vote as of the close of business on May 19, 2021 (the record date for the General Meeting), were present or represented by proxy. A summary of the voting results for the following proposals, each of which is described in detail in the joint proxy statement/prospectus dated May 25, 2021 and first mailed to Silver Spike’s shareholders on or about May 28, 2021,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u w:val="single" w:color="auto"/>
          <w:color w:val="auto"/>
        </w:rPr>
        <w:t>Proposal 1: Adoption of the Business Combination Proposal</w:t>
      </w:r>
    </w:p>
    <w:p>
      <w:pPr>
        <w:spacing w:after="0" w:line="234" w:lineRule="exact"/>
        <w:rPr>
          <w:sz w:val="20"/>
          <w:szCs w:val="20"/>
          <w:color w:val="auto"/>
        </w:rPr>
      </w:pPr>
    </w:p>
    <w:p>
      <w:pPr>
        <w:jc w:val="both"/>
        <w:ind w:right="280"/>
        <w:spacing w:after="0" w:line="236" w:lineRule="auto"/>
        <w:rPr>
          <w:sz w:val="20"/>
          <w:szCs w:val="20"/>
          <w:color w:val="auto"/>
        </w:rPr>
      </w:pPr>
      <w:r>
        <w:rPr>
          <w:rFonts w:ascii="Arial" w:cs="Arial" w:eastAsia="Arial" w:hAnsi="Arial"/>
          <w:sz w:val="22"/>
          <w:szCs w:val="22"/>
          <w:color w:val="auto"/>
        </w:rPr>
        <w:t>Silver Spike’s shareholders approved the transactions contemplated by the Merger Agreement, pursuant to which Merger Sub will be merged with and into WMH, whereupon the separate limited liability company existence of Merger Sub will cease and WMH will be the surviving company and continue in existence as a subsidiary of New WMH, on the terms and subject to the conditions set forth therein. The following were the tabulated votes “For” and “Against” this proposal as well as the number of “Abstentions” and “Broker Non-Votes”: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FOR</w:t>
            </w:r>
          </w:p>
        </w:tc>
        <w:tc>
          <w:tcPr>
            <w:tcW w:w="2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AGAINST</w:t>
            </w: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ABSTAIN</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rPr>
              <w:t>BROKER NON-VOTE</w:t>
            </w:r>
          </w:p>
        </w:tc>
      </w:tr>
      <w:tr>
        <w:trPr>
          <w:trHeight w:val="216"/>
        </w:trPr>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22,340,887</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rPr>
              <w:t>4,239</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775,268</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Proposal 2: Adoption of the Nasdaq Proposal</w:t>
      </w:r>
    </w:p>
    <w:p>
      <w:pPr>
        <w:spacing w:after="0" w:line="233" w:lineRule="exact"/>
        <w:rPr>
          <w:sz w:val="20"/>
          <w:szCs w:val="20"/>
          <w:color w:val="auto"/>
        </w:rPr>
      </w:pPr>
    </w:p>
    <w:p>
      <w:pPr>
        <w:ind w:right="20"/>
        <w:spacing w:after="0" w:line="246" w:lineRule="exact"/>
        <w:rPr>
          <w:sz w:val="20"/>
          <w:szCs w:val="20"/>
          <w:color w:val="auto"/>
        </w:rPr>
      </w:pPr>
      <w:r>
        <w:rPr>
          <w:rFonts w:ascii="Arial" w:cs="Arial" w:eastAsia="Arial" w:hAnsi="Arial"/>
          <w:sz w:val="19"/>
          <w:szCs w:val="19"/>
          <w:color w:val="auto"/>
        </w:rPr>
        <w:t>Silver Spike’s shareholders approved, for purposes of complying with the Nasdaq Stock Market Listing Rules 5635(a), (b) and (d), the issuance by Silver Spike of an aggregate of (i) 32,500,000 shares of Class A common stock, par value $0.0001 per share, to investors pursuant to the subscription agreements (the "</w:t>
      </w:r>
      <w:r>
        <w:rPr>
          <w:rFonts w:ascii="Arial" w:cs="Arial" w:eastAsia="Arial" w:hAnsi="Arial"/>
          <w:sz w:val="19"/>
          <w:szCs w:val="19"/>
          <w:b w:val="1"/>
          <w:bCs w:val="1"/>
          <w:color w:val="auto"/>
        </w:rPr>
        <w:t>subscription investors</w:t>
      </w:r>
      <w:r>
        <w:rPr>
          <w:rFonts w:ascii="Arial" w:cs="Arial" w:eastAsia="Arial" w:hAnsi="Arial"/>
          <w:sz w:val="19"/>
          <w:szCs w:val="19"/>
          <w:color w:val="auto"/>
        </w:rPr>
        <w:t>"), dated as of December 10, 2020, by and among Silver Spike and such subscription investors, pursuant to which the subscription investors will purchase subscription shares in a privately negotiated transaction in connection with the consummation of the Business Combination ("</w:t>
      </w:r>
      <w:r>
        <w:rPr>
          <w:rFonts w:ascii="Arial" w:cs="Arial" w:eastAsia="Arial" w:hAnsi="Arial"/>
          <w:sz w:val="19"/>
          <w:szCs w:val="19"/>
          <w:b w:val="1"/>
          <w:bCs w:val="1"/>
          <w:color w:val="auto"/>
        </w:rPr>
        <w:t>subscription</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agreements</w:t>
      </w:r>
      <w:r>
        <w:rPr>
          <w:rFonts w:ascii="Arial" w:cs="Arial" w:eastAsia="Arial" w:hAnsi="Arial"/>
          <w:sz w:val="19"/>
          <w:szCs w:val="19"/>
          <w:color w:val="auto"/>
        </w:rPr>
        <w:t>"), and (ii) 65,984,049 shares of Class V common stock, par value $0.0001 per share, to certain members of WMH</w:t>
      </w:r>
      <w:r>
        <w:rPr>
          <w:rFonts w:ascii="Arial" w:cs="Arial" w:eastAsia="Arial" w:hAnsi="Arial"/>
          <w:sz w:val="19"/>
          <w:szCs w:val="19"/>
          <w:b w:val="1"/>
          <w:bCs w:val="1"/>
          <w:color w:val="auto"/>
        </w:rPr>
        <w:t xml:space="preserve"> </w:t>
      </w:r>
      <w:r>
        <w:rPr>
          <w:rFonts w:ascii="Arial" w:cs="Arial" w:eastAsia="Arial" w:hAnsi="Arial"/>
          <w:sz w:val="19"/>
          <w:szCs w:val="19"/>
          <w:color w:val="auto"/>
        </w:rPr>
        <w:t>prior to the closing of the Business Combination (the "</w:t>
      </w:r>
      <w:r>
        <w:rPr>
          <w:rFonts w:ascii="Arial" w:cs="Arial" w:eastAsia="Arial" w:hAnsi="Arial"/>
          <w:sz w:val="19"/>
          <w:szCs w:val="19"/>
          <w:b w:val="1"/>
          <w:bCs w:val="1"/>
          <w:color w:val="auto"/>
        </w:rPr>
        <w:t>WMH equity holders</w:t>
      </w:r>
      <w:r>
        <w:rPr>
          <w:rFonts w:ascii="Arial" w:cs="Arial" w:eastAsia="Arial" w:hAnsi="Arial"/>
          <w:sz w:val="19"/>
          <w:szCs w:val="19"/>
          <w:color w:val="auto"/>
        </w:rPr>
        <w:t xml:space="preserve">") pursuant to the Merger Agreement, in each case in a private placement, the proceeds of which will be used to </w:t>
      </w:r>
      <w:r>
        <w:rPr>
          <w:rFonts w:ascii="Arial Unicode MS" w:cs="Arial Unicode MS" w:eastAsia="Arial Unicode MS" w:hAnsi="Arial Unicode MS"/>
          <w:sz w:val="19"/>
          <w:szCs w:val="19"/>
          <w:color w:val="auto"/>
        </w:rPr>
        <w:t></w:t>
      </w:r>
      <w:r>
        <w:rPr>
          <w:rFonts w:ascii="Arial" w:cs="Arial" w:eastAsia="Arial" w:hAnsi="Arial"/>
          <w:sz w:val="19"/>
          <w:szCs w:val="19"/>
          <w:color w:val="auto"/>
        </w:rPr>
        <w:t>nance the Business Combination and related transactions and the costs and expenses incurred in connection therewith. The following were the tabulated votes “For” and “Against” this proposal as well as the number of “Abstentions” and “Broker Non-Votes”: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FOR</w:t>
            </w:r>
          </w:p>
        </w:tc>
        <w:tc>
          <w:tcPr>
            <w:tcW w:w="2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AGAINST</w:t>
            </w: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ABSTAIN</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rPr>
              <w:t>BROKER NON-VOTE</w:t>
            </w:r>
          </w:p>
        </w:tc>
      </w:tr>
      <w:tr>
        <w:trPr>
          <w:trHeight w:val="216"/>
        </w:trPr>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22,312,719</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16,124</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791,551</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Proposal 3: Adoption of the Domestication Proposal</w:t>
      </w:r>
    </w:p>
    <w:p>
      <w:pPr>
        <w:spacing w:after="0" w:line="233" w:lineRule="exact"/>
        <w:rPr>
          <w:sz w:val="20"/>
          <w:szCs w:val="20"/>
          <w:color w:val="auto"/>
        </w:rPr>
      </w:pPr>
    </w:p>
    <w:p>
      <w:pPr>
        <w:ind w:right="40"/>
        <w:spacing w:after="0" w:line="252" w:lineRule="auto"/>
        <w:rPr>
          <w:sz w:val="20"/>
          <w:szCs w:val="20"/>
          <w:color w:val="auto"/>
        </w:rPr>
      </w:pPr>
      <w:r>
        <w:rPr>
          <w:rFonts w:ascii="Arial" w:cs="Arial" w:eastAsia="Arial" w:hAnsi="Arial"/>
          <w:sz w:val="21"/>
          <w:szCs w:val="21"/>
          <w:color w:val="auto"/>
        </w:rPr>
        <w:t>Silver Spike’s shareholders approved by special resolution the change of Silver Spike's jurisdiction of incorporation from the Cayman Islands to the State of Delaware by deregistering as an exempted company in the Cayman Islands and domesticating and continuing as a corporation incorporated under the laws of the State of Delaware. The following were the tabulated votes “For” and “Against” this proposal as well as the number of “Abstentions” and “Broker Non-Votes”: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FOR</w:t>
            </w:r>
          </w:p>
        </w:tc>
        <w:tc>
          <w:tcPr>
            <w:tcW w:w="2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AGAINST</w:t>
            </w: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ABSTAIN</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rPr>
              <w:t>BROKER NON-VOTE</w:t>
            </w:r>
          </w:p>
        </w:tc>
      </w:tr>
      <w:tr>
        <w:trPr>
          <w:trHeight w:val="216"/>
        </w:trPr>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22,336,462</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rPr>
              <w:t>5,772</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778,160</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Proposal 4: Adoption of the Organizational Documents Proposal A</w:t>
      </w:r>
    </w:p>
    <w:p>
      <w:pPr>
        <w:spacing w:after="0" w:line="233"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Silver Spike’s shareholders approved (i) the change of Silver Spike’s name from “Silver Spike Acquisition Corp.” to “WM Technology, Inc.,” (ii) adopting Delaware as the exclusive forum for certain stockholder litigation, (iii) upon the closing of the Business Combination (the "</w:t>
      </w:r>
      <w:r>
        <w:rPr>
          <w:rFonts w:ascii="Arial" w:cs="Arial" w:eastAsia="Arial" w:hAnsi="Arial"/>
          <w:sz w:val="21"/>
          <w:szCs w:val="21"/>
          <w:b w:val="1"/>
          <w:bCs w:val="1"/>
          <w:color w:val="auto"/>
        </w:rPr>
        <w:t>Closing</w:t>
      </w:r>
      <w:r>
        <w:rPr>
          <w:rFonts w:ascii="Arial" w:cs="Arial" w:eastAsia="Arial" w:hAnsi="Arial"/>
          <w:sz w:val="21"/>
          <w:szCs w:val="21"/>
          <w:color w:val="auto"/>
        </w:rPr>
        <w:t>"), making New WMH's corporate existence perpetual, (iv) upon the Closing, providing for the ineffectiveness of certain provisions related to New WMH’s status as a blank check company that will no longer be applicable to us upon consummation of the Business Combination and (v) granting an explicit waiver regarding corporate opportunities to New WMH and its directors, subject to certain exceptions. The following were the tabulated votes “For” and “Against” this proposal as well as the number of “Abstentions” and “Broker Non-Votes”: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FOR</w:t>
            </w:r>
          </w:p>
        </w:tc>
        <w:tc>
          <w:tcPr>
            <w:tcW w:w="2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AGAINST</w:t>
            </w: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ABSTAIN</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rPr>
              <w:t>BROKER NON-VOTE</w:t>
            </w:r>
          </w:p>
        </w:tc>
      </w:tr>
      <w:tr>
        <w:trPr>
          <w:trHeight w:val="216"/>
        </w:trPr>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22,336,932</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rPr>
              <w:t>5,661</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777,801</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425"/>
        </w:trPr>
        <w:tc>
          <w:tcPr>
            <w:tcW w:w="2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u w:val="single" w:color="auto"/>
          <w:color w:val="auto"/>
        </w:rPr>
        <w:t>Proposal 5: Adoption of the Organizational Documents Proposal B</w:t>
      </w:r>
    </w:p>
    <w:p>
      <w:pPr>
        <w:spacing w:after="0" w:line="234"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Silver Spike’s shareholders approved provisions providing that Silver Spike's board of directors will be divided into three classes following the Business Combination, with each class generally serving for a term of three years and with only one class of directors being elected in each year. The following were the tabulated votes “For” and “Against” this proposal as well as the number of “Abstentions” and “Broker Non-Votes”: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FOR</w:t>
            </w:r>
          </w:p>
        </w:tc>
        <w:tc>
          <w:tcPr>
            <w:tcW w:w="2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AGAINST</w:t>
            </w: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ABSTAIN</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rPr>
              <w:t>BROKER NON-VOTE</w:t>
            </w:r>
          </w:p>
        </w:tc>
      </w:tr>
      <w:tr>
        <w:trPr>
          <w:trHeight w:val="216"/>
        </w:trPr>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21,373,795</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963,700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782,899</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Proposal 6: Adoption of the Organizational Documents Proposal C</w:t>
      </w:r>
    </w:p>
    <w:p>
      <w:pPr>
        <w:spacing w:after="0" w:line="233" w:lineRule="exact"/>
        <w:rPr>
          <w:sz w:val="20"/>
          <w:szCs w:val="20"/>
          <w:color w:val="auto"/>
        </w:rPr>
      </w:pPr>
    </w:p>
    <w:p>
      <w:pPr>
        <w:jc w:val="both"/>
        <w:ind w:right="120"/>
        <w:spacing w:after="0"/>
        <w:rPr>
          <w:sz w:val="20"/>
          <w:szCs w:val="20"/>
          <w:color w:val="auto"/>
        </w:rPr>
      </w:pPr>
      <w:r>
        <w:rPr>
          <w:rFonts w:ascii="Arial" w:cs="Arial" w:eastAsia="Arial" w:hAnsi="Arial"/>
          <w:sz w:val="22"/>
          <w:szCs w:val="22"/>
          <w:color w:val="auto"/>
        </w:rPr>
        <w:t>Silver Spike’s shareholders approved provisions providing that the directors of Silver Spike, except for preferred stock directors, may only be removed for cause. The following were the tabulated votes “For” and “Against” this proposal as well as the number of “Abstentions” and “Broker Non-Votes”: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FOR</w:t>
            </w:r>
          </w:p>
        </w:tc>
        <w:tc>
          <w:tcPr>
            <w:tcW w:w="2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AGAINST</w:t>
            </w: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ABSTAIN</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rPr>
              <w:t>BROKER NON-VOTE</w:t>
            </w:r>
          </w:p>
        </w:tc>
      </w:tr>
      <w:tr>
        <w:trPr>
          <w:trHeight w:val="216"/>
        </w:trPr>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21,360,036</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959,778</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800,580</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Proposal 7: Adoption of the Organizational Documents Proposal D</w:t>
      </w:r>
    </w:p>
    <w:p>
      <w:pPr>
        <w:spacing w:after="0" w:line="233" w:lineRule="exact"/>
        <w:rPr>
          <w:sz w:val="20"/>
          <w:szCs w:val="20"/>
          <w:color w:val="auto"/>
        </w:rPr>
      </w:pPr>
    </w:p>
    <w:p>
      <w:pPr>
        <w:jc w:val="both"/>
        <w:ind w:right="300"/>
        <w:spacing w:after="0"/>
        <w:rPr>
          <w:sz w:val="20"/>
          <w:szCs w:val="20"/>
          <w:color w:val="auto"/>
        </w:rPr>
      </w:pPr>
      <w:r>
        <w:rPr>
          <w:rFonts w:ascii="Arial" w:cs="Arial" w:eastAsia="Arial" w:hAnsi="Arial"/>
          <w:sz w:val="22"/>
          <w:szCs w:val="22"/>
          <w:color w:val="auto"/>
        </w:rPr>
        <w:t>Silver Spike’s shareholders approved provisions removing the ability of shareholders to call a special meeting of shareholders. The following were the tabulated votes “For” and “Against” this proposal as well as the number of “Abstentions” and “Broker Non-Votes”: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FOR</w:t>
            </w:r>
          </w:p>
        </w:tc>
        <w:tc>
          <w:tcPr>
            <w:tcW w:w="2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AGAINST</w:t>
            </w: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ABSTAIN</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rPr>
              <w:t>BROKER NON-VOTE</w:t>
            </w:r>
          </w:p>
        </w:tc>
      </w:tr>
      <w:tr>
        <w:trPr>
          <w:trHeight w:val="216"/>
        </w:trPr>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21,192,135</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1,102,024</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826,235</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Proposal 8: Adoption of the Organizational Documents Proposal E</w:t>
      </w:r>
    </w:p>
    <w:p>
      <w:pPr>
        <w:spacing w:after="0" w:line="233"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Silver Spike’s shareholders approved provisions removing the ability of shareholders to act by written consent in lieu of a meeting. The following were the tabulated votes “For” and “Against” this proposal as well as the number of “Abstentions” and “Broker Non-Votes”: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FOR</w:t>
            </w:r>
          </w:p>
        </w:tc>
        <w:tc>
          <w:tcPr>
            <w:tcW w:w="2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AGAINST</w:t>
            </w: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ABSTAIN</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rPr>
              <w:t>BROKER NON-VOTE</w:t>
            </w:r>
          </w:p>
        </w:tc>
      </w:tr>
      <w:tr>
        <w:trPr>
          <w:trHeight w:val="216"/>
        </w:trPr>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21,258,958</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1,058,846</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802,590</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Proposal 9: Adoption of the Organizational Documents Proposal F</w:t>
      </w:r>
    </w:p>
    <w:p>
      <w:pPr>
        <w:spacing w:after="0" w:line="233"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Silver Spike’s shareholders approved the change in the authorized capital stock of Silver Spike from (i) 200,000,000 Class A ordinary shares, par value $0.0001 per share, 20,000,000 Class B ordinary shares, par value $0.0001 per share, and 1,000,000 preferred shares, par value $0.0001 per share, to (ii) 1,500,000,000 shares of Class A common stock, par value $0.0001 per share, 500,000,000 shares of Class V common stock, par value $0.0001 per share, and 75,000,000 shares of preferred stock, par value $0.0001 per share. The following were the tabulated votes “For” and “Against” this proposal as well as the number of “Abstentions” and “Broker Non-Votes”: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FOR</w:t>
            </w:r>
          </w:p>
        </w:tc>
        <w:tc>
          <w:tcPr>
            <w:tcW w:w="2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AGAINST</w:t>
            </w: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ABSTAIN</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rPr>
              <w:t>BROKER NON-VOTE</w:t>
            </w:r>
          </w:p>
        </w:tc>
      </w:tr>
      <w:tr>
        <w:trPr>
          <w:trHeight w:val="216"/>
        </w:trPr>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21,771,617</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525,448</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823,329</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426"/>
        </w:trPr>
        <w:tc>
          <w:tcPr>
            <w:tcW w:w="2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u w:val="single" w:color="auto"/>
          <w:color w:val="auto"/>
        </w:rPr>
        <w:t>Proposal 10: Adoption of the Director Election Proposal</w:t>
      </w:r>
    </w:p>
    <w:p>
      <w:pPr>
        <w:spacing w:after="0" w:line="234" w:lineRule="exact"/>
        <w:rPr>
          <w:sz w:val="20"/>
          <w:szCs w:val="20"/>
          <w:color w:val="auto"/>
        </w:rPr>
      </w:pPr>
    </w:p>
    <w:p>
      <w:pPr>
        <w:ind w:right="60"/>
        <w:spacing w:after="0" w:line="249" w:lineRule="exact"/>
        <w:rPr>
          <w:sz w:val="20"/>
          <w:szCs w:val="20"/>
          <w:color w:val="auto"/>
        </w:rPr>
      </w:pPr>
      <w:r>
        <w:rPr>
          <w:rFonts w:ascii="Arial" w:cs="Arial" w:eastAsia="Arial" w:hAnsi="Arial"/>
          <w:sz w:val="21"/>
          <w:szCs w:val="21"/>
          <w:color w:val="auto"/>
        </w:rPr>
        <w:t>The holders of Silver Spike’s Class B ordinary shares (i) re-elected Silver Spike’s current director, Scott Gordon and (ii) elected Douglas Francis, Justin Hart</w:t>
      </w:r>
      <w:r>
        <w:rPr>
          <w:rFonts w:ascii="Arial Unicode MS" w:cs="Arial Unicode MS" w:eastAsia="Arial Unicode MS" w:hAnsi="Arial Unicode MS"/>
          <w:sz w:val="21"/>
          <w:szCs w:val="21"/>
          <w:color w:val="auto"/>
        </w:rPr>
        <w:t></w:t>
      </w:r>
      <w:r>
        <w:rPr>
          <w:rFonts w:ascii="Arial" w:cs="Arial" w:eastAsia="Arial" w:hAnsi="Arial"/>
          <w:sz w:val="21"/>
          <w:szCs w:val="21"/>
          <w:color w:val="auto"/>
        </w:rPr>
        <w:t>eld, Christopher Beals, Tony Aquila, Fiona Tan, Olga Gonzalez, and Brenda Freeman, in each case, to serve as directors upon completion of the Business Combination until their respective successors are duly elected and qualified, or until their earlier death, resignation or removal. The following were the tabulated votes “For” and “Against” this proposal as well as the number of “Abstentions” and “Broker Non-Votes”: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Scott Gordon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6"/>
          </w:tcPr>
          <w:p>
            <w:pPr>
              <w:jc w:val="center"/>
              <w:ind w:right="1380"/>
              <w:spacing w:after="0"/>
              <w:rPr>
                <w:sz w:val="20"/>
                <w:szCs w:val="20"/>
                <w:color w:val="auto"/>
              </w:rPr>
            </w:pPr>
            <w:r>
              <w:rPr>
                <w:rFonts w:ascii="Arial" w:cs="Arial" w:eastAsia="Arial" w:hAnsi="Arial"/>
                <w:sz w:val="18"/>
                <w:szCs w:val="18"/>
                <w:b w:val="1"/>
                <w:bCs w:val="1"/>
                <w:color w:val="auto"/>
                <w:w w:val="99"/>
              </w:rPr>
              <w:t>FOR</w:t>
            </w:r>
          </w:p>
        </w:tc>
        <w:tc>
          <w:tcPr>
            <w:tcW w:w="2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AGAINST</w:t>
            </w: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ABSTAIN</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rPr>
              <w:t>BROKER NON-VOTE</w:t>
            </w:r>
          </w:p>
        </w:tc>
      </w:tr>
      <w:tr>
        <w:trPr>
          <w:trHeight w:val="216"/>
        </w:trPr>
        <w:tc>
          <w:tcPr>
            <w:tcW w:w="2700" w:type="dxa"/>
            <w:vAlign w:val="bottom"/>
            <w:tcBorders>
              <w:top w:val="single" w:sz="8" w:color="auto"/>
            </w:tcBorders>
            <w:gridSpan w:val="7"/>
            <w:shd w:val="clear" w:color="auto" w:fill="CCEEFF"/>
          </w:tcPr>
          <w:p>
            <w:pPr>
              <w:jc w:val="center"/>
              <w:spacing w:after="0"/>
              <w:rPr>
                <w:sz w:val="20"/>
                <w:szCs w:val="20"/>
                <w:color w:val="auto"/>
              </w:rPr>
            </w:pPr>
            <w:r>
              <w:rPr>
                <w:rFonts w:ascii="Arial" w:cs="Arial" w:eastAsia="Arial" w:hAnsi="Arial"/>
                <w:sz w:val="18"/>
                <w:szCs w:val="18"/>
                <w:color w:val="auto"/>
                <w:w w:val="89"/>
              </w:rPr>
              <w:t>6,250,000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446"/>
        </w:trPr>
        <w:tc>
          <w:tcPr>
            <w:tcW w:w="2940" w:type="dxa"/>
            <w:vAlign w:val="bottom"/>
            <w:gridSpan w:val="8"/>
          </w:tcPr>
          <w:p>
            <w:pPr>
              <w:spacing w:after="0"/>
              <w:rPr>
                <w:sz w:val="20"/>
                <w:szCs w:val="20"/>
                <w:color w:val="auto"/>
              </w:rPr>
            </w:pPr>
            <w:r>
              <w:rPr>
                <w:rFonts w:ascii="Arial" w:cs="Arial" w:eastAsia="Arial" w:hAnsi="Arial"/>
                <w:sz w:val="22"/>
                <w:szCs w:val="22"/>
                <w:b w:val="1"/>
                <w:bCs w:val="1"/>
                <w:color w:val="auto"/>
              </w:rPr>
              <w:t>Douglas Francis</w:t>
            </w: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486"/>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6"/>
          </w:tcPr>
          <w:p>
            <w:pPr>
              <w:jc w:val="center"/>
              <w:ind w:right="1380"/>
              <w:spacing w:after="0"/>
              <w:rPr>
                <w:sz w:val="20"/>
                <w:szCs w:val="20"/>
                <w:color w:val="auto"/>
              </w:rPr>
            </w:pPr>
            <w:r>
              <w:rPr>
                <w:rFonts w:ascii="Arial" w:cs="Arial" w:eastAsia="Arial" w:hAnsi="Arial"/>
                <w:sz w:val="18"/>
                <w:szCs w:val="18"/>
                <w:b w:val="1"/>
                <w:bCs w:val="1"/>
                <w:color w:val="auto"/>
                <w:w w:val="99"/>
              </w:rPr>
              <w:t>FOR</w:t>
            </w:r>
          </w:p>
        </w:tc>
        <w:tc>
          <w:tcPr>
            <w:tcW w:w="2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AGAINST</w:t>
            </w: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ABSTAIN</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rPr>
              <w:t>BROKER NON-VOTE</w:t>
            </w:r>
          </w:p>
        </w:tc>
      </w:tr>
      <w:tr>
        <w:trPr>
          <w:trHeight w:val="216"/>
        </w:trPr>
        <w:tc>
          <w:tcPr>
            <w:tcW w:w="2700" w:type="dxa"/>
            <w:vAlign w:val="bottom"/>
            <w:tcBorders>
              <w:top w:val="single" w:sz="8" w:color="auto"/>
            </w:tcBorders>
            <w:gridSpan w:val="7"/>
            <w:shd w:val="clear" w:color="auto" w:fill="CCEEFF"/>
          </w:tcPr>
          <w:p>
            <w:pPr>
              <w:jc w:val="center"/>
              <w:spacing w:after="0"/>
              <w:rPr>
                <w:sz w:val="20"/>
                <w:szCs w:val="20"/>
                <w:color w:val="auto"/>
              </w:rPr>
            </w:pPr>
            <w:r>
              <w:rPr>
                <w:rFonts w:ascii="Arial" w:cs="Arial" w:eastAsia="Arial" w:hAnsi="Arial"/>
                <w:sz w:val="18"/>
                <w:szCs w:val="18"/>
                <w:color w:val="auto"/>
                <w:w w:val="89"/>
              </w:rPr>
              <w:t>6,250,000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446"/>
        </w:trPr>
        <w:tc>
          <w:tcPr>
            <w:tcW w:w="1500" w:type="dxa"/>
            <w:vAlign w:val="bottom"/>
            <w:tcBorders>
              <w:bottom w:val="single" w:sz="8" w:color="auto"/>
            </w:tcBorders>
            <w:gridSpan w:val="4"/>
          </w:tcPr>
          <w:p>
            <w:pPr>
              <w:spacing w:after="0"/>
              <w:rPr>
                <w:sz w:val="20"/>
                <w:szCs w:val="20"/>
                <w:color w:val="auto"/>
              </w:rPr>
            </w:pPr>
            <w:r>
              <w:rPr>
                <w:rFonts w:ascii="Arial" w:cs="Arial" w:eastAsia="Arial" w:hAnsi="Arial"/>
                <w:sz w:val="22"/>
                <w:szCs w:val="22"/>
                <w:b w:val="1"/>
                <w:bCs w:val="1"/>
                <w:color w:val="auto"/>
                <w:w w:val="91"/>
              </w:rPr>
              <w:t>Justin Hartfield</w:t>
            </w:r>
          </w:p>
        </w:tc>
        <w:tc>
          <w:tcPr>
            <w:tcW w:w="1440" w:type="dxa"/>
            <w:vAlign w:val="bottom"/>
            <w:gridSpan w:val="4"/>
          </w:tcPr>
          <w:p>
            <w:pPr>
              <w:spacing w:after="0"/>
              <w:rPr>
                <w:sz w:val="24"/>
                <w:szCs w:val="24"/>
                <w:color w:val="auto"/>
              </w:rPr>
            </w:pP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87"/>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6"/>
          </w:tcPr>
          <w:p>
            <w:pPr>
              <w:jc w:val="center"/>
              <w:ind w:right="1380"/>
              <w:spacing w:after="0"/>
              <w:rPr>
                <w:sz w:val="20"/>
                <w:szCs w:val="20"/>
                <w:color w:val="auto"/>
              </w:rPr>
            </w:pPr>
            <w:r>
              <w:rPr>
                <w:rFonts w:ascii="Arial" w:cs="Arial" w:eastAsia="Arial" w:hAnsi="Arial"/>
                <w:sz w:val="18"/>
                <w:szCs w:val="18"/>
                <w:b w:val="1"/>
                <w:bCs w:val="1"/>
                <w:color w:val="auto"/>
                <w:w w:val="99"/>
              </w:rPr>
              <w:t>FOR</w:t>
            </w:r>
          </w:p>
        </w:tc>
        <w:tc>
          <w:tcPr>
            <w:tcW w:w="2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AGAINST</w:t>
            </w: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ABSTAIN</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rPr>
              <w:t>BROKER NON-VOTE</w:t>
            </w:r>
          </w:p>
        </w:tc>
      </w:tr>
      <w:tr>
        <w:trPr>
          <w:trHeight w:val="216"/>
        </w:trPr>
        <w:tc>
          <w:tcPr>
            <w:tcW w:w="2700" w:type="dxa"/>
            <w:vAlign w:val="bottom"/>
            <w:tcBorders>
              <w:top w:val="single" w:sz="8" w:color="auto"/>
            </w:tcBorders>
            <w:gridSpan w:val="7"/>
            <w:shd w:val="clear" w:color="auto" w:fill="CCEEFF"/>
          </w:tcPr>
          <w:p>
            <w:pPr>
              <w:jc w:val="center"/>
              <w:spacing w:after="0"/>
              <w:rPr>
                <w:sz w:val="20"/>
                <w:szCs w:val="20"/>
                <w:color w:val="auto"/>
              </w:rPr>
            </w:pPr>
            <w:r>
              <w:rPr>
                <w:rFonts w:ascii="Arial" w:cs="Arial" w:eastAsia="Arial" w:hAnsi="Arial"/>
                <w:sz w:val="18"/>
                <w:szCs w:val="18"/>
                <w:color w:val="auto"/>
                <w:w w:val="89"/>
              </w:rPr>
              <w:t>6,250,000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445"/>
        </w:trPr>
        <w:tc>
          <w:tcPr>
            <w:tcW w:w="2940" w:type="dxa"/>
            <w:vAlign w:val="bottom"/>
            <w:gridSpan w:val="8"/>
          </w:tcPr>
          <w:p>
            <w:pPr>
              <w:spacing w:after="0"/>
              <w:rPr>
                <w:sz w:val="20"/>
                <w:szCs w:val="20"/>
                <w:color w:val="auto"/>
              </w:rPr>
            </w:pPr>
            <w:r>
              <w:rPr>
                <w:rFonts w:ascii="Arial" w:cs="Arial" w:eastAsia="Arial" w:hAnsi="Arial"/>
                <w:sz w:val="22"/>
                <w:szCs w:val="22"/>
                <w:b w:val="1"/>
                <w:bCs w:val="1"/>
                <w:color w:val="auto"/>
              </w:rPr>
              <w:t>Christopher Beals</w:t>
            </w: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87"/>
        </w:trPr>
        <w:tc>
          <w:tcPr>
            <w:tcW w:w="9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99"/>
              </w:rPr>
              <w:t>FOR</w:t>
            </w:r>
          </w:p>
        </w:tc>
        <w:tc>
          <w:tcPr>
            <w:tcW w:w="1260" w:type="dxa"/>
            <w:vAlign w:val="bottom"/>
            <w:gridSpan w:val="2"/>
          </w:tcPr>
          <w:p>
            <w:pPr>
              <w:spacing w:after="0"/>
              <w:rPr>
                <w:sz w:val="24"/>
                <w:szCs w:val="24"/>
                <w:color w:val="auto"/>
              </w:rPr>
            </w:pPr>
          </w:p>
        </w:tc>
        <w:tc>
          <w:tcPr>
            <w:tcW w:w="2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AGAINST</w:t>
            </w: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ABSTAIN</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rPr>
              <w:t>BROKER NON-VOTE</w:t>
            </w:r>
          </w:p>
        </w:tc>
      </w:tr>
      <w:tr>
        <w:trPr>
          <w:trHeight w:val="216"/>
        </w:trPr>
        <w:tc>
          <w:tcPr>
            <w:tcW w:w="2700" w:type="dxa"/>
            <w:vAlign w:val="bottom"/>
            <w:tcBorders>
              <w:top w:val="single" w:sz="8" w:color="auto"/>
            </w:tcBorders>
            <w:gridSpan w:val="7"/>
            <w:shd w:val="clear" w:color="auto" w:fill="CCEEFF"/>
          </w:tcPr>
          <w:p>
            <w:pPr>
              <w:jc w:val="center"/>
              <w:spacing w:after="0"/>
              <w:rPr>
                <w:sz w:val="20"/>
                <w:szCs w:val="20"/>
                <w:color w:val="auto"/>
              </w:rPr>
            </w:pPr>
            <w:r>
              <w:rPr>
                <w:rFonts w:ascii="Arial" w:cs="Arial" w:eastAsia="Arial" w:hAnsi="Arial"/>
                <w:sz w:val="18"/>
                <w:szCs w:val="18"/>
                <w:color w:val="auto"/>
                <w:w w:val="89"/>
              </w:rPr>
              <w:t>6,250,000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689"/>
        </w:trPr>
        <w:tc>
          <w:tcPr>
            <w:tcW w:w="2940" w:type="dxa"/>
            <w:vAlign w:val="bottom"/>
            <w:gridSpan w:val="8"/>
          </w:tcPr>
          <w:p>
            <w:pPr>
              <w:spacing w:after="0"/>
              <w:rPr>
                <w:sz w:val="20"/>
                <w:szCs w:val="20"/>
                <w:color w:val="auto"/>
              </w:rPr>
            </w:pPr>
            <w:r>
              <w:rPr>
                <w:rFonts w:ascii="Arial" w:cs="Arial" w:eastAsia="Arial" w:hAnsi="Arial"/>
                <w:sz w:val="22"/>
                <w:szCs w:val="22"/>
                <w:b w:val="1"/>
                <w:bCs w:val="1"/>
                <w:color w:val="auto"/>
              </w:rPr>
              <w:t>Tony Aquila</w:t>
            </w: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87"/>
        </w:trPr>
        <w:tc>
          <w:tcPr>
            <w:tcW w:w="9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0" w:type="dxa"/>
            <w:vAlign w:val="bottom"/>
            <w:gridSpan w:val="6"/>
          </w:tcPr>
          <w:p>
            <w:pPr>
              <w:jc w:val="center"/>
              <w:ind w:right="1380"/>
              <w:spacing w:after="0"/>
              <w:rPr>
                <w:sz w:val="20"/>
                <w:szCs w:val="20"/>
                <w:color w:val="auto"/>
              </w:rPr>
            </w:pPr>
            <w:r>
              <w:rPr>
                <w:rFonts w:ascii="Arial" w:cs="Arial" w:eastAsia="Arial" w:hAnsi="Arial"/>
                <w:sz w:val="18"/>
                <w:szCs w:val="18"/>
                <w:b w:val="1"/>
                <w:bCs w:val="1"/>
                <w:color w:val="auto"/>
                <w:w w:val="99"/>
              </w:rPr>
              <w:t>FOR</w:t>
            </w:r>
          </w:p>
        </w:tc>
        <w:tc>
          <w:tcPr>
            <w:tcW w:w="2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AGAINST</w:t>
            </w: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ABSTAIN</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rPr>
              <w:t>BROKER NON-VOTE</w:t>
            </w:r>
          </w:p>
        </w:tc>
      </w:tr>
      <w:tr>
        <w:trPr>
          <w:trHeight w:val="216"/>
        </w:trPr>
        <w:tc>
          <w:tcPr>
            <w:tcW w:w="2700" w:type="dxa"/>
            <w:vAlign w:val="bottom"/>
            <w:tcBorders>
              <w:top w:val="single" w:sz="8" w:color="auto"/>
            </w:tcBorders>
            <w:gridSpan w:val="7"/>
            <w:shd w:val="clear" w:color="auto" w:fill="CCEEFF"/>
          </w:tcPr>
          <w:p>
            <w:pPr>
              <w:jc w:val="center"/>
              <w:spacing w:after="0"/>
              <w:rPr>
                <w:sz w:val="20"/>
                <w:szCs w:val="20"/>
                <w:color w:val="auto"/>
              </w:rPr>
            </w:pPr>
            <w:r>
              <w:rPr>
                <w:rFonts w:ascii="Arial" w:cs="Arial" w:eastAsia="Arial" w:hAnsi="Arial"/>
                <w:sz w:val="18"/>
                <w:szCs w:val="18"/>
                <w:color w:val="auto"/>
                <w:w w:val="89"/>
              </w:rPr>
              <w:t>6,250,000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445"/>
        </w:trPr>
        <w:tc>
          <w:tcPr>
            <w:tcW w:w="2940" w:type="dxa"/>
            <w:vAlign w:val="bottom"/>
            <w:gridSpan w:val="8"/>
          </w:tcPr>
          <w:p>
            <w:pPr>
              <w:spacing w:after="0"/>
              <w:rPr>
                <w:sz w:val="20"/>
                <w:szCs w:val="20"/>
                <w:color w:val="auto"/>
              </w:rPr>
            </w:pPr>
            <w:r>
              <w:rPr>
                <w:rFonts w:ascii="Arial" w:cs="Arial" w:eastAsia="Arial" w:hAnsi="Arial"/>
                <w:sz w:val="22"/>
                <w:szCs w:val="22"/>
                <w:b w:val="1"/>
                <w:bCs w:val="1"/>
                <w:color w:val="auto"/>
              </w:rPr>
              <w:t>Fiona Tan</w:t>
            </w: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87"/>
        </w:trPr>
        <w:tc>
          <w:tcPr>
            <w:tcW w:w="9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6"/>
          </w:tcPr>
          <w:p>
            <w:pPr>
              <w:jc w:val="center"/>
              <w:ind w:right="1380"/>
              <w:spacing w:after="0"/>
              <w:rPr>
                <w:sz w:val="20"/>
                <w:szCs w:val="20"/>
                <w:color w:val="auto"/>
              </w:rPr>
            </w:pPr>
            <w:r>
              <w:rPr>
                <w:rFonts w:ascii="Arial" w:cs="Arial" w:eastAsia="Arial" w:hAnsi="Arial"/>
                <w:sz w:val="18"/>
                <w:szCs w:val="18"/>
                <w:b w:val="1"/>
                <w:bCs w:val="1"/>
                <w:color w:val="auto"/>
                <w:w w:val="99"/>
              </w:rPr>
              <w:t>FOR</w:t>
            </w:r>
          </w:p>
        </w:tc>
        <w:tc>
          <w:tcPr>
            <w:tcW w:w="2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AGAINST</w:t>
            </w: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ABSTAIN</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rPr>
              <w:t>BROKER NON-VOTE</w:t>
            </w:r>
          </w:p>
        </w:tc>
      </w:tr>
      <w:tr>
        <w:trPr>
          <w:trHeight w:val="216"/>
        </w:trPr>
        <w:tc>
          <w:tcPr>
            <w:tcW w:w="2700" w:type="dxa"/>
            <w:vAlign w:val="bottom"/>
            <w:tcBorders>
              <w:top w:val="single" w:sz="8" w:color="auto"/>
            </w:tcBorders>
            <w:gridSpan w:val="7"/>
            <w:shd w:val="clear" w:color="auto" w:fill="CCEEFF"/>
          </w:tcPr>
          <w:p>
            <w:pPr>
              <w:jc w:val="center"/>
              <w:spacing w:after="0"/>
              <w:rPr>
                <w:sz w:val="20"/>
                <w:szCs w:val="20"/>
                <w:color w:val="auto"/>
              </w:rPr>
            </w:pPr>
            <w:r>
              <w:rPr>
                <w:rFonts w:ascii="Arial" w:cs="Arial" w:eastAsia="Arial" w:hAnsi="Arial"/>
                <w:sz w:val="18"/>
                <w:szCs w:val="18"/>
                <w:color w:val="auto"/>
                <w:w w:val="89"/>
              </w:rPr>
              <w:t>6,250,000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445"/>
        </w:trPr>
        <w:tc>
          <w:tcPr>
            <w:tcW w:w="1360" w:type="dxa"/>
            <w:vAlign w:val="bottom"/>
            <w:tcBorders>
              <w:bottom w:val="single" w:sz="8" w:color="auto"/>
            </w:tcBorders>
            <w:gridSpan w:val="3"/>
          </w:tcPr>
          <w:p>
            <w:pPr>
              <w:spacing w:after="0"/>
              <w:rPr>
                <w:sz w:val="20"/>
                <w:szCs w:val="20"/>
                <w:color w:val="auto"/>
              </w:rPr>
            </w:pPr>
            <w:r>
              <w:rPr>
                <w:rFonts w:ascii="Arial" w:cs="Arial" w:eastAsia="Arial" w:hAnsi="Arial"/>
                <w:sz w:val="22"/>
                <w:szCs w:val="22"/>
                <w:b w:val="1"/>
                <w:bCs w:val="1"/>
                <w:color w:val="auto"/>
                <w:w w:val="88"/>
              </w:rPr>
              <w:t>Olga Gonzalez</w:t>
            </w:r>
          </w:p>
        </w:tc>
        <w:tc>
          <w:tcPr>
            <w:tcW w:w="1580" w:type="dxa"/>
            <w:vAlign w:val="bottom"/>
            <w:gridSpan w:val="5"/>
          </w:tcPr>
          <w:p>
            <w:pPr>
              <w:spacing w:after="0"/>
              <w:rPr>
                <w:sz w:val="24"/>
                <w:szCs w:val="24"/>
                <w:color w:val="auto"/>
              </w:rPr>
            </w:pP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87"/>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6"/>
          </w:tcPr>
          <w:p>
            <w:pPr>
              <w:jc w:val="center"/>
              <w:ind w:right="1380"/>
              <w:spacing w:after="0"/>
              <w:rPr>
                <w:sz w:val="20"/>
                <w:szCs w:val="20"/>
                <w:color w:val="auto"/>
              </w:rPr>
            </w:pPr>
            <w:r>
              <w:rPr>
                <w:rFonts w:ascii="Arial" w:cs="Arial" w:eastAsia="Arial" w:hAnsi="Arial"/>
                <w:sz w:val="18"/>
                <w:szCs w:val="18"/>
                <w:b w:val="1"/>
                <w:bCs w:val="1"/>
                <w:color w:val="auto"/>
                <w:w w:val="99"/>
              </w:rPr>
              <w:t>FOR</w:t>
            </w:r>
          </w:p>
        </w:tc>
        <w:tc>
          <w:tcPr>
            <w:tcW w:w="2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AGAINST</w:t>
            </w: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ABSTAIN</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rPr>
              <w:t>BROKER NON-VOTE</w:t>
            </w:r>
          </w:p>
        </w:tc>
      </w:tr>
      <w:tr>
        <w:trPr>
          <w:trHeight w:val="216"/>
        </w:trPr>
        <w:tc>
          <w:tcPr>
            <w:tcW w:w="2700" w:type="dxa"/>
            <w:vAlign w:val="bottom"/>
            <w:tcBorders>
              <w:top w:val="single" w:sz="8" w:color="auto"/>
            </w:tcBorders>
            <w:gridSpan w:val="7"/>
            <w:shd w:val="clear" w:color="auto" w:fill="CCEEFF"/>
          </w:tcPr>
          <w:p>
            <w:pPr>
              <w:jc w:val="center"/>
              <w:spacing w:after="0"/>
              <w:rPr>
                <w:sz w:val="20"/>
                <w:szCs w:val="20"/>
                <w:color w:val="auto"/>
              </w:rPr>
            </w:pPr>
            <w:r>
              <w:rPr>
                <w:rFonts w:ascii="Arial" w:cs="Arial" w:eastAsia="Arial" w:hAnsi="Arial"/>
                <w:sz w:val="18"/>
                <w:szCs w:val="18"/>
                <w:color w:val="auto"/>
                <w:w w:val="89"/>
              </w:rPr>
              <w:t>6,250,000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445"/>
        </w:trPr>
        <w:tc>
          <w:tcPr>
            <w:tcW w:w="2940" w:type="dxa"/>
            <w:vAlign w:val="bottom"/>
            <w:gridSpan w:val="8"/>
          </w:tcPr>
          <w:p>
            <w:pPr>
              <w:spacing w:after="0"/>
              <w:rPr>
                <w:sz w:val="20"/>
                <w:szCs w:val="20"/>
                <w:color w:val="auto"/>
              </w:rPr>
            </w:pPr>
            <w:r>
              <w:rPr>
                <w:rFonts w:ascii="Arial" w:cs="Arial" w:eastAsia="Arial" w:hAnsi="Arial"/>
                <w:sz w:val="22"/>
                <w:szCs w:val="22"/>
                <w:b w:val="1"/>
                <w:bCs w:val="1"/>
                <w:color w:val="auto"/>
              </w:rPr>
              <w:t>Brenda Freeman</w:t>
            </w: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87"/>
        </w:trPr>
        <w:tc>
          <w:tcPr>
            <w:tcW w:w="9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FOR</w:t>
            </w:r>
          </w:p>
        </w:tc>
        <w:tc>
          <w:tcPr>
            <w:tcW w:w="1380" w:type="dxa"/>
            <w:vAlign w:val="bottom"/>
            <w:gridSpan w:val="3"/>
          </w:tcPr>
          <w:p>
            <w:pPr>
              <w:spacing w:after="0"/>
              <w:rPr>
                <w:sz w:val="24"/>
                <w:szCs w:val="24"/>
                <w:color w:val="auto"/>
              </w:rPr>
            </w:pPr>
          </w:p>
        </w:tc>
        <w:tc>
          <w:tcPr>
            <w:tcW w:w="2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AGAINST</w:t>
            </w: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ABSTAIN</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rPr>
              <w:t>BROKER NON-VOTE</w:t>
            </w:r>
          </w:p>
        </w:tc>
      </w:tr>
      <w:tr>
        <w:trPr>
          <w:trHeight w:val="216"/>
        </w:trPr>
        <w:tc>
          <w:tcPr>
            <w:tcW w:w="2700" w:type="dxa"/>
            <w:vAlign w:val="bottom"/>
            <w:tcBorders>
              <w:top w:val="single" w:sz="8" w:color="auto"/>
            </w:tcBorders>
            <w:gridSpan w:val="7"/>
            <w:shd w:val="clear" w:color="auto" w:fill="CCEEFF"/>
          </w:tcPr>
          <w:p>
            <w:pPr>
              <w:jc w:val="center"/>
              <w:spacing w:after="0"/>
              <w:rPr>
                <w:sz w:val="20"/>
                <w:szCs w:val="20"/>
                <w:color w:val="auto"/>
              </w:rPr>
            </w:pPr>
            <w:r>
              <w:rPr>
                <w:rFonts w:ascii="Arial" w:cs="Arial" w:eastAsia="Arial" w:hAnsi="Arial"/>
                <w:sz w:val="18"/>
                <w:szCs w:val="18"/>
                <w:color w:val="auto"/>
                <w:w w:val="89"/>
              </w:rPr>
              <w:t>6,250,000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425"/>
        </w:trPr>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Proposal 11: Adoption of the Incentive Plan Proposal</w:t>
      </w:r>
    </w:p>
    <w:p>
      <w:pPr>
        <w:spacing w:after="0" w:line="234" w:lineRule="exact"/>
        <w:rPr>
          <w:sz w:val="20"/>
          <w:szCs w:val="20"/>
          <w:color w:val="auto"/>
        </w:rPr>
      </w:pPr>
    </w:p>
    <w:p>
      <w:pPr>
        <w:ind w:right="720"/>
        <w:spacing w:after="0" w:line="250" w:lineRule="auto"/>
        <w:rPr>
          <w:sz w:val="20"/>
          <w:szCs w:val="20"/>
          <w:color w:val="auto"/>
        </w:rPr>
      </w:pPr>
      <w:r>
        <w:rPr>
          <w:rFonts w:ascii="Arial" w:cs="Arial" w:eastAsia="Arial" w:hAnsi="Arial"/>
          <w:sz w:val="22"/>
          <w:szCs w:val="22"/>
          <w:color w:val="auto"/>
        </w:rPr>
        <w:t>Silver Spike’s shareholders approved the Incentive Plan. The following were the tabulated votes “For” and “Against” this proposal as well as the number of “Abstentions” and “Broker Non-Votes”: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FOR</w:t>
            </w:r>
          </w:p>
        </w:tc>
        <w:tc>
          <w:tcPr>
            <w:tcW w:w="2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AGAINST</w:t>
            </w: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ABSTAIN</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rPr>
              <w:t>BROKER NON-VOTE</w:t>
            </w:r>
          </w:p>
        </w:tc>
      </w:tr>
      <w:tr>
        <w:trPr>
          <w:trHeight w:val="216"/>
        </w:trPr>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16,898,948</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5,407,719</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813,727</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Proposal 12: Adoption of the Stock Plan Proposal</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Silver Spike’s shareholders approved the Stock Plan. The following were the tabulated votes “For” and “Against” this proposal as well as the number of “Abstentions” and “Broker Non-Votes”: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FOR</w:t>
            </w:r>
          </w:p>
        </w:tc>
        <w:tc>
          <w:tcPr>
            <w:tcW w:w="2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AGAINST</w:t>
            </w: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ABSTAIN</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rPr>
              <w:t>BROKER NON-VOTE</w:t>
            </w:r>
          </w:p>
        </w:tc>
      </w:tr>
      <w:tr>
        <w:trPr>
          <w:trHeight w:val="216"/>
        </w:trPr>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17,093,586</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5,228,100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798,708</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459"/>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Item 8.01. Other Events.</w:t>
            </w: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r>
    </w:tbl>
    <w:p>
      <w:pPr>
        <w:spacing w:after="0" w:line="222" w:lineRule="exact"/>
        <w:rPr>
          <w:sz w:val="20"/>
          <w:szCs w:val="20"/>
          <w:color w:val="auto"/>
        </w:rPr>
      </w:pPr>
    </w:p>
    <w:p>
      <w:pPr>
        <w:ind w:right="140"/>
        <w:spacing w:after="0" w:line="252" w:lineRule="auto"/>
        <w:rPr>
          <w:sz w:val="20"/>
          <w:szCs w:val="20"/>
          <w:color w:val="auto"/>
        </w:rPr>
      </w:pPr>
      <w:r>
        <w:rPr>
          <w:rFonts w:ascii="Arial" w:cs="Arial" w:eastAsia="Arial" w:hAnsi="Arial"/>
          <w:sz w:val="21"/>
          <w:szCs w:val="21"/>
          <w:color w:val="auto"/>
        </w:rPr>
        <w:t>In connection with the shareholder vote at the General Meeting, public shareholders had the right to elect to redeem all or a portion of their public shares for a per-share price calculated in accordance with the Silver Spike’s charter. Public shareholders holding 10,012 Class A ordinary shares validly elected to redeem their public shares. Public shareholders who elected to redeem their public shares may revoke their elections at any time prior to the Closing.</w:t>
      </w:r>
    </w:p>
    <w:p>
      <w:pPr>
        <w:spacing w:after="0" w:line="201"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The Closing is expected to occur on June 15, 2021, subject to the satisfaction or waiver of the conditions contained in the Merger Agreement.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 ABOUT FORWARD-LOOKING STATEMENTS</w:t>
      </w:r>
    </w:p>
    <w:p>
      <w:pPr>
        <w:spacing w:after="0" w:line="239"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The information in this Current Report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projections of market opportunity and market share, expectations and timing related to commercial product launches, potential benefits of the transaction and the potential success of WMH’s go-to-market strategy, and expectations related to the terms and timing of the transaction. These statements are based on various assumptions, whether or not identified in this Current Report, and on the current expectations of WMH’s and Silver Spike’s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WMH and Silver Spike. These forward-looking statements are subject to a number of risks and uncertainties, including changes in domestic and foreign business, market, financial, political and legal conditions; the inability of the parties to successfully or timely consummate the proposed Business Combination; failure to realize the anticipated benefits of the proposed Business Combination; risks relating to the uncertainty of the projected financial information with respect to WMH; future global, regional or local economic and market conditions affecting the cannabis industry; the development, effects and enforcement of laws and regulations, including with respect to the cannabis industry; WMH’s ability to successfully capitalize on new and existing cannabis markets, including its ability to successfully monetize its solutions in those markets; WMH’s ability to manage future growth; WMH’s ability to develop new products and solutions, bring them to market in a timely manner, and make enhancements to its platform and WMH’s ability to maintain and grow its two sided digital network, including its ability to acquire and retain paying customers; the effects of competition on WMH’s future business; the ability of Silver Spike or the combined company to issue equity or equity-linked securities in connection with the proposed Business Combination or in the future; the outcome of any potential litigation, government and regulatory proceedings, investigations and inquiries; and those factors discussed in Silver Spike’s final prospectus dated August 7, 2019, Annual Report on Form 10-K/A for the fiscal year ended December 31, 2020 and Quarterly Report on Form 10-Q for the quarter ended March 31, 2021, and the registration statement on Form S-4 (File No. 333-252186) dated January 15, 2021 (as amended on March 11, 2021, April 1, 2021, May 14, 2021 and May 25, 2021), in each case, under the heading “Risk Factors,” and other documents of Silver Spike filed, or to be filed, with the SEC. If any of these risks materialize or our assumptions prove incorrect, actual results could differ materially from the results implied by these forward-looking statements. There may be additional risks that neither Silver Spike nor WMH presently know or that Silver Spike and WMH currently believe are immaterial that could also cause actual results to differ from those contained in the forward looking statements. In addition, forward-looking statements reflect Silver Spike’s and WMH’s expectations, plans or forecasts of future events and views as of the date of this Current Report. Silver Spike and WMH anticipate that subsequent events and developments will cause Silver Spike’s and WMH’s assessments to change. However, while Silver Spike and WMH may elect to update these forward-looking statements at some point in the future, Silver Spike and WMH specifically disclaim any obligation to do so. These forward-looking statements should not be relied upon as representing Silver Spike’s and WMH’s assessments as of any date subsequent to the date of this Current Report.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405"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9.01. Exhibits and Financial Statements.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The following exhibits are furnished as part of this report:</w:t>
      </w:r>
    </w:p>
    <w:p>
      <w:pPr>
        <w:spacing w:after="0" w:line="23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1260" w:hanging="786"/>
        <w:spacing w:after="0" w:line="277"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w:anchor="page9">
        <w:r>
          <w:rPr>
            <w:rFonts w:ascii="Arial" w:cs="Arial" w:eastAsia="Arial" w:hAnsi="Arial"/>
            <w:sz w:val="18"/>
            <w:szCs w:val="18"/>
            <w:u w:val="single" w:color="auto"/>
            <w:color w:val="0000EE"/>
          </w:rPr>
          <w:t>First Amendment, dated June 10, 2021 to Agreement and Plan of Merger, dated December 10, 2020, by and among Silver Spike, Merger</w:t>
        </w:r>
      </w:hyperlink>
      <w:r>
        <w:rPr>
          <w:rFonts w:ascii="Arial" w:cs="Arial" w:eastAsia="Arial" w:hAnsi="Arial"/>
          <w:sz w:val="18"/>
          <w:szCs w:val="18"/>
          <w:u w:val="single" w:color="auto"/>
          <w:color w:val="0000EE"/>
        </w:rPr>
        <w:t xml:space="preserve"> </w:t>
      </w:r>
      <w:hyperlink w:anchor="page9">
        <w:r>
          <w:rPr>
            <w:rFonts w:ascii="Arial" w:cs="Arial" w:eastAsia="Arial" w:hAnsi="Arial"/>
            <w:sz w:val="18"/>
            <w:szCs w:val="18"/>
            <w:u w:val="single" w:color="auto"/>
            <w:color w:val="0000EE"/>
          </w:rPr>
          <w:t>Sub, WMH and the Holder Representative named therein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7" w:name="page8"/>
    <w:bookmarkEnd w:id="7"/>
    <w:p>
      <w:pPr>
        <w:jc w:val="center"/>
        <w:ind w:right="-15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450"/>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5"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SILVER SPIKE ACQUISITION CORP.</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June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Greg Gentile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1" w:right="49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AGREEMENT AND PLAN OF MERGER</w:t>
      </w:r>
    </w:p>
    <w:p>
      <w:pPr>
        <w:spacing w:after="0" w:line="23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color w:val="auto"/>
        </w:rPr>
        <w:t>THIS FIRST AMENDMENT TO AGREEMENT AND PLAN OF MERGER (this “</w:t>
      </w:r>
      <w:r>
        <w:rPr>
          <w:rFonts w:ascii="Arial" w:cs="Arial" w:eastAsia="Arial" w:hAnsi="Arial"/>
          <w:sz w:val="19"/>
          <w:szCs w:val="19"/>
          <w:b w:val="1"/>
          <w:bCs w:val="1"/>
          <w:color w:val="auto"/>
        </w:rPr>
        <w:t>Amendment</w:t>
      </w:r>
      <w:r>
        <w:rPr>
          <w:rFonts w:ascii="Arial" w:cs="Arial" w:eastAsia="Arial" w:hAnsi="Arial"/>
          <w:sz w:val="19"/>
          <w:szCs w:val="19"/>
          <w:color w:val="auto"/>
        </w:rPr>
        <w:t>”) is made and entered into as of June 10, 2021 by and among Silver Spike Acquisition Corp., a Cayman Islands exempted company (“</w:t>
      </w:r>
      <w:r>
        <w:rPr>
          <w:rFonts w:ascii="Arial" w:cs="Arial" w:eastAsia="Arial" w:hAnsi="Arial"/>
          <w:sz w:val="19"/>
          <w:szCs w:val="19"/>
          <w:b w:val="1"/>
          <w:bCs w:val="1"/>
          <w:color w:val="auto"/>
        </w:rPr>
        <w:t>Silver Spike</w:t>
      </w:r>
      <w:r>
        <w:rPr>
          <w:rFonts w:ascii="Arial" w:cs="Arial" w:eastAsia="Arial" w:hAnsi="Arial"/>
          <w:sz w:val="19"/>
          <w:szCs w:val="19"/>
          <w:color w:val="auto"/>
        </w:rPr>
        <w:t>”), Silver Spike Merger Sub LLC, a Delaware limited liability company (“</w:t>
      </w:r>
      <w:r>
        <w:rPr>
          <w:rFonts w:ascii="Arial" w:cs="Arial" w:eastAsia="Arial" w:hAnsi="Arial"/>
          <w:sz w:val="19"/>
          <w:szCs w:val="19"/>
          <w:b w:val="1"/>
          <w:bCs w:val="1"/>
          <w:color w:val="auto"/>
        </w:rPr>
        <w:t>Merger Sub</w:t>
      </w:r>
      <w:r>
        <w:rPr>
          <w:rFonts w:ascii="Arial" w:cs="Arial" w:eastAsia="Arial" w:hAnsi="Arial"/>
          <w:sz w:val="19"/>
          <w:szCs w:val="19"/>
          <w:color w:val="auto"/>
        </w:rPr>
        <w:t>”), WM Holding Company, a Delaware limited liability company (the “</w:t>
      </w:r>
      <w:r>
        <w:rPr>
          <w:rFonts w:ascii="Arial" w:cs="Arial" w:eastAsia="Arial" w:hAnsi="Arial"/>
          <w:sz w:val="19"/>
          <w:szCs w:val="19"/>
          <w:b w:val="1"/>
          <w:bCs w:val="1"/>
          <w:color w:val="auto"/>
        </w:rPr>
        <w:t>Company</w:t>
      </w:r>
      <w:r>
        <w:rPr>
          <w:rFonts w:ascii="Arial" w:cs="Arial" w:eastAsia="Arial" w:hAnsi="Arial"/>
          <w:sz w:val="19"/>
          <w:szCs w:val="19"/>
          <w:color w:val="auto"/>
        </w:rPr>
        <w:t>”) and Ghost Media Group, LLC, a Nevada limited liability company, solely in its capacity as Holder Representative (together with Silver Spike, Merger Sub, and the Company, the “</w:t>
      </w:r>
      <w:r>
        <w:rPr>
          <w:rFonts w:ascii="Arial" w:cs="Arial" w:eastAsia="Arial" w:hAnsi="Arial"/>
          <w:sz w:val="19"/>
          <w:szCs w:val="19"/>
          <w:b w:val="1"/>
          <w:bCs w:val="1"/>
          <w:color w:val="auto"/>
        </w:rPr>
        <w:t>Parties</w:t>
      </w:r>
      <w:r>
        <w:rPr>
          <w:rFonts w:ascii="Arial" w:cs="Arial" w:eastAsia="Arial" w:hAnsi="Arial"/>
          <w:sz w:val="19"/>
          <w:szCs w:val="19"/>
          <w:color w:val="auto"/>
        </w:rPr>
        <w:t>”). Capitalized terms used and not defined herein have the respective meanings ascribed to them in the Merger Agreement (as defined below).</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33" w:lineRule="exact"/>
        <w:rPr>
          <w:sz w:val="20"/>
          <w:szCs w:val="20"/>
          <w:color w:val="auto"/>
        </w:rPr>
      </w:pPr>
    </w:p>
    <w:p>
      <w:pPr>
        <w:ind w:firstLine="656"/>
        <w:spacing w:after="0" w:line="256" w:lineRule="auto"/>
        <w:tabs>
          <w:tab w:leader="none" w:pos="1584"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Parties entered into that certain Agreement and Plan of Merger (the “</w:t>
      </w:r>
      <w:r>
        <w:rPr>
          <w:rFonts w:ascii="Arial" w:cs="Arial" w:eastAsia="Arial" w:hAnsi="Arial"/>
          <w:sz w:val="22"/>
          <w:szCs w:val="22"/>
          <w:b w:val="1"/>
          <w:bCs w:val="1"/>
          <w:color w:val="auto"/>
        </w:rPr>
        <w:t>Merger Agreement</w:t>
      </w:r>
      <w:r>
        <w:rPr>
          <w:rFonts w:ascii="Arial" w:cs="Arial" w:eastAsia="Arial" w:hAnsi="Arial"/>
          <w:sz w:val="22"/>
          <w:szCs w:val="22"/>
          <w:color w:val="auto"/>
        </w:rPr>
        <w:t>”), dated as of December 10, 2020.</w:t>
      </w:r>
    </w:p>
    <w:p>
      <w:pPr>
        <w:spacing w:after="0" w:line="195" w:lineRule="exact"/>
        <w:rPr>
          <w:rFonts w:ascii="Arial" w:cs="Arial" w:eastAsia="Arial" w:hAnsi="Arial"/>
          <w:sz w:val="22"/>
          <w:szCs w:val="22"/>
          <w:color w:val="auto"/>
        </w:rPr>
      </w:pPr>
    </w:p>
    <w:p>
      <w:pPr>
        <w:ind w:left="1400" w:hanging="744"/>
        <w:spacing w:after="0"/>
        <w:tabs>
          <w:tab w:leader="none" w:pos="140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Parties wish to amend the Merger Agreement in accordance with the terms of this Amendment.</w:t>
      </w:r>
    </w:p>
    <w:p>
      <w:pPr>
        <w:spacing w:after="0" w:line="233" w:lineRule="exact"/>
        <w:rPr>
          <w:rFonts w:ascii="Arial" w:cs="Arial" w:eastAsia="Arial" w:hAnsi="Arial"/>
          <w:sz w:val="22"/>
          <w:szCs w:val="22"/>
          <w:color w:val="auto"/>
        </w:rPr>
      </w:pPr>
    </w:p>
    <w:p>
      <w:pPr>
        <w:ind w:firstLine="656"/>
        <w:spacing w:after="0" w:line="250" w:lineRule="auto"/>
        <w:tabs>
          <w:tab w:leader="none" w:pos="1497" w:val="left"/>
        </w:tabs>
        <w:numPr>
          <w:ilvl w:val="0"/>
          <w:numId w:val="2"/>
        </w:numPr>
        <w:rPr>
          <w:rFonts w:ascii="Arial" w:cs="Arial" w:eastAsia="Arial" w:hAnsi="Arial"/>
          <w:sz w:val="22"/>
          <w:szCs w:val="22"/>
          <w:color w:val="auto"/>
        </w:rPr>
      </w:pPr>
      <w:r>
        <w:rPr>
          <w:rFonts w:ascii="Arial" w:cs="Arial" w:eastAsia="Arial" w:hAnsi="Arial"/>
          <w:sz w:val="22"/>
          <w:szCs w:val="22"/>
          <w:color w:val="auto"/>
        </w:rPr>
        <w:t>Section 13.10 of the Merger Agreement provides that the Merger Agreement may be amended or modified in whole or in part by a duly authorized agreement in writing executed by each of the Parties.</w:t>
      </w:r>
    </w:p>
    <w:p>
      <w:pPr>
        <w:spacing w:after="0" w:line="20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NOW, THEREFORE, in consideration of the foregoing, and of the representations, warranties, covenants and agreements contained herein, the Parties hereby agree as follows:</w:t>
      </w:r>
    </w:p>
    <w:p>
      <w:pPr>
        <w:spacing w:after="0" w:line="202" w:lineRule="exact"/>
        <w:rPr>
          <w:sz w:val="20"/>
          <w:szCs w:val="20"/>
          <w:color w:val="auto"/>
        </w:rPr>
      </w:pPr>
    </w:p>
    <w:p>
      <w:pPr>
        <w:ind w:firstLine="656"/>
        <w:spacing w:after="0" w:line="250" w:lineRule="auto"/>
        <w:tabs>
          <w:tab w:leader="none" w:pos="1633"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Amendment of Section 11.01(b)(ii)</w:t>
      </w:r>
      <w:r>
        <w:rPr>
          <w:rFonts w:ascii="Arial" w:cs="Arial" w:eastAsia="Arial" w:hAnsi="Arial"/>
          <w:sz w:val="22"/>
          <w:szCs w:val="22"/>
          <w:color w:val="auto"/>
        </w:rPr>
        <w:t>. Section 11.01(b)(ii) of the Merger Agreement is hereby amended and restated in its entirety as follows: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Closing has not occurred on or before July 10, 2021 (the “</w:t>
      </w:r>
      <w:r>
        <w:rPr>
          <w:rFonts w:ascii="Arial" w:cs="Arial" w:eastAsia="Arial" w:hAnsi="Arial"/>
          <w:sz w:val="22"/>
          <w:szCs w:val="22"/>
          <w:b w:val="1"/>
          <w:bCs w:val="1"/>
          <w:color w:val="auto"/>
        </w:rPr>
        <w:t>Termination Date</w:t>
      </w:r>
      <w:r>
        <w:rPr>
          <w:rFonts w:ascii="Arial" w:cs="Arial" w:eastAsia="Arial" w:hAnsi="Arial"/>
          <w:sz w:val="22"/>
          <w:szCs w:val="22"/>
          <w:color w:val="auto"/>
        </w:rPr>
        <w:t>”);”</w:t>
      </w:r>
    </w:p>
    <w:p>
      <w:pPr>
        <w:spacing w:after="0" w:line="239" w:lineRule="exact"/>
        <w:rPr>
          <w:sz w:val="20"/>
          <w:szCs w:val="20"/>
          <w:color w:val="auto"/>
        </w:rPr>
      </w:pPr>
    </w:p>
    <w:p>
      <w:pPr>
        <w:jc w:val="both"/>
        <w:ind w:firstLine="656"/>
        <w:spacing w:after="0" w:line="272" w:lineRule="auto"/>
        <w:tabs>
          <w:tab w:leader="none" w:pos="1336"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Effect of Amendment</w:t>
      </w:r>
      <w:r>
        <w:rPr>
          <w:rFonts w:ascii="Arial" w:cs="Arial" w:eastAsia="Arial" w:hAnsi="Arial"/>
          <w:sz w:val="19"/>
          <w:szCs w:val="19"/>
          <w:color w:val="auto"/>
        </w:rPr>
        <w:t xml:space="preserve">. Each party to this Amendment represents that it has all necessary power and authority to enter into and perform the obligations of this Amendment and that there are no consents or approvals required to be obtained by such party for such party to enter into and perform its obligations under this Amendment that have not been obtained. This Amendment shall be deemed incorporated into, and form a part of, the Merger Agreement and have the same legal validity and effect as the Merger Agreement. Except as expressly and specifically amended hereby, all terms and provisions of the Merger Agreement are and shall remain in full force and effect, and all references to the Merger Agreement in this Amendment and in any ancillary agreements or documents delivered in connection with the Merger Agreement shall hereafter refer to the Merger Agreement as amended by this Amendment, and as it may hereafter be further amended or restated. Each reference in the Merger Agreement to “this Agreement,” “herein,” “hereof,” “hereunder” or words of similar import shall hereafter be deemed to refer to the Merger Agreement as amended hereby (except that references in the Merger Agreement to the “date hereof” or “date of this Agreement” or words of similar import shall continue to mean December 10, 2020). This Amendment hereby incorporates the provisions of Article 13 of the Merger Agreement as if fully set forth herein,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9" w:name="page10"/>
    <w:bookmarkEnd w:id="9"/>
    <w:p>
      <w:pPr>
        <w:ind w:firstLine="648"/>
        <w:spacing w:after="0" w:line="251" w:lineRule="auto"/>
        <w:rPr>
          <w:sz w:val="20"/>
          <w:szCs w:val="20"/>
          <w:color w:val="auto"/>
        </w:rPr>
      </w:pPr>
      <w:r>
        <w:rPr>
          <w:rFonts w:ascii="Arial" w:cs="Arial" w:eastAsia="Arial" w:hAnsi="Arial"/>
          <w:sz w:val="22"/>
          <w:szCs w:val="22"/>
          <w:color w:val="auto"/>
        </w:rPr>
        <w:t>IN WITNESS WHEREOF, the entities listed below, by their duly authorized representatives, have executed this Amendment as of the date first written above.</w:t>
      </w:r>
    </w:p>
    <w:p>
      <w:pPr>
        <w:spacing w:after="0" w:line="204"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SILVER SPIKE ACQUISITION CORP.</w:t>
      </w:r>
    </w:p>
    <w:p>
      <w:pPr>
        <w:spacing w:after="0" w:line="2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Greg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23495</wp:posOffset>
            </wp:positionV>
            <wp:extent cx="17227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22755"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Greg Gentile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34"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SILVER SPIKE MERGER SUB LLC</w:t>
      </w:r>
    </w:p>
    <w:p>
      <w:pPr>
        <w:spacing w:after="0" w:line="2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Greg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23495</wp:posOffset>
            </wp:positionV>
            <wp:extent cx="17227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22755"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Greg Gentile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Secretary</w:t>
      </w:r>
    </w:p>
    <w:p>
      <w:pPr>
        <w:spacing w:after="0" w:line="234"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WM HOLDING COMPANY, LLC</w:t>
      </w:r>
    </w:p>
    <w:p>
      <w:pPr>
        <w:spacing w:after="0" w:line="2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Christopher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23495</wp:posOffset>
            </wp:positionV>
            <wp:extent cx="17227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22755"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Christopher Beals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34"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GHOST MEDIA GROUP, LLC</w:t>
      </w:r>
    </w:p>
    <w:p>
      <w:pPr>
        <w:spacing w:after="0" w:line="2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23495</wp:posOffset>
            </wp:positionV>
            <wp:extent cx="17227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22755"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Douglas Francis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Justin Hartfield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23495</wp:posOffset>
            </wp:positionV>
            <wp:extent cx="17227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22755"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Justin Hartfield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First Amendment to Agreement and Plan of Merger</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1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upp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2021-06-11T08:07:15Z</dcterms:created>
  <dcterms:modified xsi:type="dcterms:W3CDTF">2021-06-11T08:07:15Z</dcterms:modified>
</cp:coreProperties>
</file>