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1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191135</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1,938,798 Shares of Class A Common Stock</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4"/>
          <w:szCs w:val="24"/>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88"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81"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May 6, 2025, the closing price of our Class A Common Stock was $1.14.</w:t>
      </w:r>
    </w:p>
    <w:p>
      <w:pPr>
        <w:spacing w:after="0" w:line="54"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EE"/>
                <w:w w:val="79"/>
              </w:rPr>
              <w:t>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EE"/>
                <w:w w:val="70"/>
              </w:rPr>
              <w:t>iii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040" w:type="dxa"/>
            <w:vAlign w:val="bottom"/>
            <w:gridSpan w:val="7"/>
          </w:tcPr>
          <w:p>
            <w:pPr>
              <w:spacing w:after="0"/>
              <w:rPr>
                <w:sz w:val="16"/>
                <w:szCs w:val="16"/>
                <w:color w:val="auto"/>
              </w:rPr>
            </w:pP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19</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0"/>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3"/>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407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64077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21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27216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125"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 Class A Common Stock Offered by the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color w:val="auto"/>
        </w:rPr>
        <w:t>Up to 1,938,798 shares of Class A Common Stock.</w:t>
      </w:r>
    </w:p>
    <w:p>
      <w:pPr>
        <w:spacing w:after="0" w:line="164" w:lineRule="exact"/>
        <w:rPr>
          <w:sz w:val="20"/>
          <w:szCs w:val="20"/>
          <w:color w:val="auto"/>
        </w:rPr>
      </w:pPr>
    </w:p>
    <w:p>
      <w:pPr>
        <w:sectPr>
          <w:pgSz w:w="11900" w:h="16838" w:orient="portrait"/>
          <w:cols w:equalWidth="0" w:num="2">
            <w:col w:w="4040" w:space="68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91"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Market for Class A Common Stock</w:t>
      </w:r>
    </w:p>
    <w:p>
      <w:pPr>
        <w:spacing w:after="0" w:line="20" w:lineRule="exact"/>
        <w:rPr>
          <w:sz w:val="20"/>
          <w:szCs w:val="20"/>
          <w:color w:val="auto"/>
        </w:rPr>
      </w:pPr>
      <w:r>
        <w:rPr>
          <w:sz w:val="20"/>
          <w:szCs w:val="20"/>
          <w:color w:val="auto"/>
        </w:rPr>
        <w:br w:type="column"/>
      </w:r>
    </w:p>
    <w:p>
      <w:pPr>
        <w:ind w:right="299"/>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traded on Nasdaq under the symbol “MAPS.”</w:t>
      </w:r>
    </w:p>
    <w:p>
      <w:pPr>
        <w:spacing w:after="0" w:line="90"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79"/>
        <w:spacing w:after="0" w:line="257" w:lineRule="auto"/>
        <w:rPr>
          <w:sz w:val="20"/>
          <w:szCs w:val="20"/>
          <w:color w:val="auto"/>
        </w:rPr>
      </w:pPr>
      <w:r>
        <w:rPr>
          <w:rFonts w:ascii="Times New Roman" w:cs="Times New Roman" w:eastAsia="Times New Roman" w:hAnsi="Times New Roman"/>
          <w:sz w:val="18"/>
          <w:szCs w:val="18"/>
          <w:color w:val="auto"/>
        </w:rPr>
        <w:t>See the section entitled “Risk Factors” and other information included in this prospectus, and under similar headings in any amendments or supplements to</w:t>
      </w:r>
    </w:p>
    <w:p>
      <w:pPr>
        <w:spacing w:after="0" w:line="1"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 (i)1,244,258 shares of Class A Common Stock issued pursuant to the Asset Purchase Agreement and (ii)694,540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68"/>
        </w:trPr>
        <w:tc>
          <w:tcPr>
            <w:tcW w:w="4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7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Being</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Andrew &amp; Ellen Astrove</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Ashwin Surajbali</w:t>
            </w:r>
            <w:r>
              <w:rPr>
                <w:rFonts w:ascii="Times New Roman" w:cs="Times New Roman" w:eastAsia="Times New Roman" w:hAnsi="Times New Roman"/>
                <w:sz w:val="28"/>
                <w:szCs w:val="2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Bradley Nathan Albert</w:t>
            </w:r>
            <w:r>
              <w:rPr>
                <w:rFonts w:ascii="Times New Roman" w:cs="Times New Roman" w:eastAsia="Times New Roman" w:hAnsi="Times New Roman"/>
                <w:sz w:val="28"/>
                <w:szCs w:val="28"/>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Diane Roskind</w:t>
            </w:r>
            <w:r>
              <w:rPr>
                <w:rFonts w:ascii="Times New Roman" w:cs="Times New Roman" w:eastAsia="Times New Roman" w:hAnsi="Times New Roman"/>
                <w:sz w:val="28"/>
                <w:szCs w:val="28"/>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DJK Morris Investments, LLC</w:t>
            </w:r>
            <w:r>
              <w:rPr>
                <w:rFonts w:ascii="Times New Roman" w:cs="Times New Roman" w:eastAsia="Times New Roman" w:hAnsi="Times New Roman"/>
                <w:sz w:val="28"/>
                <w:szCs w:val="28"/>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Farzin Arsanjani</w:t>
            </w:r>
            <w:r>
              <w:rPr>
                <w:rFonts w:ascii="Times New Roman" w:cs="Times New Roman" w:eastAsia="Times New Roman" w:hAnsi="Times New Roman"/>
                <w:sz w:val="28"/>
                <w:szCs w:val="28"/>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Ian Cohen</w:t>
            </w:r>
            <w:r>
              <w:rPr>
                <w:rFonts w:ascii="Times New Roman" w:cs="Times New Roman" w:eastAsia="Times New Roman" w:hAnsi="Times New Roman"/>
                <w:sz w:val="28"/>
                <w:szCs w:val="28"/>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Jennifer Goldman-Brisman</w:t>
            </w:r>
            <w:r>
              <w:rPr>
                <w:rFonts w:ascii="Times New Roman" w:cs="Times New Roman" w:eastAsia="Times New Roman" w:hAnsi="Times New Roman"/>
                <w:sz w:val="28"/>
                <w:szCs w:val="28"/>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LCP Group, L.P.</w:t>
            </w:r>
            <w:r>
              <w:rPr>
                <w:rFonts w:ascii="Times New Roman" w:cs="Times New Roman" w:eastAsia="Times New Roman" w:hAnsi="Times New Roman"/>
                <w:sz w:val="28"/>
                <w:szCs w:val="28"/>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LeRoy Robinson</w:t>
            </w:r>
            <w:r>
              <w:rPr>
                <w:rFonts w:ascii="Times New Roman" w:cs="Times New Roman" w:eastAsia="Times New Roman" w:hAnsi="Times New Roman"/>
                <w:sz w:val="28"/>
                <w:szCs w:val="28"/>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M&amp;S Investment Group, LLC</w:t>
            </w:r>
            <w:r>
              <w:rPr>
                <w:rFonts w:ascii="Times New Roman" w:cs="Times New Roman" w:eastAsia="Times New Roman" w:hAnsi="Times New Roman"/>
                <w:sz w:val="28"/>
                <w:szCs w:val="28"/>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MembersRSVP, LLC</w:t>
            </w:r>
            <w:r>
              <w:rPr>
                <w:rFonts w:ascii="Times New Roman" w:cs="Times New Roman" w:eastAsia="Times New Roman" w:hAnsi="Times New Roman"/>
                <w:sz w:val="28"/>
                <w:szCs w:val="28"/>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Schlaefer</w:t>
            </w:r>
            <w:r>
              <w:rPr>
                <w:rFonts w:ascii="Times New Roman" w:cs="Times New Roman" w:eastAsia="Times New Roman" w:hAnsi="Times New Roman"/>
                <w:sz w:val="28"/>
                <w:szCs w:val="28"/>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0"/>
          <w:szCs w:val="20"/>
          <w:color w:val="auto"/>
        </w:rPr>
      </w:pPr>
    </w:p>
    <w:p>
      <w:pPr>
        <w:ind w:left="640" w:hanging="34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April 28, 2025, there were (1) 105,053,766 shares of Class A Common Stock, (2) 49,319,542 shares of Class V Common Stock and no shares of preferred stock outstanding.</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299" w:hanging="8"/>
        <w:spacing w:after="0" w:line="251" w:lineRule="auto"/>
        <w:tabs>
          <w:tab w:leader="none" w:pos="5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12,499,973 Public Warrants outstanding.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38">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Exhibit 4.5 of our Annual Report on Form 10-K for the year ended December 31, 2021 filed with the SEC on </w:t>
      </w:r>
      <w:hyperlink r:id="rId39">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auto"/>
        </w:rPr>
        <w:t>,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sz w:val="20"/>
          <w:szCs w:val="20"/>
          <w:color w:val="auto"/>
        </w:rPr>
      </w:pPr>
    </w:p>
    <w:p>
      <w:pPr>
        <w:ind w:left="4240" w:hanging="218"/>
        <w:spacing w:after="0"/>
        <w:tabs>
          <w:tab w:leader="none" w:pos="4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2940685</wp:posOffset>
            </wp:positionV>
            <wp:extent cx="3429000" cy="1019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0"/>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jpeg"/><Relationship Id="rId45" Type="http://schemas.openxmlformats.org/officeDocument/2006/relationships/image" Target="media/image35.png"/><Relationship Id="rId46" Type="http://schemas.openxmlformats.org/officeDocument/2006/relationships/image" Target="media/image36.png"/><Relationship Id="rId37" Type="http://schemas.openxmlformats.org/officeDocument/2006/relationships/hyperlink" Target="https://www.sec.gov/ix?doc=/Archives/edgar/data/1779474/000177947425000007/maps-20241231.htm" TargetMode="External"/><Relationship Id="rId38" Type="http://schemas.openxmlformats.org/officeDocument/2006/relationships/hyperlink" Target="https://www.sec.gov/ix?doc=/Archives/edgar/data/1779474/000114036125016331/ny20043216x1_def14a.htm" TargetMode="External"/><Relationship Id="rId39"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2025-05-08T05:19:41Z</dcterms:created>
  <dcterms:modified xsi:type="dcterms:W3CDTF">2025-05-08T05:19:41Z</dcterms:modified>
</cp:coreProperties>
</file>