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Aquila Tony</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Silver Spike Acquisition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MAPS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8"/>
              </w:rPr>
              <w:t>C/O WM TECHNOLOGY,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Arial" w:cs="Arial" w:eastAsia="Arial" w:hAnsi="Arial"/>
                <w:sz w:val="17"/>
                <w:szCs w:val="17"/>
                <w:color w:val="0000FF"/>
              </w:rPr>
              <w:t>06/18/2021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2"/>
            <w:vMerge w:val="restart"/>
          </w:tcPr>
          <w:p>
            <w:pPr>
              <w:jc w:val="right"/>
              <w:ind w:right="31"/>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44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1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jc w:val="right"/>
              <w:ind w:right="31"/>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5"/>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jc w:val="right"/>
              <w:ind w:right="191"/>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5"/>
          </w:tcPr>
          <w:p>
            <w:pPr>
              <w:jc w:val="center"/>
              <w:ind w:left="545"/>
              <w:spacing w:after="0"/>
              <w:rPr>
                <w:sz w:val="20"/>
                <w:szCs w:val="20"/>
                <w:color w:val="auto"/>
              </w:rPr>
            </w:pPr>
            <w:r>
              <w:rPr>
                <w:rFonts w:ascii="Arial" w:cs="Arial" w:eastAsia="Arial" w:hAnsi="Arial"/>
                <w:sz w:val="17"/>
                <w:szCs w:val="17"/>
                <w:color w:val="0000FF"/>
                <w:w w:val="91"/>
              </w:rPr>
              <w:t>06/18/2021</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rPr>
              <w:t>A</w:t>
            </w:r>
          </w:p>
        </w:tc>
        <w:tc>
          <w:tcPr>
            <w:tcW w:w="820" w:type="dxa"/>
            <w:vAlign w:val="bottom"/>
            <w:gridSpan w:val="2"/>
          </w:tcPr>
          <w:p>
            <w:pPr>
              <w:jc w:val="center"/>
              <w:ind w:left="25"/>
              <w:spacing w:after="0"/>
              <w:rPr>
                <w:sz w:val="20"/>
                <w:szCs w:val="20"/>
                <w:color w:val="auto"/>
              </w:rPr>
            </w:pPr>
            <w:r>
              <w:rPr>
                <w:rFonts w:ascii="Arial" w:cs="Arial" w:eastAsia="Arial" w:hAnsi="Arial"/>
                <w:sz w:val="17"/>
                <w:szCs w:val="17"/>
                <w:color w:val="0000FF"/>
                <w:w w:val="89"/>
              </w:rPr>
              <w:t>1,250,000</w:t>
            </w:r>
          </w:p>
        </w:tc>
        <w:tc>
          <w:tcPr>
            <w:tcW w:w="280" w:type="dxa"/>
            <w:vAlign w:val="bottom"/>
          </w:tcPr>
          <w:p>
            <w:pPr>
              <w:spacing w:after="0"/>
              <w:rPr>
                <w:sz w:val="23"/>
                <w:szCs w:val="23"/>
                <w:color w:val="auto"/>
              </w:rPr>
            </w:pPr>
          </w:p>
        </w:tc>
        <w:tc>
          <w:tcPr>
            <w:tcW w:w="380" w:type="dxa"/>
            <w:vAlign w:val="bottom"/>
          </w:tcPr>
          <w:p>
            <w:pPr>
              <w:jc w:val="center"/>
              <w:ind w:right="145"/>
              <w:spacing w:after="0"/>
              <w:rPr>
                <w:sz w:val="20"/>
                <w:szCs w:val="20"/>
                <w:color w:val="auto"/>
              </w:rPr>
            </w:pPr>
            <w:r>
              <w:rPr>
                <w:rFonts w:ascii="Arial" w:cs="Arial" w:eastAsia="Arial" w:hAnsi="Arial"/>
                <w:sz w:val="17"/>
                <w:szCs w:val="17"/>
                <w:color w:val="0000FF"/>
              </w:rPr>
              <w:t>A</w:t>
            </w:r>
          </w:p>
        </w:tc>
        <w:tc>
          <w:tcPr>
            <w:tcW w:w="560" w:type="dxa"/>
            <w:vAlign w:val="bottom"/>
            <w:gridSpan w:val="3"/>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1,250,000</w:t>
            </w:r>
          </w:p>
        </w:tc>
        <w:tc>
          <w:tcPr>
            <w:tcW w:w="920" w:type="dxa"/>
            <w:vAlign w:val="bottom"/>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06/18/2021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3"/>
                <w:szCs w:val="13"/>
                <w:color w:val="0000FF"/>
              </w:rPr>
              <w:t>A</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7"/>
                <w:szCs w:val="17"/>
                <w:color w:val="0000FF"/>
                <w:w w:val="87"/>
              </w:rPr>
              <w:t>2,500,000</w:t>
            </w:r>
            <w:r>
              <w:rPr>
                <w:rFonts w:ascii="Arial" w:cs="Arial" w:eastAsia="Arial" w:hAnsi="Arial"/>
                <w:sz w:val="22"/>
                <w:szCs w:val="22"/>
                <w:color w:val="008000"/>
                <w:w w:val="87"/>
                <w:vertAlign w:val="superscript"/>
              </w:rPr>
              <w:t>(1)</w:t>
            </w:r>
          </w:p>
        </w:tc>
        <w:tc>
          <w:tcPr>
            <w:tcW w:w="380" w:type="dxa"/>
            <w:vAlign w:val="bottom"/>
            <w:vMerge w:val="restart"/>
          </w:tcPr>
          <w:p>
            <w:pPr>
              <w:jc w:val="center"/>
              <w:ind w:right="145"/>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2,500,000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06/18/2021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3"/>
                <w:szCs w:val="13"/>
                <w:color w:val="0000FF"/>
              </w:rPr>
              <w:t>A</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7"/>
                <w:szCs w:val="17"/>
                <w:color w:val="0000FF"/>
                <w:w w:val="87"/>
              </w:rPr>
              <w:t>1,100,000</w:t>
            </w:r>
            <w:r>
              <w:rPr>
                <w:rFonts w:ascii="Arial" w:cs="Arial" w:eastAsia="Arial" w:hAnsi="Arial"/>
                <w:sz w:val="22"/>
                <w:szCs w:val="22"/>
                <w:color w:val="008000"/>
                <w:w w:val="87"/>
                <w:vertAlign w:val="superscript"/>
              </w:rPr>
              <w:t>(1)</w:t>
            </w:r>
          </w:p>
        </w:tc>
        <w:tc>
          <w:tcPr>
            <w:tcW w:w="380" w:type="dxa"/>
            <w:vAlign w:val="bottom"/>
            <w:vMerge w:val="restart"/>
          </w:tcPr>
          <w:p>
            <w:pPr>
              <w:jc w:val="center"/>
              <w:ind w:right="145"/>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1,100,000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06/18/2021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3"/>
                <w:szCs w:val="13"/>
                <w:color w:val="0000FF"/>
              </w:rPr>
              <w:t>A</w:t>
            </w:r>
          </w:p>
        </w:tc>
        <w:tc>
          <w:tcPr>
            <w:tcW w:w="820" w:type="dxa"/>
            <w:vAlign w:val="bottom"/>
            <w:gridSpan w:val="2"/>
            <w:vMerge w:val="restart"/>
          </w:tcPr>
          <w:p>
            <w:pPr>
              <w:jc w:val="center"/>
              <w:ind w:left="25"/>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28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06/18/2021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3"/>
                <w:szCs w:val="13"/>
                <w:color w:val="0000FF"/>
              </w:rPr>
              <w:t>A</w:t>
            </w:r>
          </w:p>
        </w:tc>
        <w:tc>
          <w:tcPr>
            <w:tcW w:w="820" w:type="dxa"/>
            <w:vAlign w:val="bottom"/>
            <w:gridSpan w:val="2"/>
            <w:vMerge w:val="restart"/>
          </w:tcPr>
          <w:p>
            <w:pPr>
              <w:jc w:val="center"/>
              <w:ind w:left="25"/>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28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06/18/2021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3"/>
                <w:szCs w:val="13"/>
                <w:color w:val="0000FF"/>
              </w:rPr>
              <w:t>A</w:t>
            </w:r>
          </w:p>
        </w:tc>
        <w:tc>
          <w:tcPr>
            <w:tcW w:w="820" w:type="dxa"/>
            <w:vAlign w:val="bottom"/>
            <w:gridSpan w:val="2"/>
            <w:vMerge w:val="restart"/>
          </w:tcPr>
          <w:p>
            <w:pPr>
              <w:jc w:val="center"/>
              <w:ind w:left="25"/>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28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5"/>
          </w:tcPr>
          <w:p>
            <w:pPr>
              <w:jc w:val="right"/>
              <w:ind w:right="13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940" w:type="dxa"/>
            <w:vAlign w:val="bottom"/>
            <w:gridSpan w:val="4"/>
          </w:tcPr>
          <w:p>
            <w:pPr>
              <w:ind w:left="1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previously disclosed, in December 2020, the Issuer entered into subscription agreements with certain investors (the "PIPE investors") pursuant to which such investors agreed to purchase, immediately prior to the closing of the Business Combination, an aggregate of $325,000,000 of the Issuer's shares of Class A Common Stock at a price of $10.00 per share, or an aggregate of 32,500,000 shares of Class A Common Stock. AFV Partners SPV-5 LLC ("AFV 5"), AFV Partners SPV-6 LLC ("AFV 6"), Aquila 2007 Irrevocable Trust U/A FBO Elliott Aquila DTD 05/10/2007 ("Elliott Trust), Aquila 2007 Irrevocable Trust U/A FBO Cecily Aquila DTD 05/10/2007 ("Cecily Trust") and Aquila 2007 Irrevocable Trust U/A FBO Christopher Aquila DTD 05/10/2007 ("Christopher Trust") are among the PIPE Investors.</w:t>
      </w:r>
    </w:p>
    <w:p>
      <w:pPr>
        <w:spacing w:after="0" w:line="29"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AFV 5. Reporting Person is the Chairman and CEO of AFV Partners LLC, which exercises ultimate voting and investment power with respect to the shares held by AFV 5. Reporting Person disclaims beneficial ownership of these shares except to the extent of his pecuniary interest therein.</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AFV 6. Reporting Person is the Chairman and CEO of AFV Partners LLC, which exercises ultimate voting and investment power with respect to the shares held by AFV 6. Reporting Person disclaims beneficial ownership of these shares except to the extent of his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Elliott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Cecily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Christopher Trust.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Tony Aquila, by /s/ Ron A.</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06/21/2021</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90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2021-06-21T15:38:10Z</dcterms:created>
  <dcterms:modified xsi:type="dcterms:W3CDTF">2021-06-21T15:38:10Z</dcterms:modified>
</cp:coreProperties>
</file>