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22, 2025</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48895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WM Technology,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64770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9"/>
              </w:rPr>
              <w:t>7372</w:t>
            </w:r>
          </w:p>
        </w:tc>
        <w:tc>
          <w:tcPr>
            <w:tcW w:w="332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196"/>
        </w:trPr>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2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(Primary Standard Industrial</w:t>
            </w:r>
          </w:p>
        </w:tc>
        <w:tc>
          <w:tcPr>
            <w:tcW w:w="220" w:type="dxa"/>
            <w:vAlign w:val="bottom"/>
          </w:tcPr>
          <w:p>
            <w:pPr>
              <w:spacing w:after="0"/>
              <w:rPr>
                <w:sz w:val="17"/>
                <w:szCs w:val="17"/>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Classification Code No.)</w:t>
            </w:r>
          </w:p>
        </w:tc>
        <w:tc>
          <w:tcPr>
            <w:tcW w:w="22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85" w:lineRule="exact"/>
        <w:rPr>
          <w:sz w:val="24"/>
          <w:szCs w:val="24"/>
          <w:color w:val="auto"/>
        </w:rPr>
      </w:pPr>
    </w:p>
    <w:p>
      <w:pPr>
        <w:ind w:left="4620" w:hanging="199"/>
        <w:spacing w:after="0"/>
        <w:tabs>
          <w:tab w:leader="none" w:pos="462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Discovery</w:t>
      </w:r>
    </w:p>
    <w:p>
      <w:pPr>
        <w:spacing w:after="0" w:line="28" w:lineRule="exact"/>
        <w:rPr>
          <w:rFonts w:ascii="Times New Roman" w:cs="Times New Roman" w:eastAsia="Times New Roman" w:hAnsi="Times New Roman"/>
          <w:sz w:val="16"/>
          <w:szCs w:val="16"/>
          <w:b w:val="1"/>
          <w:bCs w:val="1"/>
          <w:color w:val="auto"/>
        </w:rPr>
      </w:pPr>
    </w:p>
    <w:p>
      <w:pPr>
        <w:ind w:left="40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Irvine, California 92618</w:t>
      </w:r>
    </w:p>
    <w:p>
      <w:pPr>
        <w:spacing w:after="0" w:line="18" w:lineRule="exact"/>
        <w:rPr>
          <w:rFonts w:ascii="Times New Roman" w:cs="Times New Roman" w:eastAsia="Times New Roman" w:hAnsi="Times New Roman"/>
          <w:sz w:val="16"/>
          <w:szCs w:val="16"/>
          <w:b w:val="1"/>
          <w:bCs w:val="1"/>
          <w:color w:val="auto"/>
        </w:rPr>
      </w:pPr>
    </w:p>
    <w:p>
      <w:pPr>
        <w:ind w:left="42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Tel: (844) 933-3627</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58420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Brian Camire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Counsel</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WM Technology, Inc.</w:t>
      </w:r>
    </w:p>
    <w:p>
      <w:pPr>
        <w:spacing w:after="0" w:line="19" w:lineRule="exact"/>
        <w:rPr>
          <w:sz w:val="24"/>
          <w:szCs w:val="24"/>
          <w:color w:val="auto"/>
        </w:rPr>
      </w:pPr>
    </w:p>
    <w:p>
      <w:pPr>
        <w:ind w:left="4620" w:hanging="199"/>
        <w:spacing w:after="0"/>
        <w:tabs>
          <w:tab w:leader="none" w:pos="462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Discovery</w:t>
      </w:r>
    </w:p>
    <w:p>
      <w:pPr>
        <w:spacing w:after="0" w:line="18" w:lineRule="exact"/>
        <w:rPr>
          <w:rFonts w:ascii="Times New Roman" w:cs="Times New Roman" w:eastAsia="Times New Roman" w:hAnsi="Times New Roman"/>
          <w:sz w:val="16"/>
          <w:szCs w:val="16"/>
          <w:b w:val="1"/>
          <w:bCs w:val="1"/>
          <w:color w:val="auto"/>
        </w:rPr>
      </w:pPr>
    </w:p>
    <w:p>
      <w:pPr>
        <w:ind w:left="40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Irvine, California 92618</w:t>
      </w:r>
    </w:p>
    <w:p>
      <w:pPr>
        <w:spacing w:after="0" w:line="18" w:lineRule="exact"/>
        <w:rPr>
          <w:rFonts w:ascii="Times New Roman" w:cs="Times New Roman" w:eastAsia="Times New Roman" w:hAnsi="Times New Roman"/>
          <w:sz w:val="16"/>
          <w:szCs w:val="16"/>
          <w:b w:val="1"/>
          <w:bCs w:val="1"/>
          <w:color w:val="auto"/>
        </w:rPr>
      </w:pPr>
    </w:p>
    <w:p>
      <w:pPr>
        <w:ind w:left="42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Tel: (844) 933-3627</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58420</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Copies to:</w:t>
      </w:r>
    </w:p>
    <w:p>
      <w:pPr>
        <w:spacing w:after="0" w:line="2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 </w:t>
      </w:r>
    </w:p>
    <w:p>
      <w:pPr>
        <w:spacing w:after="0" w:line="1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Dave Peinsipp</w:t>
      </w:r>
    </w:p>
    <w:p>
      <w:pPr>
        <w:spacing w:after="0" w:line="1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Kristin VanderPas</w:t>
      </w:r>
    </w:p>
    <w:p>
      <w:pPr>
        <w:spacing w:after="0" w:line="1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Peter Byrne</w:t>
      </w:r>
    </w:p>
    <w:p>
      <w:pPr>
        <w:spacing w:after="0" w:line="1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Cooley LLP</w:t>
      </w:r>
    </w:p>
    <w:p>
      <w:pPr>
        <w:spacing w:after="0" w:line="1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3 Embarcadero Center, 20th Floor</w:t>
      </w:r>
    </w:p>
    <w:p>
      <w:pPr>
        <w:spacing w:after="0" w:line="1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San Francisco, California 94111</w:t>
      </w:r>
    </w:p>
    <w:p>
      <w:pPr>
        <w:spacing w:after="0" w:line="1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Tel: (415) 693-2000</w:t>
      </w:r>
    </w:p>
    <w:p>
      <w:pPr>
        <w:spacing w:after="0" w:line="49" w:lineRule="exact"/>
        <w:rPr>
          <w:sz w:val="24"/>
          <w:szCs w:val="24"/>
          <w:color w:val="auto"/>
        </w:rPr>
      </w:pPr>
    </w:p>
    <w:p>
      <w:pPr>
        <w:jc w:val="both"/>
        <w:ind w:firstLine="360"/>
        <w:spacing w:after="0" w:line="301"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From time to time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17145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47"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jc w:val="both"/>
        <w:ind w:firstLine="360"/>
        <w:spacing w:after="0" w:line="264" w:lineRule="auto"/>
        <w:rPr>
          <w:sz w:val="20"/>
          <w:szCs w:val="20"/>
          <w:color w:val="auto"/>
        </w:rPr>
      </w:pP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jc w:val="both"/>
        <w:ind w:firstLine="3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jc w:val="both"/>
        <w:ind w:firstLine="3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6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360"/>
        <w:spacing w:after="0" w:line="275" w:lineRule="auto"/>
        <w:rPr>
          <w:sz w:val="20"/>
          <w:szCs w:val="20"/>
          <w:color w:val="auto"/>
        </w:rPr>
      </w:pPr>
      <w:r>
        <w:rPr>
          <w:rFonts w:ascii="Times New Roman" w:cs="Times New Roman" w:eastAsia="Times New Roman" w:hAnsi="Times New Roman"/>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184785</wp:posOffset>
            </wp:positionV>
            <wp:extent cx="6172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3" w:right="1099" w:bottom="3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WM Technology, Inc., a Delaware corporation (the “Company”), filed a Registration Statement on Form S-1 (as amended and supplemented, the “Registration Statement”) on December 2, 2021, which was declared effective on December 10, 2021, as amended by (i) Post-Effective Amendment No. 1 to Form S-1, which was filed on March 7, 2022, as further amended by (ii) Post-Effective Amendment No. 2 to Form S-1, which was filed on March 11, 2022. On October 5, 2022, the Company filed Post-Effective Amendment No. 3 to the Form S-1 Registration Statement on Form S-3 to convert the Form S-1 Registration Statement into a registration statement on Form S-3, which was subsequently declared effective by the SEC on October 19, 2022 (the “Form S-3 Registration Statement”).</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Post-Effective Amendment No. 4 was filed by the Company on July 29, 2024 to convert the Form S-3 Registration Statement into a registration statement on Form S-1. Post-Effective Amendment No. 5 was filed by the Company on September 3, 2024 to include our unaudited condensed consolidated financial statements as of and for the three and six months ended June 30, 2024. Post-Effective Amendment No. 6 was filed by the Company on December 9, 2024 to include our unaudited condensed consolidated financial statements as of and for the three and nine months ended September 30, 2024. Post-Effective Amendment No. 7 was filed to include our audited consolidated financial statements as of and for the year ended December 31, 2024. This Post-Effective Amendment No. 8 (“Post-Effective Amendment No. 8”) is being filed by the registrant to convert the registration statement on Form S-1 into a registration statement on Form S-3.</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March 13, 2025, WM Technology, Inc. filed its Annual Report on Form 10-K for fiscal year ended December 31, 2024 (the “Annual Report on Form 10-K”). Interested parties should refer to such Annual Report on Form 10-K for more information.</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form of prospectus included in this Post-Effective Amendment No.8 may be used in one or more offerings by one or more selling stockholders identified in the prospectus contained herein with one or more of the underwriters named therein and with different types and amounts of securities offered.</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filing amends the Registration Statement and the prospectus contained therein. No additional securities are being registered under this Post-Effective Amendment No. 8.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0" w:right="439"/>
        <w:spacing w:after="0" w:line="246"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PRELIMINARY PROSPECTUS SUBJECT TO COMPLETION-DATED AUGUST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182880</wp:posOffset>
            </wp:positionV>
            <wp:extent cx="1714500"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 to 1,938,798 Shares of Class A Common Stock</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99" w:lineRule="exact"/>
        <w:rPr>
          <w:sz w:val="20"/>
          <w:szCs w:val="20"/>
          <w:color w:val="auto"/>
        </w:rPr>
      </w:pPr>
    </w:p>
    <w:p>
      <w:pPr>
        <w:jc w:val="both"/>
        <w:ind w:left="400" w:right="419" w:firstLine="36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up to 1,938,798 shares of our Class A Common Stock, par value $0.0001 per share (“Class A Common Stock”), consisting of (i) 1,244,258 shares of Class A Common Stock issued pursuant to that certain Asset Purchase Agreement, dated September 3, 2021 (the “Asset Purchase Agreement”), by and among MembersRSVP, LLC d/b/a Sprout (“Sprout”), Text Ripple, Inc. (“Text Ripple”), the Company, WM Loyalty, LLC, certain equityholders of Sprout and Text Ripple and Jaret Christopher, as sellers’ representative and (ii) 694,540 shares of Class A Common Stock issued pursuant to that certain Equity Interest Purchase Agreement, dated September 28, 2021 (the “Equity Interest Purchase Agreement” and together with the Asset Purchase Agreement, the “Purchase Agreements”), by and among Ghost Management Group, LLC, Transport Logistics Holding Company, LLC d/b/a Merry Go Jane (“TLHC”), certain securityholders of TLHC and Justin Morris, as sellers’ representative. We will not receive any proceeds from the sale of the shares of Class A Common Stock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88" w:lineRule="exact"/>
        <w:rPr>
          <w:sz w:val="20"/>
          <w:szCs w:val="20"/>
          <w:color w:val="auto"/>
        </w:rPr>
      </w:pPr>
    </w:p>
    <w:p>
      <w:pPr>
        <w:jc w:val="both"/>
        <w:ind w:left="400" w:right="419" w:firstLine="360"/>
        <w:spacing w:after="0" w:line="255" w:lineRule="auto"/>
        <w:rPr>
          <w:sz w:val="20"/>
          <w:szCs w:val="20"/>
          <w:color w:val="auto"/>
        </w:rPr>
      </w:pPr>
      <w:r>
        <w:rPr>
          <w:rFonts w:ascii="Times New Roman" w:cs="Times New Roman" w:eastAsia="Times New Roman" w:hAnsi="Times New Roman"/>
          <w:sz w:val="18"/>
          <w:szCs w:val="18"/>
          <w:color w:val="auto"/>
        </w:rPr>
        <w:t>Our registration of the shares of Class A Common Stock covered by this prospectus does not mean that the Selling Securityholders will offer or sell any of the shares of Class A Common Stock. The Selling Securityholders may offer, sell or distribute all or a portion of their shares of Class A Common Stock publicly or through private transactions at prevailing market prices or at negotiated prices. We will not receive any proceeds from the sale of shares of Class A Common Stock by the Selling Securityholders pursuant to this prospectus. We provide more information about how the Selling Securityholders may sell the shares of Class A Common Stock in the section entitled “Plan of Distribution.”</w:t>
      </w:r>
    </w:p>
    <w:p>
      <w:pPr>
        <w:spacing w:after="0" w:line="81" w:lineRule="exact"/>
        <w:rPr>
          <w:sz w:val="20"/>
          <w:szCs w:val="20"/>
          <w:color w:val="auto"/>
        </w:rPr>
      </w:pPr>
    </w:p>
    <w:p>
      <w:pPr>
        <w:jc w:val="both"/>
        <w:ind w:left="400" w:right="41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(“Nasdaq”) under the symbol “MAPS.” On August 19, 2025 the closing price of our Class A Common Stock was $1.05.</w:t>
      </w:r>
    </w:p>
    <w:p>
      <w:pPr>
        <w:spacing w:after="0" w:line="54"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of this prospectus, and under similar headings in any amendments or supplements to this prospectus and the documents incorporated herein by reference, to read about factors you should consider before buying our securities.</w:t>
      </w:r>
    </w:p>
    <w:p>
      <w:pPr>
        <w:spacing w:after="0" w:line="68"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28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7"/>
                <w:szCs w:val="17"/>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8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6040" w:type="dxa"/>
            <w:vAlign w:val="bottom"/>
            <w:tcBorders>
              <w:bottom w:val="single" w:sz="8" w:color="CCEEFF"/>
            </w:tcBorders>
            <w:gridSpan w:val="8"/>
            <w:shd w:val="clear" w:color="auto" w:fill="CCEEFF"/>
          </w:tcPr>
          <w:p>
            <w:pPr>
              <w:spacing w:after="0"/>
              <w:rPr>
                <w:sz w:val="19"/>
                <w:szCs w:val="19"/>
                <w:color w:val="auto"/>
              </w:rPr>
            </w:pPr>
          </w:p>
        </w:tc>
        <w:tc>
          <w:tcPr>
            <w:tcW w:w="18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50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5620" w:type="dxa"/>
            <w:vAlign w:val="bottom"/>
            <w:tcBorders>
              <w:bottom w:val="single" w:sz="8" w:color="CCEEFF"/>
            </w:tcBorders>
            <w:gridSpan w:val="6"/>
            <w:shd w:val="clear" w:color="auto" w:fill="CCEEFF"/>
          </w:tcPr>
          <w:p>
            <w:pPr>
              <w:spacing w:after="0"/>
              <w:rPr>
                <w:sz w:val="19"/>
                <w:szCs w:val="19"/>
                <w:color w:val="auto"/>
              </w:rPr>
            </w:pPr>
          </w:p>
        </w:tc>
        <w:tc>
          <w:tcPr>
            <w:tcW w:w="18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10</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2360" w:type="dxa"/>
            <w:vAlign w:val="bottom"/>
            <w:gridSpan w:val="2"/>
          </w:tcPr>
          <w:p>
            <w:pPr>
              <w:spacing w:after="0"/>
              <w:rPr>
                <w:sz w:val="16"/>
                <w:szCs w:val="16"/>
                <w:color w:val="auto"/>
              </w:rPr>
            </w:pP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80" w:type="dxa"/>
            <w:vAlign w:val="bottom"/>
            <w:gridSpan w:val="11"/>
          </w:tcPr>
          <w:p>
            <w:pPr>
              <w:spacing w:after="0"/>
              <w:rPr>
                <w:sz w:val="16"/>
                <w:szCs w:val="16"/>
                <w:color w:val="auto"/>
              </w:rPr>
            </w:pP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w w:val="96"/>
              </w:rPr>
              <w:t>II-1</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SIGNATURES</w:t>
            </w:r>
          </w:p>
        </w:tc>
        <w:tc>
          <w:tcPr>
            <w:tcW w:w="3540" w:type="dxa"/>
            <w:vAlign w:val="bottom"/>
            <w:gridSpan w:val="10"/>
          </w:tcPr>
          <w:p>
            <w:pPr>
              <w:spacing w:after="0"/>
              <w:rPr>
                <w:sz w:val="16"/>
                <w:szCs w:val="16"/>
                <w:color w:val="auto"/>
              </w:rPr>
            </w:pPr>
          </w:p>
        </w:tc>
        <w:tc>
          <w:tcPr>
            <w:tcW w:w="3480" w:type="dxa"/>
            <w:vAlign w:val="bottom"/>
            <w:gridSpan w:val="4"/>
          </w:tcPr>
          <w:p>
            <w:pPr>
              <w:spacing w:after="0"/>
              <w:rPr>
                <w:sz w:val="16"/>
                <w:szCs w:val="16"/>
                <w:color w:val="auto"/>
              </w:rPr>
            </w:pPr>
          </w:p>
        </w:tc>
        <w:tc>
          <w:tcPr>
            <w:tcW w:w="3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EE"/>
                <w:w w:val="96"/>
              </w:rPr>
              <w:t>II-5</w:t>
            </w: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Information by Reference.”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Acquisition Corp., our predecessor company, consummated the Business Combination (as defined below),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for pre-Business Combination (as defined below) periods, “Legacy WMH” and when referred to for post-Business Combination periods, “WMH LLC”),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prospectus, the documents incorporated by reference herein and any prospectus supplement delivered with 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Market LLC;</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and hemp industries;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the documents incorporated by reference herein and any accompanying prospectus supplement.</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the documents incorporated by reference herein and any prospectus supplement,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24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73247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included elsewhere in this prospectus and other information incorporated by reference from our filings with the SEC before making an investment decision.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solutions software offering. The Weedmaps marketplace is a premier destination for cannabis consumers to discover and browse information regarding cannabis and cannabis products with 5,241 average monthly paying clients during the three months ended June 30, 2025 on the supply-side of our marketplace. These paying clients include retailers, brands and other client types (such as doctors). Further, these clients, who can choose to purchase multiple listings solutions for each business, had purchased approximately 8,600 listing pages as of June 30, 2025.</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On September 3, 2021, we entered into the Asset Purchase Agreement with Sprout, Text Ripple, WM Loyalty, LLC, certain equityholders of Sprout and Text Ripple, and Jaret Christopher, as sellers’ representative. We issued 1,244,258 shares of Class A Common Stock pursuant to the Asset Purchase Agreement , and we are required under the Asset Purchase Agreement to register such shares for resale under the Securities Act.</w:t>
      </w:r>
    </w:p>
    <w:p>
      <w:pPr>
        <w:spacing w:after="0" w:line="72"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On September 28, 2021, Ghost Management Group, LLC, a subsidiary of the Company, entered into the Equity Interest Purchase Agreement with TLHC, certain securityholders of TLHC, and Justin Morris, as sellers’ representative. We issued 694,540 shares of Class A Common Stock pursuant to the Equity Interest Purchase Agreement.</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858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285877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WM Technology, Inc.</w:t>
      </w:r>
    </w:p>
    <w:p>
      <w:pPr>
        <w:spacing w:after="0" w:line="125"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Shares of Class A Common Stock Offered by the</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1,938,798 shares of Class A Common Stock.</w:t>
      </w:r>
    </w:p>
    <w:p>
      <w:pPr>
        <w:spacing w:after="0" w:line="164" w:lineRule="exact"/>
        <w:rPr>
          <w:sz w:val="20"/>
          <w:szCs w:val="20"/>
          <w:color w:val="auto"/>
        </w:rPr>
      </w:pPr>
    </w:p>
    <w:p>
      <w:pPr>
        <w:sectPr>
          <w:pgSz w:w="11900" w:h="16838" w:orient="portrait"/>
          <w:cols w:equalWidth="0" w:num="2">
            <w:col w:w="4040" w:space="60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Class A Common Stock by the Selling Securityholders.</w:t>
      </w:r>
    </w:p>
    <w:p>
      <w:pPr>
        <w:spacing w:after="0" w:line="91"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Market for Class A Common Stock</w:t>
      </w:r>
    </w:p>
    <w:p>
      <w:pPr>
        <w:spacing w:after="0" w:line="20" w:lineRule="exact"/>
        <w:rPr>
          <w:sz w:val="20"/>
          <w:szCs w:val="20"/>
          <w:color w:val="auto"/>
        </w:rPr>
      </w:pPr>
      <w:r>
        <w:rPr>
          <w:sz w:val="20"/>
          <w:szCs w:val="20"/>
          <w:color w:val="auto"/>
        </w:rPr>
        <w:br w:type="column"/>
      </w:r>
    </w:p>
    <w:p>
      <w:pPr>
        <w:ind w:right="279"/>
        <w:spacing w:after="0" w:line="282" w:lineRule="auto"/>
        <w:rPr>
          <w:sz w:val="20"/>
          <w:szCs w:val="20"/>
          <w:color w:val="auto"/>
        </w:rPr>
      </w:pPr>
      <w:r>
        <w:rPr>
          <w:rFonts w:ascii="Times New Roman" w:cs="Times New Roman" w:eastAsia="Times New Roman" w:hAnsi="Times New Roman"/>
          <w:sz w:val="18"/>
          <w:szCs w:val="18"/>
          <w:color w:val="auto"/>
        </w:rPr>
        <w:t>Our Class A Common Stock is currently traded on Nasdaq under the symbol “MAPS.”</w:t>
      </w:r>
    </w:p>
    <w:p>
      <w:pPr>
        <w:spacing w:after="0" w:line="90"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jc w:val="both"/>
        <w:ind w:right="279"/>
        <w:spacing w:after="0" w:line="257" w:lineRule="auto"/>
        <w:rPr>
          <w:sz w:val="20"/>
          <w:szCs w:val="20"/>
          <w:color w:val="auto"/>
        </w:rPr>
      </w:pPr>
      <w:r>
        <w:rPr>
          <w:rFonts w:ascii="Times New Roman" w:cs="Times New Roman" w:eastAsia="Times New Roman" w:hAnsi="Times New Roman"/>
          <w:sz w:val="18"/>
          <w:szCs w:val="18"/>
          <w:color w:val="auto"/>
        </w:rPr>
        <w:t>See the section entitled “Risk Factors,” other information included in this prospectus, and under similar headings in any amendments or supplements to</w:t>
      </w:r>
    </w:p>
    <w:p>
      <w:pPr>
        <w:spacing w:after="0" w:line="1"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18"/>
          <w:szCs w:val="18"/>
          <w:color w:val="auto"/>
        </w:rPr>
        <w:t>this prospectus and the documents incorporated herein</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by reference, for a discussion of factors you should</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consider before investing in our securities.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of the Class A Common Stock offered by the Selling Securityholders pursuant to this prospectus will be sold by the Selling Securityholders for their respective accounts. We will not receive any of the proceeds from these sales.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Securityholders acquired 1,938,798 shares of Class A Common Stock (the “Shares”), consisting of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  1,244,258  shares  of  Class A  Common  Stock  issued  pursuant  to  the  Asset  Purchase  Agreement  and</w:t>
      </w:r>
    </w:p>
    <w:p>
      <w:pPr>
        <w:spacing w:after="0" w:line="9" w:lineRule="exact"/>
        <w:rPr>
          <w:sz w:val="20"/>
          <w:szCs w:val="20"/>
          <w:color w:val="auto"/>
        </w:rPr>
      </w:pPr>
    </w:p>
    <w:p>
      <w:pPr>
        <w:jc w:val="both"/>
        <w:ind w:left="300" w:right="299" w:hanging="8"/>
        <w:spacing w:after="0" w:line="253" w:lineRule="auto"/>
        <w:tabs>
          <w:tab w:leader="none" w:pos="5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694,540 shares of Class A Common Stock issued pursuant to the Equity Interest Purchase Agreement. We agreed to file a registration statement with the SEC for the purposes of registering for resale such shares of Class A Common Stock. The shares of Class A Common Stock were issued to the Selling Securityholders in reliance on the exemption from registration in Section 4(a)(2) under the Securities Act.</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to be offered by the Selling Securityholders are “restricted” securities under applicable federal and state securities laws and are being registered under the Securities Act to give the Selling Securityholders the opportunity to sell these shares publicly. The registration of the Shares does not require that any of the shares be offered or sold by the Selling Securityholders. Subject to these resale restrictions, the Selling Securityholders may from time to time offer and sell all or a portion of their shares indicated below in privately negotiated transactions or on the Nasdaq Global Select Market or any other market on which our common stock may subsequently be listed.</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“Plan of Distribution”. The Selling Securityholders and any agents or broker-dealers that participate with the Selling Securityholders in the distribution of 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8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No estimate can be given as to the amount or percentage of Class A Common Stock that will be held by the Selling Securityholders after any sales made pursuant to this prospectus because the Selling Securityholders are not required to sell any of the Shares being registered under this prospectus. The following table assumes that the Selling Securityholders will sell all of the Shares listed in this prospectus.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footnotes below, no Selling Stockholder has had any material relationship with us or any of our affiliates within the past three years other than as a security holder.</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November 24, 2021 regarding the beneficial ownership of our Class A Common Stock by the Selling Securityholders and the shares of Class A Common Stock being offered by the Selling Securityholders (“Registrable Securities”). The applicable percentage ownership of Class A Common Stock is based on 88,836,328 shares of our Class A Common Stock issued and outstanding as of June 30, 2022.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owned beneficially after the offering assumes the sale of all of the Shares offered and no other purchases or sales of our Class A Common Stock. The Selling Securityholders may offer and sell some, all or none of their shares of Class A Common Stock, as applicable.</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tbl>
      <w:tblPr>
        <w:tblLayout w:type="fixed"/>
        <w:tblInd w:w="300" w:type="dxa"/>
        <w:tblCellMar>
          <w:top w:w="0" w:type="dxa"/>
          <w:left w:w="0" w:type="dxa"/>
          <w:bottom w:w="0" w:type="dxa"/>
          <w:right w:w="0" w:type="dxa"/>
        </w:tblCellMar>
      </w:tblPr>
      <w:tr>
        <w:trPr>
          <w:trHeight w:val="161"/>
        </w:trPr>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74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Being</w:t>
            </w:r>
          </w:p>
        </w:tc>
        <w:tc>
          <w:tcPr>
            <w:tcW w:w="10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7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line="20" w:lineRule="exact"/>
              <w:rPr>
                <w:sz w:val="1"/>
                <w:szCs w:val="1"/>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488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Andrew &amp; Ellen Astrove</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Ashwin Surajbali</w:t>
            </w:r>
            <w:r>
              <w:rPr>
                <w:rFonts w:ascii="Times New Roman" w:cs="Times New Roman" w:eastAsia="Times New Roman" w:hAnsi="Times New Roman"/>
                <w:sz w:val="28"/>
                <w:szCs w:val="28"/>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Bradley Nathan Albert</w:t>
            </w:r>
            <w:r>
              <w:rPr>
                <w:rFonts w:ascii="Times New Roman" w:cs="Times New Roman" w:eastAsia="Times New Roman" w:hAnsi="Times New Roman"/>
                <w:sz w:val="28"/>
                <w:szCs w:val="28"/>
                <w:color w:val="auto"/>
                <w:vertAlign w:val="superscript"/>
              </w:rPr>
              <w:t>(3)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Diane Roskind</w:t>
            </w:r>
            <w:r>
              <w:rPr>
                <w:rFonts w:ascii="Times New Roman" w:cs="Times New Roman" w:eastAsia="Times New Roman" w:hAnsi="Times New Roman"/>
                <w:sz w:val="28"/>
                <w:szCs w:val="28"/>
                <w:color w:val="auto"/>
                <w:vertAlign w:val="superscript"/>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DJK Morris Investments, LLC</w:t>
            </w:r>
            <w:r>
              <w:rPr>
                <w:rFonts w:ascii="Times New Roman" w:cs="Times New Roman" w:eastAsia="Times New Roman" w:hAnsi="Times New Roman"/>
                <w:sz w:val="28"/>
                <w:szCs w:val="28"/>
                <w:color w:val="auto"/>
                <w:vertAlign w:val="superscript"/>
              </w:rPr>
              <w:t>(5)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395,760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Farzin Arsanjani</w:t>
            </w:r>
            <w:r>
              <w:rPr>
                <w:rFonts w:ascii="Times New Roman" w:cs="Times New Roman" w:eastAsia="Times New Roman" w:hAnsi="Times New Roman"/>
                <w:sz w:val="28"/>
                <w:szCs w:val="28"/>
                <w:color w:val="auto"/>
                <w:vertAlign w:val="superscript"/>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Ian Cohen</w:t>
            </w:r>
            <w:r>
              <w:rPr>
                <w:rFonts w:ascii="Times New Roman" w:cs="Times New Roman" w:eastAsia="Times New Roman" w:hAnsi="Times New Roman"/>
                <w:sz w:val="28"/>
                <w:szCs w:val="28"/>
                <w:color w:val="auto"/>
                <w:vertAlign w:val="superscript"/>
              </w:rPr>
              <w:t>(7)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Jennifer Goldman-Brisman</w:t>
            </w:r>
            <w:r>
              <w:rPr>
                <w:rFonts w:ascii="Times New Roman" w:cs="Times New Roman" w:eastAsia="Times New Roman" w:hAnsi="Times New Roman"/>
                <w:sz w:val="28"/>
                <w:szCs w:val="28"/>
                <w:color w:val="auto"/>
                <w:vertAlign w:val="superscript"/>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LCP Group, L.P.</w:t>
            </w:r>
            <w:r>
              <w:rPr>
                <w:rFonts w:ascii="Times New Roman" w:cs="Times New Roman" w:eastAsia="Times New Roman" w:hAnsi="Times New Roman"/>
                <w:sz w:val="28"/>
                <w:szCs w:val="28"/>
                <w:color w:val="auto"/>
                <w:vertAlign w:val="superscript"/>
              </w:rPr>
              <w:t>(9)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LeRoy Robinson</w:t>
            </w:r>
            <w:r>
              <w:rPr>
                <w:rFonts w:ascii="Times New Roman" w:cs="Times New Roman" w:eastAsia="Times New Roman" w:hAnsi="Times New Roman"/>
                <w:sz w:val="28"/>
                <w:szCs w:val="28"/>
                <w:color w:val="auto"/>
                <w:vertAlign w:val="superscript"/>
              </w:rPr>
              <w:t>(10)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6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M&amp;S Investment Group, LLC</w:t>
            </w:r>
            <w:r>
              <w:rPr>
                <w:rFonts w:ascii="Times New Roman" w:cs="Times New Roman" w:eastAsia="Times New Roman" w:hAnsi="Times New Roman"/>
                <w:sz w:val="28"/>
                <w:szCs w:val="28"/>
                <w:color w:val="auto"/>
                <w:vertAlign w:val="superscript"/>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MembersRSVP, LLC</w:t>
            </w:r>
            <w:r>
              <w:rPr>
                <w:rFonts w:ascii="Times New Roman" w:cs="Times New Roman" w:eastAsia="Times New Roman" w:hAnsi="Times New Roman"/>
                <w:sz w:val="28"/>
                <w:szCs w:val="28"/>
                <w:color w:val="auto"/>
                <w:vertAlign w:val="superscript"/>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1,244,258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1,244,258</w:t>
            </w:r>
          </w:p>
        </w:tc>
        <w:tc>
          <w:tcPr>
            <w:tcW w:w="10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8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Michael Schlaefer</w:t>
            </w:r>
            <w:r>
              <w:rPr>
                <w:rFonts w:ascii="Times New Roman" w:cs="Times New Roman" w:eastAsia="Times New Roman" w:hAnsi="Times New Roman"/>
                <w:sz w:val="28"/>
                <w:szCs w:val="28"/>
                <w:color w:val="auto"/>
                <w:vertAlign w:val="superscript"/>
              </w:rPr>
              <w:t>(13)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94"/>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Yael Morris</w:t>
            </w:r>
            <w:r>
              <w:rPr>
                <w:rFonts w:ascii="Times New Roman" w:cs="Times New Roman" w:eastAsia="Times New Roman" w:hAnsi="Times New Roman"/>
                <w:sz w:val="29"/>
                <w:szCs w:val="29"/>
                <w:color w:val="auto"/>
                <w:vertAlign w:val="superscript"/>
              </w:rPr>
              <w:t>(14)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6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24"/>
                <w:szCs w:val="24"/>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118110</wp:posOffset>
            </wp:positionV>
            <wp:extent cx="8229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1" w:lineRule="exact"/>
        <w:rPr>
          <w:sz w:val="20"/>
          <w:szCs w:val="20"/>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one percent.</w:t>
      </w:r>
    </w:p>
    <w:p>
      <w:pPr>
        <w:spacing w:after="0" w:line="42" w:lineRule="exact"/>
        <w:rPr>
          <w:sz w:val="20"/>
          <w:szCs w:val="20"/>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Andrew Astrove and Ellen Astrove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Ashwin Surajbali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Bradley Nathan Albert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Diane Roskind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Keith E. Morris is deemed to have power to vote or dispose of the Registrable Securities. Keith E. Morris is our Vice President.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Farzin Arsanjani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Ian Cohen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Jennifer Goldman-Brisman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Robert Roskind, in his capacity as Founder and Chairman of LCP Group, L.P., is deemed to have investment discretion and voting power over the Registrable Securities held by LCP Group, L.P.</w:t>
      </w: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LeRoy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Mehran Aliakbar serves as the managing member of M&amp;S Investment Group, LLC. By virtue of this relationship, Mehran Aliakbar may be deemed to have voting and dispositive power with respect to the Registrable Securities held by M&amp;S Investment Group, LLC.</w:t>
      </w:r>
    </w:p>
    <w:p>
      <w:pPr>
        <w:jc w:val="both"/>
        <w:ind w:left="640" w:right="299" w:hanging="348"/>
        <w:spacing w:after="0" w:line="24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Jaret Christopher serves as the Chief Executive Officer of MembersRSVP, LLC. By virtue of this relationship, Jaret Christopher may be deemed to have voting and dispositive power with respect to the Registrable Securities held by MembersRSVP, LLC. Jaret Christopher is our Vice President and General Manager of Customer Relationship Management.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Schlaefer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Yael Morris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“Certificate of Incorporation”), our amended and restated bylaws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3" w:lineRule="auto"/>
        <w:tabs>
          <w:tab w:leader="none" w:pos="5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August 19, 2025, there were (1) 107,897,133 shares of Class A Common Stock, (2) 49,319,542 shares of Class V Common Stock and no shares of preferred stock outstanding.</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Class P Units or Class A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warrants originally issued in a private placement (the “Private Placement Warrants” and together with the Public Warrants, the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3"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19, 2025, there were 12,499,973 Public Warrants outstanding.</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19, 2025, there were 7,000,000 Private Placement Warrants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90th day nor earlier than the open of business on the 120th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120th day prior to such annual meeting and no later than the close of business on the latter of the 90th day prior to such annual meeting or the 10th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with the number of directors in each class as nearly equal in size as is practicable. The directors in each class will serve for a three-year term, one class being elected each year by our stockholders.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The Class A Common Stock is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5"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treated as a corporation for U.S. federal income tax purposes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currently are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currently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distributions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Holders-Gain on Sale, Exchange or Other Taxable Disposition of Class A Common Stock” below. In addition, if we determine that we are likely to be classified as a “United States real property holding corporation” (see the section entitled “Tax Considerations Applicable to Non-U.S. Holders-Gain on Sale, Exchange or Other Taxable Disposition of Class A Common Stock” below), we will withhold 15% of any distribution that exceeds our current and accumulated earnings and profits.</w:t>
      </w:r>
    </w:p>
    <w:p>
      <w:pPr>
        <w:spacing w:after="0" w:line="83"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(and, if an applicable tax treaty so requires, is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unless: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our Warrants. There can be no assurance that our Class A Common Stock or Warrants will be treated as regularly traded or not regularly traded on an established securities market for this purpose.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as applicable, will be subject to tax at generally applicable U.S. federal income tax rates. In addition, a buyer of our Class A Common Stock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(including constructive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the proceeds from a sale or other disposition of our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or their permitted transferees from time to time of up to 1,938,798 shares of Class A Common Stock. We are required to pay all fees and expenses incident to the registration of the securities to be offered and sold pursuant to this prospectus.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Shares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The aggregate proceeds to the Selling Securityholders will be the purchase price of the securities less any discounts and commissions borne by the Selling Securityholders.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sell their securities by one or more of, or a combination of, the following methods:</w:t>
      </w:r>
    </w:p>
    <w:p>
      <w:pPr>
        <w:spacing w:after="0" w:line="54" w:lineRule="exact"/>
        <w:rPr>
          <w:sz w:val="20"/>
          <w:szCs w:val="20"/>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as of December 31, 2024 and 2023, and for the years then ended, appearing in our Annual Report on Form 10-K for the year ended December 31, 2024, and incorporated by reference herein, and the effectiveness of internal control over financial reporting as of December 31, 2024, have been audited by Baker Tilly US, LLP (formerly, Moss Adams LLP), an independent registered public accounting firm, as stated in their report (which report expresses an unqualified opinion on the consolidated financial statements and an adverse opinion on the effectiveness of internal control over financial reporting due to material weaknesses). Such consolidated financial statements are incorporated by reference in reliance upon the report of such firm given their authority as experts in accounting and auditing.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w:t>
      </w:r>
    </w:p>
    <w:p>
      <w:pPr>
        <w:spacing w:after="0" w:line="81" w:lineRule="exact"/>
        <w:rPr>
          <w:sz w:val="20"/>
          <w:szCs w:val="20"/>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auto"/>
          </w:rPr>
          <w:t xml:space="preserve">our Annual Report on Form 10-K for the year ended December 31, 2024, filed with the SEC on </w:t>
        </w:r>
        <w:r>
          <w:rPr>
            <w:rFonts w:ascii="Times New Roman" w:cs="Times New Roman" w:eastAsia="Times New Roman" w:hAnsi="Times New Roman"/>
            <w:sz w:val="18"/>
            <w:szCs w:val="18"/>
            <w:u w:val="single" w:color="auto"/>
            <w:color w:val="0000EE"/>
          </w:rPr>
          <w:t>March 13,</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Definitive Proxy Statement on Form DEF 14A for the year ended December 31, 2024, filed on </w:t>
      </w:r>
      <w:hyperlink r:id="rId50">
        <w:r>
          <w:rPr>
            <w:rFonts w:ascii="Times New Roman" w:cs="Times New Roman" w:eastAsia="Times New Roman" w:hAnsi="Times New Roman"/>
            <w:sz w:val="18"/>
            <w:szCs w:val="18"/>
            <w:u w:val="single" w:color="auto"/>
            <w:color w:val="0000EE"/>
          </w:rPr>
          <w:t>April 29,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auto"/>
          </w:rPr>
          <w:t xml:space="preserve">our Quarterly Reports on Form 10-Q for the quarter ended March 31, 2025, filed with the SEC on </w:t>
        </w:r>
        <w:r>
          <w:rPr>
            <w:rFonts w:ascii="Times New Roman" w:cs="Times New Roman" w:eastAsia="Times New Roman" w:hAnsi="Times New Roman"/>
            <w:sz w:val="18"/>
            <w:szCs w:val="18"/>
            <w:u w:val="single" w:color="auto"/>
            <w:color w:val="0000EE"/>
          </w:rPr>
          <w:t>May 8,</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 for the quarter ended June 30, 2025, filed with the SEC on</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August 7, 2025</w:t>
        </w:r>
      </w:hyperlink>
      <w:hyperlink r:id="rId51">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29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3">
        <w:r>
          <w:rPr>
            <w:rFonts w:ascii="Times New Roman" w:cs="Times New Roman" w:eastAsia="Times New Roman" w:hAnsi="Times New Roman"/>
            <w:sz w:val="18"/>
            <w:szCs w:val="18"/>
            <w:u w:val="single" w:color="auto"/>
            <w:color w:val="0000EE"/>
          </w:rPr>
          <w:t>June 9, 2025</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June 27,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5">
        <w:r>
          <w:rPr>
            <w:rFonts w:ascii="Times New Roman" w:cs="Times New Roman" w:eastAsia="Times New Roman" w:hAnsi="Times New Roman"/>
            <w:sz w:val="18"/>
            <w:szCs w:val="18"/>
            <w:u w:val="single" w:color="auto"/>
            <w:color w:val="0000EE"/>
          </w:rPr>
          <w:t>August 19, 2025</w:t>
        </w:r>
      </w:hyperlink>
      <w:r>
        <w:rPr>
          <w:rFonts w:ascii="Times New Roman" w:cs="Times New Roman" w:eastAsia="Times New Roman" w:hAnsi="Times New Roman"/>
          <w:sz w:val="18"/>
          <w:szCs w:val="18"/>
          <w:color w:val="auto"/>
        </w:rPr>
        <w:t xml:space="preserve"> to the extent for the information in such reports is filed and not furnished;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securities contained in </w:t>
      </w:r>
      <w:hyperlink r:id="rId56">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2024 filed with the SEC on March 13, 2025, and any amendment or report filed with the SEC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documents we subsequently file pursuant to Section 13(a), 13(c), 14 or 15(d) of the Exchange Act, prior to the termination of this offering, including all such documents we may file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75"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1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7" w:lineRule="exact"/>
        <w:rPr>
          <w:rFonts w:ascii="Times New Roman" w:cs="Times New Roman" w:eastAsia="Times New Roman" w:hAnsi="Times New Roman"/>
          <w:sz w:val="18"/>
          <w:szCs w:val="18"/>
          <w:color w:val="auto"/>
        </w:rPr>
      </w:pPr>
    </w:p>
    <w:p>
      <w:pPr>
        <w:ind w:left="4240" w:hanging="218"/>
        <w:spacing w:after="0"/>
        <w:tabs>
          <w:tab w:leader="none" w:pos="4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9" w:lineRule="exact"/>
        <w:rPr>
          <w:rFonts w:ascii="Times New Roman" w:cs="Times New Roman" w:eastAsia="Times New Roman" w:hAnsi="Times New Roman"/>
          <w:sz w:val="18"/>
          <w:szCs w:val="18"/>
          <w:color w:val="auto"/>
        </w:rPr>
      </w:pPr>
    </w:p>
    <w:p>
      <w:pPr>
        <w:ind w:left="3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ind w:left="3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(844) 933-3627</w:t>
      </w:r>
    </w:p>
    <w:p>
      <w:pPr>
        <w:spacing w:after="0" w:line="20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tab/>
        <w:t>Other expenses of issuance and distribution.</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1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$1,268+</w:t>
            </w:r>
          </w:p>
        </w:tc>
      </w:tr>
      <w:tr>
        <w:trPr>
          <w:trHeight w:val="23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2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the registration statement.</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tab/>
        <w:t>Indemnification of Directors and Officers.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8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3"/>
                <w:szCs w:val="13"/>
                <w:color w:val="auto"/>
              </w:rPr>
            </w:pPr>
          </w:p>
        </w:tc>
        <w:tc>
          <w:tcPr>
            <w:tcW w:w="394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tcPr>
          <w:p>
            <w:pPr>
              <w:spacing w:after="0"/>
              <w:rPr>
                <w:sz w:val="13"/>
                <w:szCs w:val="13"/>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5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tcPr>
          <w:p>
            <w:pPr>
              <w:spacing w:after="0"/>
              <w:rPr>
                <w:sz w:val="16"/>
                <w:szCs w:val="16"/>
                <w:color w:val="auto"/>
              </w:rPr>
            </w:pPr>
          </w:p>
        </w:tc>
        <w:tc>
          <w:tcPr>
            <w:tcW w:w="3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Agreement and Plan of Merger, dated December 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shd w:val="clear" w:color="auto" w:fill="CCEEFF"/>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shd w:val="clear" w:color="auto" w:fill="CCEEFF"/>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10, 2020</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by and among Silver Spike, Merger Sub,</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WMH, and the Holder Representative named therein</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Certificate of Incorporation of the Company</w:t>
            </w:r>
          </w:p>
        </w:tc>
        <w:tc>
          <w:tcPr>
            <w:tcW w:w="100" w:type="dxa"/>
            <w:vAlign w:val="bottom"/>
          </w:tcPr>
          <w:p>
            <w:pPr>
              <w:spacing w:after="0"/>
              <w:rPr>
                <w:sz w:val="16"/>
                <w:szCs w:val="16"/>
                <w:color w:val="auto"/>
              </w:rPr>
            </w:pPr>
          </w:p>
        </w:tc>
        <w:tc>
          <w:tcPr>
            <w:tcW w:w="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June 22, 2021</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Borders>
              <w:bottom w:val="single" w:sz="8" w:color="0000EE"/>
            </w:tcBorders>
            <w:shd w:val="clear" w:color="auto" w:fill="CCEEFF"/>
          </w:tcPr>
          <w:p>
            <w:pPr>
              <w:spacing w:after="0" w:line="189" w:lineRule="exact"/>
              <w:rPr>
                <w:rFonts w:ascii="Times New Roman" w:cs="Times New Roman" w:eastAsia="Times New Roman" w:hAnsi="Times New Roman"/>
                <w:sz w:val="18"/>
                <w:szCs w:val="18"/>
                <w:color w:val="0000EE"/>
                <w:w w:val="88"/>
              </w:rPr>
            </w:pPr>
            <w:hyperlink r:id="rId62">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w:t>
              </w:r>
            </w:hyperlink>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Company</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Borders>
              <w:bottom w:val="single" w:sz="8" w:color="CCEEFF"/>
            </w:tcBorders>
            <w:gridSpan w:val="2"/>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tcBorders>
              <w:bottom w:val="single" w:sz="8" w:color="CCEEFF"/>
            </w:tcBorders>
            <w:gridSpan w:val="2"/>
            <w:shd w:val="clear" w:color="auto" w:fill="CCEEFF"/>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June 22, 2021</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Form of Common Stock Certificate of the Company</w:t>
            </w:r>
          </w:p>
        </w:tc>
        <w:tc>
          <w:tcPr>
            <w:tcW w:w="100" w:type="dxa"/>
            <w:vAlign w:val="bottom"/>
          </w:tcPr>
          <w:p>
            <w:pPr>
              <w:spacing w:after="0"/>
              <w:rPr>
                <w:sz w:val="16"/>
                <w:szCs w:val="16"/>
                <w:color w:val="auto"/>
              </w:rPr>
            </w:pPr>
          </w:p>
        </w:tc>
        <w:tc>
          <w:tcPr>
            <w:tcW w:w="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June 22, 2021</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Borders>
              <w:bottom w:val="single" w:sz="8" w:color="0000EE"/>
            </w:tcBorders>
            <w:shd w:val="clear" w:color="auto" w:fill="CCEEFF"/>
          </w:tcPr>
          <w:p>
            <w:pPr>
              <w:spacing w:after="0" w:line="189" w:lineRule="exact"/>
              <w:rPr>
                <w:rFonts w:ascii="Times New Roman" w:cs="Times New Roman" w:eastAsia="Times New Roman" w:hAnsi="Times New Roman"/>
                <w:sz w:val="18"/>
                <w:szCs w:val="18"/>
                <w:color w:val="0000EE"/>
                <w:w w:val="88"/>
              </w:rPr>
            </w:pPr>
            <w:hyperlink r:id="rId6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hyperlink>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of Warrant Certificate of the Company</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Borders>
              <w:bottom w:val="single" w:sz="8" w:color="CCEEFF"/>
            </w:tcBorders>
            <w:gridSpan w:val="2"/>
            <w:shd w:val="clear" w:color="auto" w:fill="CCEEFF"/>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tcBorders>
              <w:bottom w:val="single" w:sz="8" w:color="CCEEFF"/>
            </w:tcBorders>
            <w:gridSpan w:val="2"/>
            <w:shd w:val="clear" w:color="auto" w:fill="CCEEFF"/>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June 22, 2021</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Warrant Agreement, dated as of August 7, 2019, by</w:t>
            </w:r>
          </w:p>
        </w:tc>
        <w:tc>
          <w:tcPr>
            <w:tcW w:w="100" w:type="dxa"/>
            <w:vAlign w:val="bottom"/>
          </w:tcPr>
          <w:p>
            <w:pPr>
              <w:spacing w:after="0"/>
              <w:rPr>
                <w:sz w:val="16"/>
                <w:szCs w:val="16"/>
                <w:color w:val="auto"/>
              </w:rPr>
            </w:pPr>
          </w:p>
        </w:tc>
        <w:tc>
          <w:tcPr>
            <w:tcW w:w="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August 12, 2019</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and between the Company and Continental Stock</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Transfer &amp; Trust Company, as warrant agent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0000EE"/>
            </w:tcBorders>
            <w:shd w:val="clear" w:color="auto" w:fill="CCEEFF"/>
          </w:tcPr>
          <w:p>
            <w:pPr>
              <w:spacing w:after="0" w:line="195" w:lineRule="exact"/>
              <w:rPr>
                <w:rFonts w:ascii="Times New Roman" w:cs="Times New Roman" w:eastAsia="Times New Roman" w:hAnsi="Times New Roman"/>
                <w:sz w:val="18"/>
                <w:szCs w:val="18"/>
                <w:color w:val="0000EE"/>
                <w:w w:val="88"/>
              </w:rPr>
            </w:pPr>
            <w:hyperlink r:id="rId56">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5</w:t>
              </w:r>
            </w:hyperlink>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Description of Securities</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Borders>
              <w:bottom w:val="single" w:sz="8" w:color="CCEEFF"/>
            </w:tcBorders>
            <w:gridSpan w:val="2"/>
            <w:shd w:val="clear" w:color="auto" w:fill="CCEEFF"/>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tcBorders>
              <w:bottom w:val="single" w:sz="8" w:color="CCEEFF"/>
            </w:tcBorders>
            <w:gridSpan w:val="2"/>
            <w:shd w:val="clear" w:color="auto" w:fill="CCEEFF"/>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February 25, 2022</w:t>
            </w:r>
          </w:p>
        </w:tc>
        <w:tc>
          <w:tcPr>
            <w:tcW w:w="0" w:type="dxa"/>
            <w:vAlign w:val="bottom"/>
          </w:tcPr>
          <w:p>
            <w:pPr>
              <w:spacing w:after="0"/>
              <w:rPr>
                <w:sz w:val="1"/>
                <w:szCs w:val="1"/>
                <w:color w:val="auto"/>
              </w:rPr>
            </w:pPr>
          </w:p>
        </w:tc>
      </w:tr>
      <w:tr>
        <w:trPr>
          <w:trHeight w:val="189"/>
        </w:trPr>
        <w:tc>
          <w:tcPr>
            <w:tcW w:w="320" w:type="dxa"/>
            <w:vAlign w:val="bottom"/>
            <w:gridSpan w:val="3"/>
          </w:tcPr>
          <w:p>
            <w:pPr>
              <w:spacing w:after="0" w:line="189" w:lineRule="exact"/>
              <w:rPr>
                <w:rFonts w:ascii="Times New Roman" w:cs="Times New Roman" w:eastAsia="Times New Roman" w:hAnsi="Times New Roman"/>
                <w:sz w:val="18"/>
                <w:szCs w:val="18"/>
                <w:color w:val="0000EE"/>
                <w:w w:val="95"/>
              </w:rPr>
            </w:pPr>
            <w:hyperlink r:id="rId66">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Opinion of Cooley LLP</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Consent of Baker Tilly US, LLP (formerly Moss</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Adams, LLP)</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00" w:type="dxa"/>
            <w:vAlign w:val="bottom"/>
            <w:gridSpan w:val="5"/>
          </w:tcPr>
          <w:p>
            <w:pPr>
              <w:spacing w:after="0" w:line="189"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gridSpan w:val="3"/>
            <w:shd w:val="clear" w:color="auto" w:fill="CCEEFF"/>
          </w:tcPr>
          <w:p>
            <w:pPr>
              <w:spacing w:after="0" w:line="189" w:lineRule="exact"/>
              <w:rPr>
                <w:rFonts w:ascii="Times New Roman" w:cs="Times New Roman" w:eastAsia="Times New Roman" w:hAnsi="Times New Roman"/>
                <w:sz w:val="18"/>
                <w:szCs w:val="18"/>
                <w:color w:val="0000EE"/>
                <w:w w:val="95"/>
              </w:rPr>
            </w:pPr>
            <w:hyperlink r:id="rId67">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hyperlink>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Power of Attorney (included on signature page of</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 on Form S-1 filed on July 8,</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880" w:right="4319" w:hanging="588"/>
        <w:spacing w:after="0" w:line="269"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tbl>
      <w:tblPr>
        <w:tblLayout w:type="fixed"/>
        <w:tblInd w:w="300" w:type="dxa"/>
        <w:tblCellMar>
          <w:top w:w="0" w:type="dxa"/>
          <w:left w:w="0" w:type="dxa"/>
          <w:bottom w:w="0" w:type="dxa"/>
          <w:right w:w="0" w:type="dxa"/>
        </w:tblCellMar>
      </w:tblPr>
      <w:tr>
        <w:trPr>
          <w:trHeight w:val="184"/>
        </w:trPr>
        <w:tc>
          <w:tcPr>
            <w:tcW w:w="500" w:type="dxa"/>
            <w:vAlign w:val="bottom"/>
            <w:gridSpan w:val="2"/>
            <w:shd w:val="clear" w:color="auto" w:fill="CCEEFF"/>
          </w:tcPr>
          <w:p>
            <w:pPr>
              <w:jc w:val="right"/>
              <w:ind w:right="240"/>
              <w:spacing w:after="0" w:line="184" w:lineRule="exact"/>
              <w:rPr>
                <w:rFonts w:ascii="Times New Roman" w:cs="Times New Roman" w:eastAsia="Times New Roman" w:hAnsi="Times New Roman"/>
                <w:sz w:val="18"/>
                <w:szCs w:val="18"/>
                <w:color w:val="0000EE"/>
                <w:w w:val="88"/>
              </w:rPr>
            </w:pPr>
            <w:hyperlink r:id="rId68">
              <w:r>
                <w:rPr>
                  <w:rFonts w:ascii="Times New Roman" w:cs="Times New Roman" w:eastAsia="Times New Roman" w:hAnsi="Times New Roman"/>
                  <w:sz w:val="18"/>
                  <w:szCs w:val="18"/>
                  <w:color w:val="0000EE"/>
                  <w:w w:val="88"/>
                </w:rPr>
                <w:t>107</w:t>
              </w:r>
            </w:hyperlink>
          </w:p>
        </w:tc>
        <w:tc>
          <w:tcPr>
            <w:tcW w:w="274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Filing Fee Table</w:t>
            </w:r>
          </w:p>
        </w:tc>
        <w:tc>
          <w:tcPr>
            <w:tcW w:w="1880" w:type="dxa"/>
            <w:vAlign w:val="bottom"/>
            <w:shd w:val="clear" w:color="auto" w:fill="CCEEFF"/>
          </w:tcPr>
          <w:p>
            <w:pPr>
              <w:ind w:left="1480"/>
              <w:spacing w:after="0" w:line="184" w:lineRule="exact"/>
              <w:rPr>
                <w:sz w:val="20"/>
                <w:szCs w:val="20"/>
                <w:color w:val="auto"/>
              </w:rPr>
            </w:pPr>
            <w:r>
              <w:rPr>
                <w:rFonts w:ascii="Times New Roman" w:cs="Times New Roman" w:eastAsia="Times New Roman" w:hAnsi="Times New Roman"/>
                <w:sz w:val="18"/>
                <w:szCs w:val="18"/>
                <w:color w:val="auto"/>
              </w:rPr>
              <w:t>S-1</w:t>
            </w:r>
          </w:p>
        </w:tc>
        <w:tc>
          <w:tcPr>
            <w:tcW w:w="1160" w:type="dxa"/>
            <w:vAlign w:val="bottom"/>
            <w:shd w:val="clear" w:color="auto" w:fill="CCEEFF"/>
          </w:tcPr>
          <w:p>
            <w:pPr>
              <w:jc w:val="right"/>
              <w:ind w:right="50"/>
              <w:spacing w:after="0" w:line="184" w:lineRule="exact"/>
              <w:rPr>
                <w:sz w:val="20"/>
                <w:szCs w:val="20"/>
                <w:color w:val="auto"/>
              </w:rPr>
            </w:pPr>
            <w:r>
              <w:rPr>
                <w:rFonts w:ascii="Times New Roman" w:cs="Times New Roman" w:eastAsia="Times New Roman" w:hAnsi="Times New Roman"/>
                <w:sz w:val="18"/>
                <w:szCs w:val="18"/>
                <w:color w:val="auto"/>
              </w:rPr>
              <w:t>333-257774</w:t>
            </w:r>
          </w:p>
        </w:tc>
        <w:tc>
          <w:tcPr>
            <w:tcW w:w="680" w:type="dxa"/>
            <w:vAlign w:val="bottom"/>
            <w:shd w:val="clear" w:color="auto" w:fill="CCEEFF"/>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rPr>
              <w:t>107</w:t>
            </w:r>
          </w:p>
        </w:tc>
        <w:tc>
          <w:tcPr>
            <w:tcW w:w="146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July 8, 2021</w:t>
            </w:r>
          </w:p>
        </w:tc>
      </w:tr>
      <w:tr>
        <w:trPr>
          <w:trHeight w:val="74"/>
        </w:trPr>
        <w:tc>
          <w:tcPr>
            <w:tcW w:w="2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74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schedules and exhibits to this agreement have been omitted pursuant to Item 601(a)(5) of Regulation S-K. A copy of any omitted schedule and/or exhibit will be furnished to the SEC upon request.</w:t>
      </w:r>
    </w:p>
    <w:p>
      <w:pPr>
        <w:spacing w:after="0" w:line="1" w:lineRule="exact"/>
        <w:rPr>
          <w:sz w:val="20"/>
          <w:szCs w:val="20"/>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53" w:lineRule="auto"/>
        <w:tabs>
          <w:tab w:leader="none" w:pos="17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6" w:lineRule="exact"/>
        <w:rPr>
          <w:sz w:val="20"/>
          <w:szCs w:val="20"/>
          <w:color w:val="auto"/>
        </w:rPr>
      </w:pPr>
    </w:p>
    <w:p>
      <w:pPr>
        <w:jc w:val="both"/>
        <w:ind w:left="660" w:right="299"/>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76" w:lineRule="exact"/>
        <w:rPr>
          <w:sz w:val="20"/>
          <w:szCs w:val="20"/>
          <w:color w:val="auto"/>
        </w:rPr>
      </w:pPr>
    </w:p>
    <w:p>
      <w:pPr>
        <w:jc w:val="both"/>
        <w:ind w:left="1360" w:right="319" w:hanging="348"/>
        <w:spacing w:after="0" w:line="261" w:lineRule="auto"/>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720" w:right="299" w:hanging="348"/>
        <w:spacing w:after="0" w:line="252" w:lineRule="auto"/>
        <w:tabs>
          <w:tab w:leader="none" w:pos="17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319" w:hanging="348"/>
        <w:spacing w:after="0" w:line="255" w:lineRule="auto"/>
        <w:tabs>
          <w:tab w:leader="none" w:pos="13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8 to Registration Statement to be signed on its behalf by the undersigned, thereunto duly authorized in the City of Irvine, State of California on August 22, 2025.</w:t>
      </w:r>
    </w:p>
    <w:p>
      <w:pPr>
        <w:spacing w:after="0" w:line="15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26035</wp:posOffset>
            </wp:positionV>
            <wp:extent cx="2743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Douglas Francis</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Douglas Francis and Susan Echard as his or her true and lawful attorneys-in-fact, proxies and agents, each with full power of substitution and resubstitution and full power to act without the other, for him or her in any and all capacities, to sign any and all amendments to this registration statement on Form S-3 or other applicable form and to file the same, with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86"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3680" w:type="dxa"/>
            <w:vAlign w:val="bottom"/>
            <w:tcBorders>
              <w:bottom w:val="single" w:sz="8" w:color="auto"/>
            </w:tcBorders>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21"/>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Douglas Francis</w:t>
            </w: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32"/>
        </w:trPr>
        <w:tc>
          <w:tcPr>
            <w:tcW w:w="11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220" w:type="dxa"/>
            <w:vAlign w:val="bottom"/>
          </w:tcPr>
          <w:p>
            <w:pPr>
              <w:spacing w:after="0"/>
              <w:rPr>
                <w:sz w:val="19"/>
                <w:szCs w:val="19"/>
                <w:color w:val="auto"/>
              </w:rPr>
            </w:pPr>
          </w:p>
        </w:tc>
        <w:tc>
          <w:tcPr>
            <w:tcW w:w="3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Susan Echard</w:t>
            </w: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32"/>
        </w:trPr>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w w:val="97"/>
              </w:rPr>
              <w:t>Susan Echard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w w:val="99"/>
              </w:rPr>
              <w:t>Anthony Bay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234"/>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234"/>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w w:val="99"/>
              </w:rPr>
              <w:t>Scott Gordon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Glen Ibbott</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Francis</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Douglas Francis, Attorney-in-Fact</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9019"/>
          </w:cols>
          <w:pgMar w:left="1440" w:top="263"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22222"/>
        </w:rPr>
        <w:t>We consent to the incorporation by reference in this Post-Effective Amendment No. 8 to Registration Statement on Form S-1 on Form S-3 (No. 333-261466) of WM Technology, Inc. (the “Company”) of our report dated March 13, 2025, relating to the consolidated financial statements of the Company and the effectiveness of internal control over financial reporting of the Company as of December 31, 2024, (which report expresses an unqualified opinion on the consolidated financial statements and an adverse opinion on the effectiveness of internal control over financial reporting due to material weaknesses), appearing in the Annual Report on Form 10-K of the Company for the year ended December 31, 2024, filed with the Securities and Exchange Commission.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/s/ Baker Tilly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(formerly, Moss Adams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41"/>
    </w:lvl>
  </w:abstractNum>
  <w:abstractNum w:abstractNumId="1">
    <w:nsid w:val="1BEFD79F"/>
    <w:multiLevelType w:val="hybridMultilevel"/>
    <w:lvl w:ilvl="0">
      <w:lvlJc w:val="left"/>
      <w:lvlText w:val="%1"/>
      <w:numFmt w:val="decimal"/>
      <w:start w:val="4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lowerRoman"/>
      <w:start w:val="2"/>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lowerRoman"/>
      <w:start w:val="10"/>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4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04"/>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54E49EB4"/>
    <w:multiLevelType w:val="hybridMultilevel"/>
    <w:lvl w:ilvl="0">
      <w:lvlJc w:val="left"/>
      <w:lvlText w:val="(%1)"/>
      <w:numFmt w:val="decimal"/>
      <w:start w:val="2"/>
    </w:lvl>
    <w:lvl w:ilvl="1">
      <w:lvlJc w:val="left"/>
      <w:lvlText w:val="(%2)"/>
      <w:numFmt w:val="lowerRoman"/>
      <w:start w:val="1"/>
    </w:lvl>
  </w:abstractNum>
  <w:abstractNum w:abstractNumId="26">
    <w:nsid w:val="71F32454"/>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7">
    <w:nsid w:val="2CA8861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49" Type="http://schemas.openxmlformats.org/officeDocument/2006/relationships/hyperlink" Target="https://www.sec.gov/ix?doc=/Archives/edgar/data/1779474/000177947425000007/maps-20241231.htm" TargetMode="External"/><Relationship Id="rId50" Type="http://schemas.openxmlformats.org/officeDocument/2006/relationships/hyperlink" Target="https://www.sec.gov/ix?doc=/Archives/edgar/data/1779474/000114036125016331/ny20043216x1_def14a.htm" TargetMode="External"/><Relationship Id="rId51" Type="http://schemas.openxmlformats.org/officeDocument/2006/relationships/hyperlink" Target="https://www.sec.gov/ix?doc=/Archives/edgar/data/1779474/000177947425000018/maps-20250331.htm" TargetMode="External"/><Relationship Id="rId52" Type="http://schemas.openxmlformats.org/officeDocument/2006/relationships/hyperlink" Target="https://www.sec.gov/ix?doc=/Archives/edgar/data/1779474/000177947425000035/maps-20250630.htm" TargetMode="External"/><Relationship Id="rId53" Type="http://schemas.openxmlformats.org/officeDocument/2006/relationships/hyperlink" Target="https://www.sec.gov/ix?doc=/Archives/edgar/data/1779474/000177947425000020/maps-20250603.htm" TargetMode="External"/><Relationship Id="rId54" Type="http://schemas.openxmlformats.org/officeDocument/2006/relationships/hyperlink" Target="https://www.sec.gov/ix?doc=/Archives/edgar/data/1779474/000177947425000030/maps-20250624.htm" TargetMode="External"/><Relationship Id="rId55" Type="http://schemas.openxmlformats.org/officeDocument/2006/relationships/hyperlink" Target="https://www.sec.gov/ix?doc=/Archives/edgar/data/1779474/000177947425000038/maps-20250813.htm" TargetMode="External"/><Relationship Id="rId56" Type="http://schemas.openxmlformats.org/officeDocument/2006/relationships/hyperlink" Target="https://www.sec.gov/Archives/edgar/data/1779474/000177947422000010/exhibit45descriptionofsecu.htm" TargetMode="External"/><Relationship Id="rId60" Type="http://schemas.openxmlformats.org/officeDocument/2006/relationships/hyperlink" Target="https://www.sec.gov/Archives/edgar/data/1779474/000095010320024045/dp142700_ex0201.htm" TargetMode="External"/><Relationship Id="rId61" Type="http://schemas.openxmlformats.org/officeDocument/2006/relationships/hyperlink" Target="https://www.sec.gov/Archives/edgar/data/1779474/000114036121021785/brhc10025756_ex3-1.htm" TargetMode="External"/><Relationship Id="rId62" Type="http://schemas.openxmlformats.org/officeDocument/2006/relationships/hyperlink" Target="https://www.sec.gov/Archives/edgar/data/1779474/000114036121021785/brhc10025756_ex3-2.htm" TargetMode="External"/><Relationship Id="rId63" Type="http://schemas.openxmlformats.org/officeDocument/2006/relationships/hyperlink" Target="https://www.sec.gov/Archives/edgar/data/1779474/000114036121021785/brhc10025756_ex4-1.htm" TargetMode="External"/><Relationship Id="rId64" Type="http://schemas.openxmlformats.org/officeDocument/2006/relationships/hyperlink" Target="https://www.sec.gov/Archives/edgar/data/1779474/000114036121021785/brhc10025756_ex4-2.htm" TargetMode="External"/><Relationship Id="rId65" Type="http://schemas.openxmlformats.org/officeDocument/2006/relationships/hyperlink" Target="https://www.sec.gov/Archives/edgar/data/1779474/000095010319010751/dp111173_ex0401.htm" TargetMode="External"/><Relationship Id="rId66" Type="http://schemas.openxmlformats.org/officeDocument/2006/relationships/hyperlink" Target="https://www.sec.gov/Archives/edgar/data/1779474/000114036121040114/brhc10031383_ex5-1.htm" TargetMode="External"/><Relationship Id="rId67" Type="http://schemas.openxmlformats.org/officeDocument/2006/relationships/hyperlink" Target="https://www.sec.gov/Archives/edgar/data/1779474/000114036121023775/nt10026588x1_s1.htm#tPA" TargetMode="External"/><Relationship Id="rId68" Type="http://schemas.openxmlformats.org/officeDocument/2006/relationships/hyperlink" Target="https://www.sec.gov/Archives/edgar/data/1779474/000114036121023775/nt10026588x1_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2025-08-22T16:21:16Z</dcterms:created>
  <dcterms:modified xsi:type="dcterms:W3CDTF">2025-08-22T16:21:16Z</dcterms:modified>
</cp:coreProperties>
</file>