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29, 2022, Juanjo Feijoo, the Company’s Chief Operating Officer, tendered his resignation from his role as Chief Operating Officer, effective December 31,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5, 2022, Mr. Feijoo and the Company entered into a Separation and Release Agreement (the “Separation Agreement”), providing for the terms of Mr. Feijoo’s separation from employment with the Company. Under the Separation Agreement, the Company has agreed to provide Mr. Feijoo with the following separation payments and benefits in lieu of any payments or benefits he may otherwise have been entitled to under the terms of his employment agreement: severance equal to nine months of base salary plus seventy-five percent (75%) of Mr. Feijoo’s Target Bonus under the Company’s Severance and Change in Control Plan, less any applicable taxes, deductions and withholdings; and nine months of paid COBRA premiums (which cease in the event of new coverage with a subsequent employer). The Separation Agreement contains a release of claims, subject to customary exceptions.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Separation Agreement, a copy of which will be filed with the Securities and Exchange Commission in the Company’s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5,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2023-01-05T15:39:04Z</dcterms:created>
  <dcterms:modified xsi:type="dcterms:W3CDTF">2023-01-05T15:39:04Z</dcterms:modified>
</cp:coreProperties>
</file>