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4"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TO RULE 13d-1(b), (c), AND (d) AND AMENDMENTS THERETO FILED PURSUANT TO RULE 13d-2(b)</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92971A109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380" w:hanging="635"/>
        <w:spacing w:after="0"/>
        <w:tabs>
          <w:tab w:leader="none" w:pos="13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ind w:left="960" w:hanging="215"/>
        <w:spacing w:after="0" w:line="238" w:lineRule="auto"/>
        <w:tabs>
          <w:tab w:leader="none" w:pos="9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13d-1(c)</w:t>
      </w:r>
    </w:p>
    <w:p>
      <w:pPr>
        <w:ind w:left="1380" w:hanging="635"/>
        <w:spacing w:after="0" w:line="238" w:lineRule="auto"/>
        <w:tabs>
          <w:tab w:leader="none" w:pos="13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rFonts w:ascii="Courier New" w:cs="Courier New" w:eastAsia="Courier New" w:hAnsi="Courier New"/>
          <w:sz w:val="18"/>
          <w:szCs w:val="18"/>
          <w:color w:val="auto"/>
        </w:rPr>
      </w:pPr>
    </w:p>
    <w:p>
      <w:pPr>
        <w:ind w:right="19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92971A109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 OR</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Pura Vida Investments,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0" w:lineRule="exact"/>
        <w:rPr>
          <w:sz w:val="24"/>
          <w:szCs w:val="24"/>
          <w:color w:val="auto"/>
        </w:rPr>
      </w:pPr>
    </w:p>
    <w:p>
      <w:pPr>
        <w:spacing w:after="0" w:line="210" w:lineRule="exact"/>
        <w:rPr>
          <w:sz w:val="24"/>
          <w:szCs w:val="24"/>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 5.</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 [ ]</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92971A109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 OR</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Efrem Kamen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10"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 5.</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 [ ]</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92971A109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7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 Discovery, Irvine, CA 92618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w:t>
      </w:r>
    </w:p>
    <w:p>
      <w:pPr>
        <w:spacing w:after="0" w:line="238" w:lineRule="auto"/>
        <w:rPr>
          <w:sz w:val="20"/>
          <w:szCs w:val="20"/>
          <w:color w:val="auto"/>
        </w:rPr>
      </w:pPr>
      <w:r>
        <w:rPr>
          <w:rFonts w:ascii="Courier New" w:cs="Courier New" w:eastAsia="Courier New" w:hAnsi="Courier New"/>
          <w:sz w:val="18"/>
          <w:szCs w:val="18"/>
          <w:color w:val="auto"/>
        </w:rPr>
        <w:t>Efrem Kamen</w:t>
      </w:r>
    </w:p>
    <w:p>
      <w:pPr>
        <w:spacing w:after="0" w:line="238" w:lineRule="auto"/>
        <w:rPr>
          <w:sz w:val="20"/>
          <w:szCs w:val="20"/>
          <w:color w:val="auto"/>
        </w:rPr>
      </w:pPr>
      <w:r>
        <w:rPr>
          <w:rFonts w:ascii="Courier New" w:cs="Courier New" w:eastAsia="Courier New" w:hAnsi="Courier New"/>
          <w:sz w:val="18"/>
          <w:szCs w:val="18"/>
          <w:color w:val="auto"/>
        </w:rPr>
        <w:t>(collectively, the "Filers").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The address of the principal place of the Filers is located at: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Pura Vida Investments, LLC 888 7th Avenue 6th Floor New York, New York 10106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ind w:left="120"/>
        <w:spacing w:after="0" w:line="238" w:lineRule="auto"/>
        <w:rPr>
          <w:sz w:val="20"/>
          <w:szCs w:val="20"/>
          <w:color w:val="auto"/>
        </w:rPr>
      </w:pPr>
      <w:r>
        <w:rPr>
          <w:rFonts w:ascii="Courier New" w:cs="Courier New" w:eastAsia="Courier New" w:hAnsi="Courier New"/>
          <w:sz w:val="18"/>
          <w:szCs w:val="18"/>
          <w:color w:val="auto"/>
        </w:rPr>
        <w:t>For citizenship of Filers, see Item 4 of the cover sheet for each Filer.</w:t>
      </w:r>
    </w:p>
    <w:p>
      <w:pPr>
        <w:sectPr>
          <w:pgSz w:w="11900" w:h="16838" w:orient="portrait"/>
          <w:cols w:equalWidth="0" w:num="1">
            <w:col w:w="10139"/>
          </w:cols>
          <w:pgMar w:left="320" w:top="136" w:right="1440" w:bottom="341"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92971A109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Insurance company as defined in section 3(a)(19) of the Act (15 U.S.C. 78c).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[x]</w:t>
      </w:r>
    </w:p>
    <w:p>
      <w:pPr>
        <w:spacing w:after="0" w:line="238" w:lineRule="auto"/>
        <w:rPr>
          <w:sz w:val="20"/>
          <w:szCs w:val="20"/>
          <w:color w:val="auto"/>
        </w:rPr>
      </w:pPr>
      <w:r>
        <w:rPr>
          <w:rFonts w:ascii="Courier New" w:cs="Courier New" w:eastAsia="Courier New" w:hAnsi="Courier New"/>
          <w:sz w:val="18"/>
          <w:szCs w:val="18"/>
          <w:color w:val="auto"/>
        </w:rPr>
        <w:t>An investment adviser in accordance with 240.13d-1(b)(1)(ii)(E);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ind w:left="320" w:hanging="312"/>
        <w:spacing w:after="0" w:line="238" w:lineRule="auto"/>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240.13d-1(b)(1)(ii)(F);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ind w:left="320" w:hanging="312"/>
        <w:spacing w:after="0" w:line="238"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240.13d-1(b)(1)(ii)(G);</w:t>
      </w:r>
    </w:p>
    <w:p>
      <w:pPr>
        <w:sectPr>
          <w:pgSz w:w="11900" w:h="16838" w:orient="portrait"/>
          <w:cols w:equalWidth="0" w:num="1">
            <w:col w:w="10139"/>
          </w:cols>
          <w:pgMar w:left="320" w:top="541" w:right="1440" w:bottom="545" w:gutter="0" w:footer="0" w:header="0"/>
        </w:sectPr>
      </w:pPr>
    </w:p>
    <w:bookmarkStart w:id="4" w:name="page5"/>
    <w:bookmarkEnd w:id="4"/>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ind w:left="320" w:hanging="312"/>
        <w:spacing w:after="0" w:line="238" w:lineRule="auto"/>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ind w:left="320" w:hanging="312"/>
        <w:spacing w:after="0" w:line="238" w:lineRule="auto"/>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ind w:left="320" w:hanging="312"/>
        <w:spacing w:after="0" w:line="238"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Group, in accordance with 240.13d-1(b)(1)(ii)(J).</w:t>
      </w: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92971A109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7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Pura Vida Investments LLC 0* shares Efrem Kamen 0* shares</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Pura Vida Investments LLC 0%** Efrem Kamen 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4" w:lineRule="exact"/>
        <w:rPr>
          <w:sz w:val="20"/>
          <w:szCs w:val="20"/>
          <w:color w:val="auto"/>
        </w:rPr>
      </w:pPr>
    </w:p>
    <w:p>
      <w:pPr>
        <w:ind w:right="4119" w:firstLine="851"/>
        <w:spacing w:after="0" w:line="268" w:lineRule="auto"/>
        <w:tabs>
          <w:tab w:leader="none" w:pos="1369"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Pura Vida Investments LLC 0* shares Efrem Kamen 0* shares</w:t>
      </w:r>
    </w:p>
    <w:p>
      <w:pPr>
        <w:ind w:left="1380" w:hanging="635"/>
        <w:spacing w:after="0" w:line="238" w:lineRule="auto"/>
        <w:tabs>
          <w:tab w:leader="none" w:pos="13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4" w:lineRule="exact"/>
        <w:rPr>
          <w:rFonts w:ascii="Courier New" w:cs="Courier New" w:eastAsia="Courier New" w:hAnsi="Courier New"/>
          <w:sz w:val="18"/>
          <w:szCs w:val="18"/>
          <w:color w:val="auto"/>
        </w:rPr>
      </w:pPr>
    </w:p>
    <w:p>
      <w:pPr>
        <w:ind w:right="2759" w:firstLine="8"/>
        <w:spacing w:after="0" w:line="235" w:lineRule="auto"/>
        <w:tabs>
          <w:tab w:leader="none" w:pos="52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Pura Vida Investments, LLC 0* shares Efrem Kamen 0* shares</w:t>
      </w:r>
    </w:p>
    <w:p>
      <w:pPr>
        <w:spacing w:after="0" w:line="208" w:lineRule="exact"/>
        <w:rPr>
          <w:sz w:val="20"/>
          <w:szCs w:val="20"/>
          <w:color w:val="auto"/>
        </w:rPr>
      </w:pPr>
    </w:p>
    <w:p>
      <w:pPr>
        <w:ind w:right="2439" w:firstLine="737"/>
        <w:spacing w:after="0" w:line="268" w:lineRule="auto"/>
        <w:rPr>
          <w:sz w:val="20"/>
          <w:szCs w:val="20"/>
          <w:color w:val="auto"/>
        </w:rPr>
      </w:pPr>
      <w:r>
        <w:rPr>
          <w:rFonts w:ascii="Courier New" w:cs="Courier New" w:eastAsia="Courier New" w:hAnsi="Courier New"/>
          <w:sz w:val="16"/>
          <w:szCs w:val="16"/>
          <w:color w:val="auto"/>
        </w:rPr>
        <w:t>*Shares reported herein are held by Pura Vida Master Fund, Ltd. (the Pura Vida Master Fund), and certain separately managed accounts (the Accounts). Pura Vida Investments, LLC (PVI) serves as the investment manager to the Pura Vida Master Fund and the Accounts. Efrem Kamen serves</w:t>
      </w:r>
    </w:p>
    <w:p>
      <w:pPr>
        <w:jc w:val="both"/>
        <w:ind w:right="1919"/>
        <w:spacing w:after="0" w:line="268" w:lineRule="auto"/>
        <w:rPr>
          <w:sz w:val="20"/>
          <w:szCs w:val="20"/>
          <w:color w:val="auto"/>
        </w:rPr>
      </w:pPr>
      <w:r>
        <w:rPr>
          <w:rFonts w:ascii="Courier New" w:cs="Courier New" w:eastAsia="Courier New" w:hAnsi="Courier New"/>
          <w:sz w:val="16"/>
          <w:szCs w:val="16"/>
          <w:color w:val="auto"/>
        </w:rPr>
        <w:t>as the managing member of PVI. By virtue of these relationships, the Reporting Persons may be deemed to have shared voting and dispositive power with respect to the Shares owned directly by the Pura Vida Master Fund and the Accounts.</w:t>
      </w:r>
    </w:p>
    <w:p>
      <w:pPr>
        <w:ind w:right="2119"/>
        <w:spacing w:after="0" w:line="237" w:lineRule="auto"/>
        <w:rPr>
          <w:sz w:val="20"/>
          <w:szCs w:val="20"/>
          <w:color w:val="auto"/>
        </w:rPr>
      </w:pPr>
      <w:r>
        <w:rPr>
          <w:rFonts w:ascii="Courier New" w:cs="Courier New" w:eastAsia="Courier New" w:hAnsi="Courier New"/>
          <w:sz w:val="18"/>
          <w:szCs w:val="18"/>
          <w:color w:val="auto"/>
        </w:rPr>
        <w:t>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therein.</w:t>
      </w:r>
    </w:p>
    <w:p>
      <w:pPr>
        <w:spacing w:after="0" w:line="209" w:lineRule="exact"/>
        <w:rPr>
          <w:sz w:val="20"/>
          <w:szCs w:val="20"/>
          <w:color w:val="auto"/>
        </w:rPr>
      </w:pPr>
    </w:p>
    <w:p>
      <w:pPr>
        <w:ind w:right="2239" w:firstLine="737"/>
        <w:spacing w:after="0" w:line="235" w:lineRule="auto"/>
        <w:rPr>
          <w:sz w:val="20"/>
          <w:szCs w:val="20"/>
          <w:color w:val="auto"/>
        </w:rPr>
      </w:pPr>
      <w:r>
        <w:rPr>
          <w:rFonts w:ascii="Courier New" w:cs="Courier New" w:eastAsia="Courier New" w:hAnsi="Courier New"/>
          <w:sz w:val="18"/>
          <w:szCs w:val="18"/>
          <w:color w:val="auto"/>
        </w:rPr>
        <w:t>**The percentages used herein are calculated based upon an aggregate of 65,677,361 shares of Class A Common Stock outstanding as of</w:t>
      </w:r>
    </w:p>
    <w:p>
      <w:pPr>
        <w:spacing w:after="0" w:line="6"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November 24, 2021, as reported in the Issuer's Prospectus filed pursuant to Rule 424(b)(3) with the Securities and Exchange Commission on December 10,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This statement is being filed to report the fact that as of the date hereof the reporting person has ceased to be the beneficial owner of more than 5 percent of the class of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139"/>
          </w:cols>
          <w:pgMar w:left="320" w:top="1440" w:right="1440" w:bottom="0" w:gutter="0" w:footer="0" w:header="0"/>
        </w:sectPr>
      </w:pPr>
    </w:p>
    <w:bookmarkStart w:id="5" w:name="page6"/>
    <w:bookmarkEnd w:id="5"/>
    <w:p>
      <w:pPr>
        <w:ind w:right="233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92971A109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01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Efrem Kamen,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92971A109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 REGARDING JOINT FILING</w:t>
      </w:r>
    </w:p>
    <w:p>
      <w:pPr>
        <w:spacing w:after="0" w:line="238" w:lineRule="auto"/>
        <w:rPr>
          <w:sz w:val="20"/>
          <w:szCs w:val="20"/>
          <w:color w:val="auto"/>
        </w:rPr>
      </w:pPr>
      <w:r>
        <w:rPr>
          <w:rFonts w:ascii="Courier New" w:cs="Courier New" w:eastAsia="Courier New" w:hAnsi="Courier New"/>
          <w:sz w:val="18"/>
          <w:szCs w:val="18"/>
          <w:color w:val="auto"/>
        </w:rPr>
        <w:t>OF STATEMENT ON SCHEDULE 13D OR 13G</w:t>
      </w:r>
    </w:p>
    <w:p>
      <w:pPr>
        <w:spacing w:after="0" w:line="207" w:lineRule="exact"/>
        <w:rPr>
          <w:sz w:val="20"/>
          <w:szCs w:val="20"/>
          <w:color w:val="auto"/>
        </w:rPr>
      </w:pPr>
    </w:p>
    <w:p>
      <w:pPr>
        <w:ind w:right="2339"/>
        <w:spacing w:after="0" w:line="237" w:lineRule="auto"/>
        <w:rPr>
          <w:sz w:val="20"/>
          <w:szCs w:val="20"/>
          <w:color w:val="auto"/>
        </w:rPr>
      </w:pPr>
      <w:r>
        <w:rPr>
          <w:rFonts w:ascii="Courier New" w:cs="Courier New" w:eastAsia="Courier New" w:hAnsi="Courier New"/>
          <w:sz w:val="18"/>
          <w:szCs w:val="18"/>
          <w:color w:val="auto"/>
        </w:rPr>
        <w:t>The undersigned hereby consent and agree to file a joint statement on Schedule 13G under the Securities Exchange Act of 1934, as amended, with respect to the Common Stock of WM Technology, Inc. beneficially owned by them,together with any or all amendments thereto, when and if appropriate. The parties hereto further consent this Statement pursuant to Rule 13d-1(k)(1)(iii) as an exhibit to Schedule 13G, thereby incorporating the same into such Schedule 13G.</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Efrem Kamen, Managing Member</w:t>
      </w:r>
    </w:p>
    <w:sectPr>
      <w:pgSz w:w="11900" w:h="16838" w:orient="portrait"/>
      <w:cols w:equalWidth="0" w:num="1">
        <w:col w:w="10139"/>
      </w:cols>
      <w:pgMar w:left="320" w:top="344"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lowerLetter"/>
      <w:start w:val="2"/>
    </w:lvl>
  </w:abstractNum>
  <w:abstractNum w:abstractNumId="2">
    <w:nsid w:val="5BD062C2"/>
    <w:multiLevelType w:val="hybridMultilevel"/>
    <w:lvl w:ilvl="0">
      <w:lvlJc w:val="left"/>
      <w:lvlText w:val="(%1)"/>
      <w:numFmt w:val="lowerLetter"/>
      <w:start w:val="2"/>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Letter"/>
      <w:start w:val="1"/>
    </w:lvl>
    <w:lvl w:ilvl="1">
      <w:lvlJc w:val="left"/>
      <w:lvlText w:val="(%2)"/>
      <w:numFmt w:val="lowerLetter"/>
      <w:start w:val="9"/>
    </w:lvl>
  </w:abstractNum>
  <w:abstractNum w:abstractNumId="13">
    <w:nsid w:val="7FDCC233"/>
    <w:multiLevelType w:val="hybridMultilevel"/>
    <w:lvl w:ilvl="0">
      <w:lvlJc w:val="left"/>
      <w:lvlText w:val="%1"/>
      <w:numFmt w:val="lowerRoman"/>
      <w:start w:val="1"/>
    </w:lvl>
    <w:lvl w:ilvl="1">
      <w:lvlJc w:val="left"/>
      <w:lvlText w:val="(%2)"/>
      <w:numFmt w:val="lowerRoman"/>
      <w:start w:val="2"/>
    </w:lvl>
  </w:abstractNum>
  <w:abstractNum w:abstractNumId="14">
    <w:nsid w:val="1BEFD79F"/>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2022-02-14T16:50:03Z</dcterms:created>
  <dcterms:modified xsi:type="dcterms:W3CDTF">2022-02-14T16:50:03Z</dcterms:modified>
</cp:coreProperties>
</file>