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Gonzalez Olga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480" w:type="dxa"/>
            <w:vAlign w:val="bottom"/>
            <w:gridSpan w:val="3"/>
          </w:tcPr>
          <w:p>
            <w:pPr>
              <w:ind w:left="80"/>
              <w:spacing w:after="0"/>
              <w:rPr>
                <w:sz w:val="20"/>
                <w:szCs w:val="20"/>
                <w:color w:val="auto"/>
              </w:rPr>
            </w:pPr>
            <w:r>
              <w:rPr>
                <w:rFonts w:ascii="Arial" w:cs="Arial" w:eastAsia="Arial" w:hAnsi="Arial"/>
                <w:sz w:val="17"/>
                <w:szCs w:val="17"/>
                <w:color w:val="0000FF"/>
              </w:rPr>
              <w:t>10/01/2023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312,500</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589,625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The RSUs will fully vest in equal annual installments on the date of each remaining annual meeting of stockholders that is part of the Reporting Person's current term, beginning with the annual meeting that is following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Olga Gonzalez, by /s/ Ron A.</w:t>
      </w:r>
      <w:r>
        <w:rPr>
          <w:sz w:val="20"/>
          <w:szCs w:val="20"/>
          <w:color w:val="auto"/>
        </w:rPr>
        <w:tab/>
      </w:r>
      <w:r>
        <w:rPr>
          <w:rFonts w:ascii="Arial" w:cs="Arial" w:eastAsia="Arial" w:hAnsi="Arial"/>
          <w:sz w:val="23"/>
          <w:szCs w:val="23"/>
          <w:color w:val="0000FF"/>
          <w:vertAlign w:val="subscript"/>
        </w:rPr>
        <w:t>10/03/2023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11430</wp:posOffset>
            </wp:positionV>
            <wp:extent cx="1298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7931"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2023-10-03T18:14:31Z</dcterms:created>
  <dcterms:modified xsi:type="dcterms:W3CDTF">2023-10-03T18:14:31Z</dcterms:modified>
</cp:coreProperties>
</file>