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April 17,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 Discovery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933-3627</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17, 2026, WM Technology, Inc. (the “Company”) announced certain preliminary financial results for the three months ended March 31, 2026. Based upon preliminary estimated financial results, the Company expects preliminary unaudited revenue to be approximately $42 million to $44 million. Preliminary adjusted EBITDA is expected to be approximately $5 million to $7 million. The Company also expects preliminary unaudited cash, cash equivalents and investments as of March 31, 2026 will be approximately $57 million. The full text of the press release issued in connection with the announcement is furnished as Exhibit 99.1 to this Current Report on Form 8-K and is incorporated by reference.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unaudited revenue and adjusted EBITDA for the three months ended March 31, 2026, and cash, cash equivalents and investments, as of March 31, 2026, reflects the Company’s preliminary estimates with respect to such results based on currently available information and is subject to completion of its financial closing procedures. The Company’s financial closing procedures for the three months ended March 31, 2026 are not yet complete and, as a result, its actual results may vary from the estimated preliminary results presented here. The Company undertakes no intent or obligation to publicly update or revise any of these projections, whether as a result of new information, future events or otherwise, except as required by law.</w:t>
      </w:r>
    </w:p>
    <w:p>
      <w:pPr>
        <w:pStyle w:val="TextBody"/>
        <w:bidi w:val="0"/>
        <w:spacing w:lineRule="auto" w:line="288" w:before="120" w:after="120"/>
        <w:jc w:val="both"/>
        <w:rPr/>
      </w:pPr>
      <w:r>
        <w:rPr>
          <w:rFonts w:ascii="Times New Roman;serif" w:hAnsi="Times New Roman;serif"/>
          <w:b w:val="false"/>
          <w:color w:val="000000"/>
          <w:sz w:val="20"/>
        </w:rPr>
        <w:t xml:space="preserve">The preliminary results </w:t>
      </w:r>
      <w:r>
        <w:rPr>
          <w:rFonts w:ascii="Times New Roman;serif" w:hAnsi="Times New Roman;serif"/>
          <w:b w:val="false"/>
          <w:color w:val="000000"/>
          <w:sz w:val="20"/>
          <w:shd w:fill="FFFFFF" w:val="clear"/>
        </w:rPr>
        <w:t xml:space="preserve">include the non-GAAP financial measure, Adjusted EBITDA. </w:t>
      </w:r>
      <w:r>
        <w:rPr>
          <w:rFonts w:ascii="Times New Roman;serif" w:hAnsi="Times New Roman;serif"/>
          <w:b w:val="false"/>
          <w:color w:val="000000"/>
          <w:sz w:val="20"/>
        </w:rPr>
        <w:t>The Company is not readily able to provide a reconciliation of its preliminary Adjusted EBITDA to projected net income without unreasonable effort. For further information about how the Company calculates Adjusted EBITDA as well as limitations of their use, see the section titled “Use of Non-GAAP Financial Measures” included in the Company’s Annual Report on Form 10-K for the fiscal year ended December 31, 2025, filed with the U.S. Securities and Exchange Commission (the “SEC”) on March 12,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preliminary estimates presented herein have been prepared by, and are the responsibility of, management. Macias Gini &amp; O’Connell LLP (“MGO”), our independent registered public accounting firm, has not audited, reviewed, compiled, or performed any procedures with respect to the preliminary financial information. Accordingly, MGO does not express an opinion or any other form of assurance with respect thereto.</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is being furnished and shall not be deemed “filed” for purposes of Section 18 of the Securities Exchange Act of 1934, as amended (the “Exchange Act”), or otherwise subject to the liabilities under that section, or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preliminary estimates and forecasts of financial performance for the first quarter of 2026, the Company’s strategy, intentions to voluntarily delist its securities from Nasdaq and to deregister its Class A common stock and warrants under the Exchange Act, and the anticipated timing and any anticipated results of such actions. These statements are based on various assumptions, whether or not identified in this Current Report on Form 8-K,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those related to the preliminary nature of the Company’s first quarter of 2026 financial information, which is subject to completion of normal quarter-ended accounting procedures and closing adjustments; market reactions or impacts resulting from the Company’s delisting and deregistration, including the impact on the Company’s liquidity and the price of its Class A common stock and warrants; the Company’s eligibility for and timing of quotation on the OTC markets; the possibility that trading in the Company’s securities on the OTC markets, if available, may be significantly less liquid and/or have greater price volatility;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on Form 10-K for the fiscal year ended December 31, 2025, filed with the SEC on March 12, 2026.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Current Report on Form 8-K.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Current Report on Form 8-K.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jc w:val="left"/>
        <w:rPr/>
      </w:pPr>
      <w:r>
        <w:rPr>
          <w:rFonts w:ascii="Times New Roman;serif" w:hAnsi="Times New Roman;serif"/>
          <w:b/>
          <w:color w:val="000000"/>
          <w:sz w:val="20"/>
        </w:rPr>
        <w:t xml:space="preserve">(d) Exhibits. </w:t>
      </w:r>
      <w:r>
        <w:rPr>
          <w:rFonts w:ascii="Times New Roman;serif" w:hAnsi="Times New Roman;serif"/>
          <w:b w:val="false"/>
          <w:color w:val="000000"/>
          <w:sz w:val="20"/>
        </w:rPr>
        <w:t>The following exhibits are filed with this Current Report on Form 8-K:</w:t>
      </w:r>
    </w:p>
    <w:tbl>
      <w:tblPr>
        <w:tblW w:w="7408"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1928"/>
        <w:gridCol w:w="1928"/>
        <w:gridCol w:w="2744"/>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exhibit991pressrelease4172.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pressrelease4172.htm">
              <w:r>
                <w:rPr>
                  <w:rStyle w:val="InternetLink"/>
                  <w:rFonts w:ascii="Times New Roman;serif" w:hAnsi="Times New Roman;serif"/>
                  <w:b w:val="false"/>
                  <w:color w:val="000080"/>
                  <w:sz w:val="20"/>
                  <w:u w:val="single"/>
                </w:rPr>
                <w:t xml:space="preserve">Press Release, dated </w:t>
              </w:r>
            </w:hyperlink>
            <w:hyperlink w:anchor="exhibit991pressrelease4172.htm">
              <w:r>
                <w:rPr>
                  <w:rStyle w:val="InternetLink"/>
                  <w:rFonts w:ascii="Times New Roman;serif" w:hAnsi="Times New Roman;serif"/>
                  <w:b w:val="false"/>
                  <w:color w:val="000080"/>
                  <w:sz w:val="20"/>
                  <w:u w:val="single"/>
                </w:rPr>
                <w:t xml:space="preserve">April </w:t>
              </w:r>
            </w:hyperlink>
            <w:hyperlink w:anchor="exhibit991pressrelease4172.htm">
              <w:r>
                <w:rPr>
                  <w:rStyle w:val="InternetLink"/>
                  <w:rFonts w:ascii="Times New Roman;serif" w:hAnsi="Times New Roman;serif"/>
                  <w:b w:val="false"/>
                  <w:color w:val="000080"/>
                  <w:sz w:val="20"/>
                  <w:u w:val="single"/>
                </w:rPr>
                <w:t>1</w:t>
              </w:r>
            </w:hyperlink>
            <w:hyperlink w:anchor="exhibit991pressrelease4172.htm">
              <w:r>
                <w:rPr>
                  <w:rStyle w:val="InternetLink"/>
                  <w:rFonts w:ascii="Times New Roman;serif" w:hAnsi="Times New Roman;serif"/>
                  <w:b w:val="false"/>
                  <w:color w:val="000080"/>
                  <w:sz w:val="20"/>
                  <w:u w:val="single"/>
                </w:rPr>
                <w:t>7</w:t>
              </w:r>
            </w:hyperlink>
            <w:hyperlink w:anchor="exhibit991pressrelease4172.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048" w:type="dxa"/>
        <w:jc w:val="left"/>
        <w:tblInd w:w="0" w:type="dxa"/>
        <w:tblLayout w:type="fixed"/>
        <w:tblCellMar>
          <w:top w:w="28" w:type="dxa"/>
          <w:left w:w="28" w:type="dxa"/>
          <w:bottom w:w="28" w:type="dxa"/>
          <w:right w:w="28" w:type="dxa"/>
        </w:tblCellMar>
      </w:tblPr>
      <w:tblGrid>
        <w:gridCol w:w="350"/>
        <w:gridCol w:w="308"/>
        <w:gridCol w:w="308"/>
        <w:gridCol w:w="308"/>
        <w:gridCol w:w="308"/>
        <w:gridCol w:w="308"/>
        <w:gridCol w:w="383"/>
        <w:gridCol w:w="383"/>
        <w:gridCol w:w="383"/>
        <w:gridCol w:w="587"/>
        <w:gridCol w:w="587"/>
        <w:gridCol w:w="835"/>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17,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120" w:after="120"/>
        <w:jc w:val="center"/>
        <w:rPr/>
      </w:pPr>
      <w:r>
        <w:rPr/>
        <w:drawing>
          <wp:inline distT="0" distB="0" distL="0" distR="0">
            <wp:extent cx="2381250" cy="7429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lineRule="auto" w:line="288" w:before="120" w:after="120"/>
        <w:jc w:val="center"/>
        <w:rPr>
          <w:rFonts w:ascii="Times New Roman;serif" w:hAnsi="Times New Roman;serif"/>
          <w:b/>
          <w:color w:val="000000"/>
          <w:sz w:val="28"/>
        </w:rPr>
      </w:pPr>
      <w:r>
        <w:rPr>
          <w:rFonts w:ascii="Times New Roman;serif" w:hAnsi="Times New Roman;serif"/>
          <w:b/>
          <w:color w:val="000000"/>
          <w:sz w:val="28"/>
        </w:rPr>
        <w:t>WM Technology, Inc. Reports Preliminary First Quarter 2026 Financial Results</w:t>
      </w:r>
    </w:p>
    <w:p>
      <w:pPr>
        <w:pStyle w:val="TextBody"/>
        <w:bidi w:val="0"/>
        <w:spacing w:lineRule="auto" w:line="288" w:before="140" w:after="140"/>
        <w:jc w:val="both"/>
        <w:rPr/>
      </w:pPr>
      <w:r>
        <w:rPr>
          <w:rFonts w:ascii="Times New Roman;serif" w:hAnsi="Times New Roman;serif"/>
          <w:b/>
          <w:color w:val="000000"/>
          <w:sz w:val="20"/>
        </w:rPr>
        <w:t xml:space="preserve">Irvine, Calif. -- April 17, 2026 -- </w:t>
      </w:r>
      <w:r>
        <w:rPr>
          <w:rFonts w:ascii="Times New Roman;serif" w:hAnsi="Times New Roman;serif"/>
          <w:b w:val="false"/>
          <w:color w:val="000000"/>
          <w:sz w:val="20"/>
        </w:rPr>
        <w:t xml:space="preserve">WM Technology, Inc. (“WM Technology” or the “Company”) (Nasdaq: MAPS), a leading marketplace and technology solutions provider to the cannabis industry, today announced its preliminary financial results for the first quarter ended March 31, 2026. The Company plans to report its full financial results for the first quarter ended March 31, 2026 after market close on May 11, 2026. </w:t>
      </w:r>
    </w:p>
    <w:p>
      <w:pPr>
        <w:pStyle w:val="TextBody"/>
        <w:bidi w:val="0"/>
        <w:spacing w:lineRule="auto" w:line="288" w:before="140" w:after="140"/>
        <w:jc w:val="both"/>
        <w:rPr>
          <w:color w:val="000000"/>
        </w:rPr>
      </w:pPr>
      <w:r>
        <w:rPr>
          <w:color w:val="000000"/>
        </w:rPr>
        <w:t>“</w:t>
      </w:r>
      <w:r>
        <w:rPr>
          <w:rFonts w:ascii="Times New Roman;serif" w:hAnsi="Times New Roman;serif"/>
          <w:b w:val="false"/>
          <w:color w:val="000000"/>
          <w:sz w:val="20"/>
        </w:rPr>
        <w:t>Our first quarter performance represents a solid start to the year, reflecting continued execution against our priorities and the enduring value of the Weedmaps marketplace,” said Doug Francis, CEO and Chairman of WM Technology. “While we feel good about our performance, industry conditions remain challenging, which we believe limits the potential for growth of our core business in the absence of major regulatory change. As we announced last week, we plan to delist from Nasdaq, which we believe is the best strategic decision for the Company and its shareholders. Our first quarter performance shows that our business remains strong; however, we believe the optionality to expand our strategic scope is essential to the future of the Company, and our Nasdaq listing limits that optionality. We invite our shareholders to continue with us during this next phase of our Company and the industry. We remain hopeful that one day federal policy will catch up to the will of the people and permit cannabis companies to operate in a more regular way while listing on the major U.S. exchanges. We believe we are well-positioned to engage the industry, on our terms, and execute against new opportunities. Thank you to everyone who has supported us along the way, and to those continuing this journey with us.”</w:t>
      </w:r>
    </w:p>
    <w:p>
      <w:pPr>
        <w:pStyle w:val="TextBody"/>
        <w:bidi w:val="0"/>
        <w:spacing w:lineRule="auto" w:line="288" w:before="140" w:after="140"/>
        <w:jc w:val="both"/>
        <w:rPr>
          <w:color w:val="000000"/>
        </w:rPr>
      </w:pPr>
      <w:r>
        <w:rPr>
          <w:color w:val="000000"/>
        </w:rPr>
        <w:t>“</w:t>
      </w:r>
      <w:r>
        <w:rPr>
          <w:rFonts w:ascii="Times New Roman;serif" w:hAnsi="Times New Roman;serif"/>
          <w:b w:val="false"/>
          <w:color w:val="000000"/>
          <w:sz w:val="20"/>
        </w:rPr>
        <w:t>Following our planned delisting from Nasdaq, we intend to trade on the OTCQX exchange operated by OTC Markets Group Inc. We plan to continue providing quarterly financial updates as required under SEC rules through the end of the year and plan to evaluate our go-forward reporting cadence after that,” said Susan Echard, Chief Financial Officer of WM Technology.</w:t>
      </w: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First Quarter 2026 Preliminary Financial Highlights</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Revenue is expected to be in the range of approximately $42 million to $44 million.</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Adjusted EBITDA is expected to be in the range of approximately $5 million to $7 million.</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 xml:space="preserve">Cash, Cash Equivalents, and Investments totaled approximately $57 million as of March 31, 2026. </w:t>
      </w:r>
    </w:p>
    <w:p>
      <w:pPr>
        <w:pStyle w:val="TextBody"/>
        <w:bidi w:val="0"/>
        <w:spacing w:lineRule="auto" w:line="288" w:before="140" w:after="1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select preliminary results included above in this press release are based upon estimated preliminary financial results. The Company’s independent registered public accounting firm has not audited, reviewed, compiled, or performed any procedures with respect to the preliminary financial results, nor has it expressed any opinion or any other form of assurance on such results. These preliminary financial results are based upon information available to management as of the date of this press release. The Company’s actual results may differ from these results due to final adjustments and developments that may arise or information that may become available between now and the time the Company’s financial results for the quarter ended March 31, 2026 are finalized and included in the first quarter 2026 Form 10-Q. The Company undertakes no intent or obligation to publicly update or revise any of these projections, whether as a result of new information, future events or otherwise, except as required by law.</w:t>
      </w:r>
    </w:p>
    <w:p>
      <w:pPr>
        <w:pStyle w:val="TextBody"/>
        <w:bidi w:val="0"/>
        <w:spacing w:lineRule="auto" w:line="288" w:before="140" w:after="1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select preliminary results included above in this press release include the non-GAAP financial measure, Adjusted EBITDA. The Company is not readily able to provide a reconciliation of its preliminary Adjusted EBITDA to projected net income without unreasonable effort. For further information about how the Company calculates Adjusted EBITDA as well as limitations of their use, see the section titled “Use of Non-GAAP Financial Measures” included in the Company’s Annual Report on Form 10-K for the fiscal year ended December 31, 2025, filed with the SEC on March 12, 2026.</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About WM Technology</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Over the past 18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 xml:space="preserve">Headquartered in Irvine, California, the Company is committed to advocating for full U.S. legalization, industry-wide social equity, and continued education about the plant through key partnerships and cannabis subject matter experts. Visit us at www.weedmaps.com. </w:t>
      </w:r>
    </w:p>
    <w:p>
      <w:pPr>
        <w:pStyle w:val="TextBody"/>
        <w:bidi w:val="0"/>
        <w:spacing w:lineRule="auto" w:line="288" w:before="140" w:after="1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preliminary estimates and forecasts of financial performance for the first quarter of 2026, the Company’s strategy, intentions to voluntarily delist its securities from Nasdaq and to deregister its Class A common stock and warrants under the Securities Exchange Act of 1934, as amended, and the anticipated timing and any anticipated results of such actions.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those related to the preliminary nature of the Company’s first quarter of 2026 financial information, which is subject to completion of normal quarter-ended accounting procedures and closing adjustments; market reactions or impacts resulting from the Company’s delisting and deregistration, including the impact on the Company’s liquidity and the price of its Class A common stock and warrants; the Company’s eligibility for and timing of quotation on the OTC markets; the possibility that trading in the Company’s securities on the OTC markets, if available, may be significantly less liquid and/or have greater price volatility;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on Form 10-K for the fiscal year ended December 31, 2025, filed with the SEC on March 12, 2026.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pStyle w:val="TextBody"/>
        <w:bidi w:val="0"/>
        <w:spacing w:before="140" w:after="140"/>
        <w:jc w:val="left"/>
        <w:rPr/>
      </w:pPr>
      <w:r>
        <w:rPr/>
      </w:r>
    </w:p>
    <w:p>
      <w:pPr>
        <w:pStyle w:val="TextBody"/>
        <w:bidi w:val="0"/>
        <w:spacing w:lineRule="auto" w:line="288" w:before="140" w:after="14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140" w:after="14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140" w:after="140"/>
        <w:jc w:val="left"/>
        <w:rPr>
          <w:rFonts w:ascii="Times New Roman;serif" w:hAnsi="Times New Roman;serif"/>
          <w:b w:val="false"/>
          <w:color w:val="0000FF"/>
          <w:sz w:val="20"/>
        </w:rPr>
      </w:pPr>
      <w:r>
        <w:rPr>
          <w:rFonts w:ascii="Times New Roman;serif" w:hAnsi="Times New Roman;serif"/>
          <w:b w:val="false"/>
          <w:color w:val="0000FF"/>
          <w:sz w:val="20"/>
        </w:rPr>
        <w:t>investors@weedmaps.com</w:t>
      </w:r>
    </w:p>
    <w:p>
      <w:pPr>
        <w:pStyle w:val="TextBody"/>
        <w:bidi w:val="0"/>
        <w:spacing w:lineRule="auto" w:line="288" w:before="140" w:after="140"/>
        <w:jc w:val="left"/>
        <w:rPr>
          <w:rFonts w:ascii="Times New Roman;serif" w:hAnsi="Times New Roman;serif"/>
          <w:b/>
          <w:color w:val="000000"/>
          <w:sz w:val="20"/>
        </w:rPr>
      </w:pPr>
      <w:r>
        <w:rPr>
          <w:rFonts w:ascii="Times New Roman;serif" w:hAnsi="Times New Roman;serif"/>
          <w:b/>
          <w:color w:val="000000"/>
          <w:sz w:val="20"/>
        </w:rPr>
        <w:t>Media Contract:</w:t>
      </w:r>
    </w:p>
    <w:p>
      <w:pPr>
        <w:pStyle w:val="TextBody"/>
        <w:bidi w:val="0"/>
        <w:spacing w:lineRule="auto" w:line="288" w:before="140" w:after="140"/>
        <w:jc w:val="left"/>
        <w:rPr>
          <w:rFonts w:ascii="Times New Roman;serif" w:hAnsi="Times New Roman;serif"/>
          <w:b w:val="false"/>
          <w:color w:val="0000FF"/>
          <w:sz w:val="20"/>
        </w:rPr>
      </w:pPr>
      <w:r>
        <w:rPr>
          <w:rFonts w:ascii="Times New Roman;serif" w:hAnsi="Times New Roman;serif"/>
          <w:b w:val="false"/>
          <w:color w:val="0000FF"/>
          <w:sz w:val="20"/>
        </w:rPr>
        <w:t>press@weedmaps.com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3519</Words>
  <Characters>20058</Characters>
  <CharactersWithSpaces>23488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