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5"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November 6, 2025</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WM TECHNOLOGY,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 Discovery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933-3627</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November 6, 2025, WM Technology, Inc. (the "Company") announced its financial results for the third quarter ended September 30, 2025. The full text of the press release issued in connection with the announcement is furnished as Exhibit 99.1 to this Current Report on Form 8-K and is incorporated by reference.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41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wmtechnologyincearningsre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wmtechnologyincearningsrel.htm">
              <w:r>
                <w:rPr>
                  <w:rStyle w:val="InternetLink"/>
                  <w:rFonts w:ascii="Times New Roman;serif" w:hAnsi="Times New Roman;serif"/>
                  <w:b w:val="false"/>
                  <w:color w:val="000080"/>
                  <w:sz w:val="20"/>
                  <w:u w:val="single"/>
                </w:rPr>
                <w:t xml:space="preserve">Press Release dated </w:t>
              </w:r>
            </w:hyperlink>
            <w:hyperlink w:anchor="wmtechnologyincearningsrel.htm">
              <w:r>
                <w:rPr>
                  <w:rStyle w:val="InternetLink"/>
                  <w:rFonts w:ascii="Times New Roman;serif" w:hAnsi="Times New Roman;serif"/>
                  <w:b w:val="false"/>
                  <w:color w:val="000080"/>
                  <w:sz w:val="20"/>
                  <w:u w:val="single"/>
                </w:rPr>
                <w:t>November 6</w:t>
              </w:r>
            </w:hyperlink>
            <w:hyperlink w:anchor="wmtechnologyincearningsrel.htm">
              <w:r>
                <w:rPr>
                  <w:rStyle w:val="InternetLink"/>
                  <w:rFonts w:ascii="Times New Roman;serif" w:hAnsi="Times New Roman;serif"/>
                  <w:b w:val="false"/>
                  <w:color w:val="000080"/>
                  <w:sz w:val="20"/>
                  <w:u w:val="single"/>
                </w:rPr>
                <w:t>, 2025</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61" w:type="dxa"/>
        <w:jc w:val="left"/>
        <w:tblInd w:w="0" w:type="dxa"/>
        <w:tblLayout w:type="fixed"/>
        <w:tblCellMar>
          <w:top w:w="28" w:type="dxa"/>
          <w:left w:w="28" w:type="dxa"/>
          <w:bottom w:w="28" w:type="dxa"/>
          <w:right w:w="28" w:type="dxa"/>
        </w:tblCellMar>
      </w:tblPr>
      <w:tblGrid>
        <w:gridCol w:w="408"/>
        <w:gridCol w:w="359"/>
        <w:gridCol w:w="359"/>
        <w:gridCol w:w="359"/>
        <w:gridCol w:w="359"/>
        <w:gridCol w:w="359"/>
        <w:gridCol w:w="383"/>
        <w:gridCol w:w="383"/>
        <w:gridCol w:w="383"/>
        <w:gridCol w:w="587"/>
        <w:gridCol w:w="587"/>
        <w:gridCol w:w="835"/>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20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WM TECHNOLOGY, INC.</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1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283"/>
        <w:jc w:val="center"/>
        <w:rPr/>
      </w:pPr>
      <w:r>
        <w:rPr/>
        <w:drawing>
          <wp:inline distT="0" distB="0" distL="0" distR="0">
            <wp:extent cx="23812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bidi w:val="0"/>
        <w:spacing w:before="120" w:after="283"/>
        <w:jc w:val="righ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WM Technology, Inc. Reports Financial Results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 Third Quarter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Seventh Consecutive Quarter of Positive Net Income</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Cash Increased to $62.6 million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0"/>
        </w:rPr>
        <w:t xml:space="preserve">Irvine, Calif.--(BUSINESS WIRE)--November 6, 2025-- </w:t>
      </w:r>
      <w:r>
        <w:rPr>
          <w:rFonts w:ascii="Times New Roman;serif" w:hAnsi="Times New Roman;serif"/>
          <w:b w:val="false"/>
          <w:color w:val="000000"/>
          <w:sz w:val="20"/>
        </w:rPr>
        <w:t xml:space="preserve">WM Technology, Inc. (“WM Technology” or the “Company”) (Nasdaq: MAPS), a leading marketplace and technology solutions provider to the cannabis industry, today announced its financial results for the third quarter ended September 30, 2025. </w:t>
      </w:r>
    </w:p>
    <w:p>
      <w:pPr>
        <w:pStyle w:val="TextBody"/>
        <w:bidi w:val="0"/>
        <w:spacing w:lineRule="auto" w:line="288" w:before="180" w:after="180"/>
        <w:jc w:val="both"/>
        <w:rPr>
          <w:color w:val="000000"/>
        </w:rPr>
      </w:pPr>
      <w:r>
        <w:rPr>
          <w:color w:val="000000"/>
        </w:rPr>
        <w:t>“</w:t>
      </w:r>
      <w:r>
        <w:rPr>
          <w:rFonts w:ascii="Times New Roman;serif" w:hAnsi="Times New Roman;serif"/>
          <w:b w:val="false"/>
          <w:color w:val="000000"/>
          <w:sz w:val="20"/>
        </w:rPr>
        <w:t>Our third-quarter results reflect disciplined execution in a challenging market. While conditions across our core states remain pressured, we continue to focus on delivering value to our clients and strengthening our marketplace for the long term,” said Doug Francis, CEO of WM Technology. “We’re mindful of the challenges ahead and are taking a disciplined approach to position the company as the industry continues to evolve.”</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Industry pressures continue to affect our clients’ operating margins and ability to spend on our platform, but our ongoing cost discipline and operational focus have allowed us to remain profitable and maintain a strong balance sheet,” said Susan Echard, CFO of WM Technology.</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Third Quarter 2025 Financial Highlights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Revenues for the third quarter ended September 30, 2025 were $42.2 million as compared to $46.6 million in the prior year period. The overall decrease in revenues from the prior year period was driven by continued challenges across core markets, where ongoing pricing pressure continues to compress client operating margins and constrain marketing budgets.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Average monthly paying clients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5,221 was up from 5,100 from the prior year period, largely due to new client acquisitions across certain developing markets, partially offset by a churn in more established markets.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Average monthly revenues per paying client</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decreased to $2,693 from $3,043 in the prior year period, due to spend declines in established markets driven by continued industry challenges, such as price deflation and ongoing consolidation. In addition, new clients acquired across certain markets had lower levels of average spend.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Net income decreased to $3.6 million as compared to $5.3 million in the prior year period.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decreased to $7.6 million from $11.3 million in the prior year period.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Total shares outstanding across Class A and Class V Common Stock were 157.2 million as of September 30,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increased to $62.6 million as of September 30, 2025, as compared to $52.0 million as of December 31, 2024.</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Reconciliations of GAAP to non-GAAP financial measures have been provided in the tables below.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(1)Average monthly paying clients are defined as the average of the number of paying clients billed in a month across a particular period (and for which services were provided).</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(2)Average monthly revenues per paying client is defined as the average monthly revenues for any particular period divided by the average monthly paying clients in the same respective period. Average monthly revenues per paying client is calculated in the same manner as our previously-reported “Average monthly net revenue per paying client,” and the description of the metric is being updated solely because we changed the reporting line item from “Net revenues” to “Revenue”. For additional information, see “Basis of Presentation” and “Revenue Recognition” of Note 2. “Summary of Significant </w:t>
      </w: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Accounting Policies,” of our consolidated financial statements included in our Annual Report on Form 10-K for the year ended December 31, 2024 filed with the SEC on March 13,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(3)For further information about how we calculate EBITDA and Adjusted EBITDA as well as limitations of their use and a reconciliation of EBITDA and Adjusted EBITDA to net income, see “Reconciliation of Net Income to EBITDA and Adjusted EBITDA” below.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Business Outlook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on information available as of November 6, 2025, WM Technology is issuing guidance for the fourth quarter of 2025 as follows: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Revenue is estimated to be approximately $41 million to $43 million.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Non-GAAP Adjusted EBITDA</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is estimated to be approximately $5 million to $7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guidance provided above is only an estimate of what we believe is realizable as of the date of this release. We are not readily able to provide a reconciliation of projected Non-GAAP Adjusted EBITDA to projected net income without unreasonable effort.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Investor Conference Call and Webcasts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will host a conference call and webcast today, Thursday, November 6, 2025, at 2:00 p.m. Pacific Time (5:00 p.m. Eastern Time) at https://edge.media-server.com/mmc/p/phq5qkg2. A webcast replay will also be archived at ir.weedmaps.com.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used, and intend to continue to use, the investor relations portion of its website as a means of disclosing material non-public information and for complying with disclosure obligations under Regulation FD.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About WM Technology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Over the past 17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advocating for full U.S. legalization, industry-wide social equity, and continued education about the plant through key partnerships and cannabis subject matter experts.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Headquartered in Irvine, California, WM Technology supports remote and hybrid work for eligible employees. Visit us at www.weedmaps.com.</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Company’s ability to obtain funding for its future operations; the impact of the material weaknesses in the </w:t>
      </w:r>
    </w:p>
    <w:p>
      <w:pPr>
        <w:pStyle w:val="TextBody"/>
        <w:bidi w:val="0"/>
        <w:spacing w:before="1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Company’s internal controls and ability to remediate these material weaknesses in the timing the Company anticipates, or at all; the Company’s ability to maintain its listing on the Nasdaq Stock Market LLC; the impact of the restatement on our reputation and investor confidence in us and the increased possibility of legal proceedings and regulatory inquiries;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Reports on Form 10-K, Quarterly Reports on Form 10-Q and Current Reports on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financial statements, including net income, are prepared in accordance with principles generally accepted in the United States of America (“GAAP”).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costs and other non-recurring charges, asset impairment charges, change in the TRA liability and other non-cash, unusual and/or infrequent costs in the case of Adjusted EBITDA. Below we have provided a reconciliation of net income (the most directly comparable GAAP financial measure) to EBITDA; and from EBITDA to Adjusted EBITDA.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changes in, or cash requirements for, our working capital needs;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tax payments that may represent a reduction in cash available to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you should consider EBITDA and Adjusted EBITDA alongside other financial performance measures, including net income and our other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693"/>
        <w:gridCol w:w="2075"/>
        <w:gridCol w:w="2042"/>
        <w:gridCol w:w="109"/>
        <w:gridCol w:w="109"/>
        <w:gridCol w:w="109"/>
        <w:gridCol w:w="249"/>
        <w:gridCol w:w="976"/>
        <w:gridCol w:w="128"/>
        <w:gridCol w:w="109"/>
        <w:gridCol w:w="109"/>
        <w:gridCol w:w="109"/>
        <w:gridCol w:w="245"/>
        <w:gridCol w:w="960"/>
        <w:gridCol w:w="183"/>
      </w:tblGrid>
      <w:tr>
        <w:trPr/>
        <w:tc>
          <w:tcPr>
            <w:tcW w:w="269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192,911 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$0.0001 par value; 75,000,000 shares authorized; no shares issued and outstanding at September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 $0.0001 par value; 1,500,000,000 shares authorized; 107,897,133 shares issued and outstanding at September 30, 2025 and 99,033,110 shares issued and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V Common Stock - $0.0001 par value; 500,000,000 shares authorized, 49,319,542 shares issued and outstanding at September 30, 2025 and 54,319,542 shares issued and 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WM Technology,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192,911 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1641"/>
        <w:gridCol w:w="1207"/>
        <w:gridCol w:w="1216"/>
        <w:gridCol w:w="273"/>
        <w:gridCol w:w="922"/>
        <w:gridCol w:w="123"/>
        <w:gridCol w:w="123"/>
        <w:gridCol w:w="123"/>
        <w:gridCol w:w="123"/>
        <w:gridCol w:w="273"/>
        <w:gridCol w:w="866"/>
        <w:gridCol w:w="123"/>
        <w:gridCol w:w="109"/>
        <w:gridCol w:w="109"/>
        <w:gridCol w:w="109"/>
        <w:gridCol w:w="241"/>
        <w:gridCol w:w="945"/>
        <w:gridCol w:w="109"/>
        <w:gridCol w:w="109"/>
        <w:gridCol w:w="109"/>
        <w:gridCol w:w="109"/>
        <w:gridCol w:w="219"/>
        <w:gridCol w:w="862"/>
        <w:gridCol w:w="162"/>
      </w:tblGrid>
      <w:tr>
        <w:trPr/>
        <w:tc>
          <w:tcPr>
            <w:tcW w:w="164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107,569,086 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97,166,788 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95,743,064 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109,112,744 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97,811,251 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96,761,731 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761" w:type="dxa"/>
        <w:jc w:val="left"/>
        <w:tblInd w:w="0" w:type="dxa"/>
        <w:tblLayout w:type="fixed"/>
        <w:tblCellMar>
          <w:top w:w="28" w:type="dxa"/>
          <w:left w:w="28" w:type="dxa"/>
          <w:bottom w:w="28" w:type="dxa"/>
          <w:right w:w="28" w:type="dxa"/>
        </w:tblCellMar>
      </w:tblPr>
      <w:tblGrid>
        <w:gridCol w:w="2429"/>
        <w:gridCol w:w="2138"/>
        <w:gridCol w:w="2153"/>
        <w:gridCol w:w="261"/>
        <w:gridCol w:w="894"/>
        <w:gridCol w:w="135"/>
        <w:gridCol w:w="135"/>
        <w:gridCol w:w="135"/>
        <w:gridCol w:w="135"/>
        <w:gridCol w:w="261"/>
        <w:gridCol w:w="894"/>
        <w:gridCol w:w="191"/>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lease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contingency</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(recovery) for credit losses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lease termination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expenditures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repayment of related party note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payment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beginning of period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end of period</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45,043 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16380"/>
                <wp:effectExtent l="0" t="0" r="0" b="0"/>
                <wp:wrapNone/>
                <wp:docPr id="10" name="Frame9"/>
                <a:graphic xmlns:a="http://schemas.openxmlformats.org/drawingml/2006/main">
                  <a:graphicData uri="http://schemas.microsoft.com/office/word/2010/wordprocessingShape">
                    <wps:wsp>
                      <wps:cNvSpPr txBox="1"/>
                      <wps:spPr>
                        <a:xfrm>
                          <a:off x="0" y="0"/>
                          <a:ext cx="6480175" cy="1516380"/>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EBITDA AND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369"/>
        <w:gridCol w:w="1190"/>
        <w:gridCol w:w="1198"/>
        <w:gridCol w:w="283"/>
        <w:gridCol w:w="828"/>
        <w:gridCol w:w="146"/>
        <w:gridCol w:w="146"/>
        <w:gridCol w:w="146"/>
        <w:gridCol w:w="146"/>
        <w:gridCol w:w="283"/>
        <w:gridCol w:w="969"/>
        <w:gridCol w:w="146"/>
        <w:gridCol w:w="109"/>
        <w:gridCol w:w="109"/>
        <w:gridCol w:w="109"/>
        <w:gridCol w:w="259"/>
        <w:gridCol w:w="889"/>
        <w:gridCol w:w="134"/>
        <w:gridCol w:w="134"/>
        <w:gridCol w:w="134"/>
        <w:gridCol w:w="134"/>
        <w:gridCol w:w="259"/>
        <w:gridCol w:w="889"/>
        <w:gridCol w:w="196"/>
      </w:tblGrid>
      <w:tr>
        <w:trPr/>
        <w:tc>
          <w:tcPr>
            <w:tcW w:w="136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 September 30,</w:t>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costs and other non-recurring charges</w:t>
            </w:r>
            <w:r>
              <w:rPr>
                <w:rFonts w:ascii="Times New Roman;serif" w:hAnsi="Times New Roman;serif"/>
                <w:b w:val="false"/>
                <w:color w:val="000000"/>
                <w:sz w:val="13"/>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in force (recovery) expense</w:t>
            </w:r>
            <w:r>
              <w:rPr>
                <w:rFonts w:ascii="Times New Roman;serif" w:hAnsi="Times New Roman;serif"/>
                <w:b w:val="false"/>
                <w:color w:val="000000"/>
                <w:sz w:val="13"/>
              </w:rPr>
              <w:t>(2)</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contingency</w:t>
            </w:r>
            <w:r>
              <w:rPr>
                <w:rFonts w:ascii="Times New Roman;serif" w:hAnsi="Times New Roman;serif"/>
                <w:b w:val="false"/>
                <w:color w:val="000000"/>
                <w:sz w:val="13"/>
              </w:rPr>
              <w:t>(3)</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90"/>
        <w:jc w:val="both"/>
        <w:rPr/>
      </w:pPr>
      <w:r>
        <w:rPr>
          <w:rFonts w:ascii="Times New Roman;serif" w:hAnsi="Times New Roman;serif"/>
          <w:b w:val="false"/>
          <w:color w:val="000000"/>
          <w:sz w:val="12"/>
        </w:rPr>
        <w:t>1</w:t>
      </w:r>
      <w:r>
        <w:rPr>
          <w:rFonts w:ascii="Times New Roman;serif" w:hAnsi="Times New Roman;serif"/>
          <w:b w:val="false"/>
          <w:color w:val="000000"/>
          <w:sz w:val="18"/>
        </w:rPr>
        <w:t>As of September 30, 2025, includes legal and advisory fees related to among other things, ongoing litigation related to shareholder class action and derivative actions, and as of September 30, 2024, includes legal and advisory fees related to the SEC enforcement matter and SEC settlement. See Note 5, “Commitments and Contingencies” to the condensed consolidated financial statements included in our Quarterly Report on Form 10-Q for the period ended September 30, 2025 filed with the SEC for additional information</w:t>
      </w:r>
    </w:p>
    <w:p>
      <w:pPr>
        <w:pStyle w:val="TextBody"/>
        <w:bidi w:val="0"/>
        <w:spacing w:lineRule="auto" w:line="288" w:before="60" w:after="60"/>
        <w:ind w:left="0" w:right="0" w:hanging="9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Represents severance charges included in general and administrative expense in the condensed consolidated statement of operations, related to certain reduction in force actions taken by our management. These reduction in force actions are designed to enhance operational efficiency and align resources with strategic priorities in its corporate technology and marketing divisions.</w:t>
      </w:r>
    </w:p>
    <w:p>
      <w:pPr>
        <w:pStyle w:val="TextBody"/>
        <w:bidi w:val="0"/>
        <w:spacing w:lineRule="auto" w:line="268" w:before="0" w:after="0"/>
        <w:ind w:left="0" w:right="0" w:hanging="9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Represents loss contingency related to the shortfall under the AWS minimum commitment obligation. See Note 5, “Commitments and Contingencies” to the condensed consolidated financial statements included in our Quarterly Report on Form 10-Q for the period ended September 30, 2025 filed with the SEC for additional information</w:t>
      </w:r>
    </w:p>
    <w:p>
      <w:pPr>
        <w:pStyle w:val="TextBody"/>
        <w:bidi w:val="0"/>
        <w:spacing w:before="0" w:after="0"/>
        <w:ind w:left="0" w:right="0" w:hanging="90"/>
        <w:jc w:val="both"/>
        <w:rPr/>
      </w:pPr>
      <w:r>
        <w:rPr/>
      </w:r>
    </w:p>
    <w:p>
      <w:pPr>
        <w:pStyle w:val="TextBody"/>
        <w:bidi w:val="0"/>
        <w:spacing w:before="0" w:after="120"/>
        <w:jc w:val="both"/>
        <w:rPr/>
      </w:pPr>
      <w:r>
        <w:rPr/>
      </w:r>
    </w:p>
    <w:p>
      <w:pPr>
        <w:pStyle w:val="TextBody"/>
        <w:bidi w:val="0"/>
        <w:spacing w:lineRule="auto" w:line="288" w:before="240" w:after="240"/>
        <w:ind w:left="0" w:right="0" w:hanging="36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240" w:after="240"/>
        <w:jc w:val="left"/>
        <w:rPr>
          <w:rFonts w:ascii="Times New Roman;serif" w:hAnsi="Times New Roman;serif"/>
          <w:b w:val="false"/>
          <w:color w:val="3051F2"/>
          <w:sz w:val="20"/>
          <w:u w:val="single"/>
        </w:rPr>
      </w:pPr>
      <w:r>
        <w:rPr>
          <w:rFonts w:ascii="Times New Roman;serif" w:hAnsi="Times New Roman;serif"/>
          <w:b w:val="false"/>
          <w:color w:val="3051F2"/>
          <w:sz w:val="20"/>
          <w:u w:val="single"/>
        </w:rPr>
        <w:t>investors@weedmaps.com</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Media Contract:</w:t>
      </w:r>
    </w:p>
    <w:p>
      <w:pPr>
        <w:pStyle w:val="TextBody"/>
        <w:bidi w:val="0"/>
        <w:spacing w:lineRule="auto" w:line="288" w:before="240" w:after="240"/>
        <w:jc w:val="left"/>
        <w:rPr>
          <w:rFonts w:ascii="Times New Roman;serif" w:hAnsi="Times New Roman;serif"/>
          <w:b w:val="false"/>
          <w:color w:val="3051F2"/>
          <w:sz w:val="20"/>
          <w:u w:val="single"/>
        </w:rPr>
      </w:pPr>
      <w:r>
        <w:rPr>
          <w:rFonts w:ascii="Times New Roman;serif" w:hAnsi="Times New Roman;serif"/>
          <w:b w:val="false"/>
          <w:color w:val="3051F2"/>
          <w:sz w:val="20"/>
          <w:u w:val="single"/>
        </w:rPr>
        <w:t>press@weedmaps.com</w:t>
      </w:r>
    </w:p>
    <w:p>
      <w:pPr>
        <w:pStyle w:val="TextBody"/>
        <w:bidi w:val="0"/>
        <w:spacing w:before="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16380"/>
                <wp:effectExtent l="0" t="0" r="0" b="0"/>
                <wp:wrapNone/>
                <wp:docPr id="11" name="Frame10"/>
                <a:graphic xmlns:a="http://schemas.openxmlformats.org/drawingml/2006/main">
                  <a:graphicData uri="http://schemas.microsoft.com/office/word/2010/wordprocessingShape">
                    <wps:wsp>
                      <wps:cNvSpPr txBox="1"/>
                      <wps:spPr>
                        <a:xfrm>
                          <a:off x="0" y="0"/>
                          <a:ext cx="6480175" cy="1516380"/>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3762</Words>
  <Characters>21635</Characters>
  <CharactersWithSpaces>25086</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