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BAY ANTHONY</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WM TECHNOLOGY,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MAPS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7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0" w:type="dxa"/>
            <w:vAlign w:val="bottom"/>
            <w:gridSpan w:val="6"/>
            <w:vMerge w:val="continue"/>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w w:val="98"/>
              </w:rPr>
              <w:t>C/O WM TECHNOLOGY, INC.</w:t>
            </w:r>
          </w:p>
        </w:tc>
        <w:tc>
          <w:tcPr>
            <w:tcW w:w="13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03/07/2022</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rPr>
              <w:t>41 DISCOVERY</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7"/>
                <w:szCs w:val="17"/>
                <w:color w:val="0000FF"/>
              </w:rPr>
              <w:t>IRVINE</w:t>
            </w:r>
          </w:p>
        </w:tc>
        <w:tc>
          <w:tcPr>
            <w:tcW w:w="840" w:type="dxa"/>
            <w:vAlign w:val="bottom"/>
          </w:tcPr>
          <w:p>
            <w:pPr>
              <w:ind w:left="580"/>
              <w:spacing w:after="0"/>
              <w:rPr>
                <w:sz w:val="20"/>
                <w:szCs w:val="20"/>
                <w:color w:val="auto"/>
              </w:rPr>
            </w:pPr>
            <w:r>
              <w:rPr>
                <w:rFonts w:ascii="Arial" w:cs="Arial" w:eastAsia="Arial" w:hAnsi="Arial"/>
                <w:sz w:val="17"/>
                <w:szCs w:val="17"/>
                <w:color w:val="0000FF"/>
              </w:rPr>
              <w:t>CA</w:t>
            </w: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92618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gridSpan w:val="5"/>
          </w:tcPr>
          <w:p>
            <w:pPr>
              <w:spacing w:after="0"/>
              <w:rPr>
                <w:sz w:val="11"/>
                <w:szCs w:val="11"/>
                <w:color w:val="auto"/>
              </w:rPr>
            </w:pPr>
          </w:p>
        </w:tc>
        <w:tc>
          <w:tcPr>
            <w:tcW w:w="134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80" w:type="dxa"/>
            <w:vAlign w:val="bottom"/>
            <w:tcBorders>
              <w:top w:val="single" w:sz="8" w:color="2C2C2C"/>
            </w:tcBorders>
            <w:gridSpan w:val="19"/>
          </w:tcPr>
          <w:p>
            <w:pPr>
              <w:ind w:left="5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80"/>
              <w:spacing w:after="0"/>
              <w:rPr>
                <w:sz w:val="20"/>
                <w:szCs w:val="20"/>
                <w:color w:val="auto"/>
              </w:rPr>
            </w:pPr>
            <w:r>
              <w:rPr>
                <w:rFonts w:ascii="Arial" w:cs="Arial" w:eastAsia="Arial" w:hAnsi="Arial"/>
                <w:sz w:val="17"/>
                <w:szCs w:val="17"/>
                <w:color w:val="0000FF"/>
              </w:rPr>
              <w:t>03/07/2022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85"/>
              </w:rPr>
              <w:t>75,757</w:t>
            </w:r>
            <w:r>
              <w:rPr>
                <w:rFonts w:ascii="Arial" w:cs="Arial" w:eastAsia="Arial" w:hAnsi="Arial"/>
                <w:sz w:val="22"/>
                <w:szCs w:val="22"/>
                <w:color w:val="008000"/>
                <w:w w:val="85"/>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75,797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1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number of shares of Common Stock underlying restricted stock units ("RSUs"). Each RSU represents the contingent right to receive one share of the Issuer's Common Stock. 1/3rd of the shares underlying the RSUs shall vest on the first, second and third anniversaries of March 7, 2022, subject to the Reporting Person remaining in Continuous Service (as defined in the Issuer's 2021 Equity Incentive Plan) through such vesting date.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Anthony Bay, by /s/ Ron A.</w:t>
            </w:r>
          </w:p>
        </w:tc>
        <w:tc>
          <w:tcPr>
            <w:tcW w:w="1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03/15/2022</w:t>
            </w:r>
          </w:p>
        </w:tc>
        <w:tc>
          <w:tcPr>
            <w:tcW w:w="0" w:type="dxa"/>
            <w:vAlign w:val="bottom"/>
          </w:tcPr>
          <w:p>
            <w:pPr>
              <w:spacing w:after="0"/>
              <w:rPr>
                <w:sz w:val="1"/>
                <w:szCs w:val="1"/>
                <w:color w:val="auto"/>
              </w:rPr>
            </w:pPr>
          </w:p>
        </w:tc>
      </w:tr>
      <w:tr>
        <w:trPr>
          <w:trHeight w:val="87"/>
        </w:trPr>
        <w:tc>
          <w:tcPr>
            <w:tcW w:w="184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Metzger, Attorney-in-Fact</w:t>
            </w:r>
          </w:p>
        </w:tc>
        <w:tc>
          <w:tcPr>
            <w:tcW w:w="2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40" w:type="dxa"/>
            <w:vAlign w:val="bottom"/>
            <w:tcBorders>
              <w:bottom w:val="single" w:sz="8" w:color="auto"/>
            </w:tcBorders>
            <w:vMerge w:val="continue"/>
          </w:tcPr>
          <w:p>
            <w:pPr>
              <w:spacing w:after="0"/>
              <w:rPr>
                <w:sz w:val="7"/>
                <w:szCs w:val="7"/>
                <w:color w:val="auto"/>
              </w:rPr>
            </w:pPr>
          </w:p>
        </w:tc>
        <w:tc>
          <w:tcPr>
            <w:tcW w:w="2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34114"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2022-03-15T16:47:14Z</dcterms:created>
  <dcterms:modified xsi:type="dcterms:W3CDTF">2022-03-15T16:47:14Z</dcterms:modified>
</cp:coreProperties>
</file>