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Camire Brian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WM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11/17/2022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08"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11/17/2022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28,716</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1.2096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171,965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sold the number of shares of common stock necessary to cover applicable tax withholding obligations realized upon the vesting of restricted stock units, as well as any related brokerage commission fees.</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$1.19 to $1.25. The Reporting Person will provide upon request to the SEC, the Issuer or security holder of the Issuer, full information regarding the number of shares sold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3"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Brian Camire, by /s/ Ron A.</w:t>
      </w:r>
      <w:r>
        <w:rPr>
          <w:sz w:val="20"/>
          <w:szCs w:val="20"/>
          <w:color w:val="auto"/>
        </w:rPr>
        <w:tab/>
      </w:r>
      <w:r>
        <w:rPr>
          <w:rFonts w:ascii="Times New Roman" w:cs="Times New Roman" w:eastAsia="Times New Roman" w:hAnsi="Times New Roman"/>
          <w:sz w:val="26"/>
          <w:szCs w:val="26"/>
          <w:color w:val="0000FF"/>
          <w:vertAlign w:val="subscript"/>
        </w:rPr>
        <w:t>11/21/2022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-10160</wp:posOffset>
            </wp:positionV>
            <wp:extent cx="1237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9"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Metzger,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56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63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7363"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2022-11-21T19:46:17Z</dcterms:created>
  <dcterms:modified xsi:type="dcterms:W3CDTF">2022-11-21T19:46:17Z</dcterms:modified>
</cp:coreProperties>
</file>